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406CC0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C04C7E" w:rsidRPr="00D12571" w:rsidRDefault="00C04C7E" w:rsidP="00C04C7E">
      <w:pPr>
        <w:spacing w:after="0" w:line="240" w:lineRule="auto"/>
        <w:rPr>
          <w:rFonts w:eastAsia="Times New Roman"/>
          <w:bCs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D12571" w:rsidRPr="00D12571">
        <w:rPr>
          <w:rFonts w:eastAsia="Times New Roman"/>
          <w:bCs/>
          <w:lang w:eastAsia="cs-CZ"/>
        </w:rPr>
        <w:t xml:space="preserve">Ing. Jan Bureš, DBA, </w:t>
      </w:r>
      <w:r w:rsidR="00A23308">
        <w:rPr>
          <w:rFonts w:eastAsia="Times New Roman"/>
          <w:lang w:eastAsia="cs-CZ"/>
        </w:rPr>
        <w:t>neuvolněný člen Zastupitelstva</w:t>
      </w:r>
      <w:r w:rsidR="00D12571" w:rsidRPr="00D12571">
        <w:rPr>
          <w:rFonts w:eastAsia="Times New Roman"/>
          <w:lang w:eastAsia="cs-CZ"/>
        </w:rPr>
        <w:t> Karlovarského kraje</w:t>
      </w:r>
    </w:p>
    <w:p w:rsidR="009908CC" w:rsidRDefault="009908CC" w:rsidP="00306254">
      <w:pPr>
        <w:rPr>
          <w:b/>
          <w:sz w:val="24"/>
          <w:szCs w:val="24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413AF8" w:rsidRDefault="00413AF8" w:rsidP="00C56CA3">
      <w:pPr>
        <w:pStyle w:val="Bezmezer"/>
      </w:pPr>
      <w:bookmarkStart w:id="1" w:name="Banka"/>
      <w:r>
        <w:t xml:space="preserve">       Komerční banka, a.s.                               číslo účtu    27-5622800267/0100</w:t>
      </w:r>
    </w:p>
    <w:p w:rsidR="00413AF8" w:rsidRDefault="00413AF8" w:rsidP="00C56CA3">
      <w:pPr>
        <w:pStyle w:val="Bezmezer"/>
      </w:pPr>
      <w:r>
        <w:t>případně další účty:</w:t>
      </w:r>
    </w:p>
    <w:p w:rsidR="00413AF8" w:rsidRDefault="00413AF8" w:rsidP="00C56CA3">
      <w:pPr>
        <w:pStyle w:val="Bezmezer"/>
      </w:pPr>
      <w:r>
        <w:t xml:space="preserve">       Československá obchodní banka, a.s.     číslo účtu    197889578/0300</w:t>
      </w:r>
    </w:p>
    <w:p w:rsidR="00413AF8" w:rsidRDefault="00413AF8" w:rsidP="00C56CA3">
      <w:pPr>
        <w:pStyle w:val="Bezmezer"/>
      </w:pPr>
      <w:r>
        <w:t xml:space="preserve">       Česká spořitelna, a.s.                               číslo účtu    7613272/0800</w:t>
      </w:r>
    </w:p>
    <w:p w:rsidR="00413AF8" w:rsidRDefault="00413AF8" w:rsidP="00C56CA3">
      <w:pPr>
        <w:pStyle w:val="Bezmezer"/>
      </w:pPr>
      <w:r>
        <w:t xml:space="preserve">       PPF banka, a.s.                                        číslo účtu    2022990024/6000</w:t>
      </w:r>
    </w:p>
    <w:bookmarkEnd w:id="1"/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BA653A" w:rsidRDefault="00413AF8" w:rsidP="00C56CA3">
      <w:pPr>
        <w:pStyle w:val="Bezmezer"/>
        <w:rPr>
          <w:b/>
          <w:bCs/>
        </w:rPr>
      </w:pPr>
      <w:bookmarkStart w:id="2" w:name="zadatel"/>
      <w:r>
        <w:rPr>
          <w:b/>
          <w:bCs/>
        </w:rPr>
        <w:t>obchodní firma</w:t>
      </w:r>
      <w:bookmarkEnd w:id="2"/>
    </w:p>
    <w:p w:rsidR="00413AF8" w:rsidRDefault="00413AF8" w:rsidP="00C56CA3">
      <w:pPr>
        <w:pStyle w:val="Bezmezer"/>
      </w:pPr>
      <w:bookmarkStart w:id="3" w:name="zadatel_nac"/>
      <w:r>
        <w:t xml:space="preserve">Adresa sídla:   </w:t>
      </w:r>
      <w:proofErr w:type="spellStart"/>
      <w:r>
        <w:t>adresasídla</w:t>
      </w:r>
      <w:proofErr w:type="spellEnd"/>
    </w:p>
    <w:p w:rsidR="00413AF8" w:rsidRDefault="00413AF8" w:rsidP="00C56CA3">
      <w:pPr>
        <w:pStyle w:val="Bezmezer"/>
      </w:pPr>
      <w:r>
        <w:t>Identifikační číslo:    IČO</w:t>
      </w:r>
    </w:p>
    <w:p w:rsidR="00413AF8" w:rsidRDefault="00413AF8" w:rsidP="00C56CA3">
      <w:pPr>
        <w:pStyle w:val="Bezmezer"/>
      </w:pPr>
      <w:r>
        <w:t>DIČ:    DIČ</w:t>
      </w:r>
    </w:p>
    <w:p w:rsidR="00413AF8" w:rsidRDefault="00413AF8" w:rsidP="00C56CA3">
      <w:pPr>
        <w:pStyle w:val="Bezmezer"/>
      </w:pPr>
      <w:r>
        <w:t xml:space="preserve">Právní forma:   </w:t>
      </w:r>
      <w:proofErr w:type="spellStart"/>
      <w:r>
        <w:t>právníforma</w:t>
      </w:r>
      <w:proofErr w:type="spellEnd"/>
    </w:p>
    <w:p w:rsidR="00413AF8" w:rsidRDefault="00413AF8" w:rsidP="00C56CA3">
      <w:pPr>
        <w:pStyle w:val="Bezmezer"/>
      </w:pPr>
      <w:r>
        <w:t xml:space="preserve">Zastoupený: </w:t>
      </w:r>
      <w:proofErr w:type="spellStart"/>
      <w:r>
        <w:t>statutárnízástupce_nebo_oprávněnáosoba</w:t>
      </w:r>
      <w:proofErr w:type="spellEnd"/>
    </w:p>
    <w:p w:rsidR="00413AF8" w:rsidRDefault="00413AF8" w:rsidP="00C56CA3">
      <w:pPr>
        <w:pStyle w:val="Bezmezer"/>
      </w:pPr>
      <w:r>
        <w:t xml:space="preserve">Bankovní spojení:   banka                   číslo účtu: </w:t>
      </w:r>
      <w:proofErr w:type="spellStart"/>
      <w:r>
        <w:t>čísloúčtu</w:t>
      </w:r>
      <w:proofErr w:type="spellEnd"/>
      <w:r>
        <w:t>/</w:t>
      </w:r>
      <w:proofErr w:type="spellStart"/>
      <w:r>
        <w:t>kódbanky</w:t>
      </w:r>
      <w:proofErr w:type="spellEnd"/>
    </w:p>
    <w:p w:rsidR="00413AF8" w:rsidRDefault="00413AF8" w:rsidP="00C56CA3">
      <w:pPr>
        <w:pStyle w:val="Bezmezer"/>
      </w:pPr>
      <w:r>
        <w:t xml:space="preserve">E -mail:        </w:t>
      </w:r>
      <w:proofErr w:type="spellStart"/>
      <w:r>
        <w:t>emailadresa</w:t>
      </w:r>
      <w:proofErr w:type="spellEnd"/>
    </w:p>
    <w:p w:rsidR="00075321" w:rsidRPr="00A70D83" w:rsidRDefault="00413AF8" w:rsidP="00C56CA3">
      <w:pPr>
        <w:pStyle w:val="Bezmezer"/>
      </w:pPr>
      <w:r>
        <w:t xml:space="preserve">Je plátce DPH a DPH je/není uznatelným </w:t>
      </w:r>
      <w:proofErr w:type="gramStart"/>
      <w:r>
        <w:t>výdajem./Není</w:t>
      </w:r>
      <w:proofErr w:type="gramEnd"/>
      <w:r>
        <w:t xml:space="preserve"> plátce DPH a DPH je uznatelným výdajem.</w:t>
      </w:r>
      <w:bookmarkEnd w:id="3"/>
    </w:p>
    <w:p w:rsidR="00075321" w:rsidRPr="00075321" w:rsidRDefault="00075321" w:rsidP="00C56CA3">
      <w:pPr>
        <w:pStyle w:val="Bezmezer"/>
        <w:rPr>
          <w:b/>
          <w:bCs/>
        </w:rPr>
      </w:pPr>
      <w:r>
        <w:rPr>
          <w:b/>
          <w:bCs/>
        </w:rPr>
        <w:t>-</w:t>
      </w:r>
    </w:p>
    <w:p w:rsidR="00530F17" w:rsidRPr="00A70D83" w:rsidRDefault="00413AF8" w:rsidP="00C56CA3">
      <w:pPr>
        <w:pStyle w:val="Bezmezer"/>
        <w:rPr>
          <w:b/>
          <w:bCs/>
        </w:rPr>
      </w:pPr>
      <w:bookmarkStart w:id="4" w:name="zrizovatel"/>
      <w:r>
        <w:rPr>
          <w:b/>
          <w:bCs/>
        </w:rPr>
        <w:t>název zřizovatele</w:t>
      </w:r>
      <w:bookmarkEnd w:id="4"/>
    </w:p>
    <w:p w:rsidR="00413AF8" w:rsidRDefault="00413AF8" w:rsidP="00C56CA3">
      <w:pPr>
        <w:pStyle w:val="Bezmezer"/>
      </w:pPr>
      <w:bookmarkStart w:id="5" w:name="zrizovatel_nac"/>
      <w:r>
        <w:t>Adresa sídla:   sídlo</w:t>
      </w:r>
    </w:p>
    <w:p w:rsidR="00413AF8" w:rsidRDefault="00413AF8" w:rsidP="00C56CA3">
      <w:pPr>
        <w:pStyle w:val="Bezmezer"/>
      </w:pPr>
      <w:r>
        <w:t>Identifikační číslo:    IČO</w:t>
      </w:r>
    </w:p>
    <w:p w:rsidR="00413AF8" w:rsidRDefault="00413AF8" w:rsidP="00C56CA3">
      <w:pPr>
        <w:pStyle w:val="Bezmezer"/>
      </w:pPr>
      <w:r>
        <w:t>DIČ:    DIČ</w:t>
      </w:r>
    </w:p>
    <w:p w:rsidR="00413AF8" w:rsidRDefault="00413AF8" w:rsidP="00C56CA3">
      <w:pPr>
        <w:pStyle w:val="Bezmezer"/>
      </w:pPr>
      <w:r>
        <w:t xml:space="preserve">Právní forma:   </w:t>
      </w:r>
      <w:proofErr w:type="spellStart"/>
      <w:r>
        <w:t>právníforma</w:t>
      </w:r>
      <w:proofErr w:type="spellEnd"/>
    </w:p>
    <w:p w:rsidR="00413AF8" w:rsidRDefault="00413AF8" w:rsidP="00C56CA3">
      <w:pPr>
        <w:pStyle w:val="Bezmezer"/>
      </w:pPr>
      <w:r>
        <w:t xml:space="preserve">Zastoupený: </w:t>
      </w:r>
      <w:proofErr w:type="spellStart"/>
      <w:r>
        <w:t>oprávněnáosoba</w:t>
      </w:r>
      <w:proofErr w:type="spellEnd"/>
    </w:p>
    <w:p w:rsidR="00413AF8" w:rsidRDefault="00413AF8" w:rsidP="00C56CA3">
      <w:pPr>
        <w:pStyle w:val="Bezmezer"/>
      </w:pPr>
      <w:r>
        <w:t xml:space="preserve">Bankovní spojení:   banka                   číslo účtu: </w:t>
      </w:r>
      <w:proofErr w:type="spellStart"/>
      <w:r>
        <w:t>čísloúčtu</w:t>
      </w:r>
      <w:proofErr w:type="spellEnd"/>
      <w:r>
        <w:t>/</w:t>
      </w:r>
      <w:proofErr w:type="spellStart"/>
      <w:r>
        <w:t>kódbanky</w:t>
      </w:r>
      <w:proofErr w:type="spellEnd"/>
    </w:p>
    <w:p w:rsidR="00413AF8" w:rsidRDefault="00413AF8" w:rsidP="00C56CA3">
      <w:pPr>
        <w:pStyle w:val="Bezmezer"/>
      </w:pPr>
      <w:r>
        <w:t xml:space="preserve">E -mail:        </w:t>
      </w:r>
      <w:proofErr w:type="spellStart"/>
      <w:r>
        <w:t>emailadresa</w:t>
      </w:r>
      <w:proofErr w:type="spellEnd"/>
    </w:p>
    <w:p w:rsidR="00413AF8" w:rsidRDefault="00413AF8" w:rsidP="00C56CA3">
      <w:pPr>
        <w:pStyle w:val="Bezmezer"/>
      </w:pPr>
    </w:p>
    <w:p w:rsidR="00075321" w:rsidRDefault="00413AF8" w:rsidP="00C56CA3">
      <w:pPr>
        <w:pStyle w:val="Bezmezer"/>
      </w:pPr>
      <w:r>
        <w:t>(dále jen "zřizovatel")</w:t>
      </w:r>
      <w:bookmarkEnd w:id="5"/>
    </w:p>
    <w:p w:rsidR="00DF32A7" w:rsidRDefault="00DF32A7" w:rsidP="00C56CA3">
      <w:pPr>
        <w:pStyle w:val="Bezmezer"/>
      </w:pPr>
    </w:p>
    <w:p w:rsidR="00DF32A7" w:rsidRDefault="00DF32A7" w:rsidP="00C56CA3">
      <w:pPr>
        <w:pStyle w:val="Bezmezer"/>
      </w:pPr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184FED" w:rsidRDefault="00413AF8" w:rsidP="00184FED">
      <w:pPr>
        <w:pStyle w:val="Odstavecseseznamem"/>
        <w:numPr>
          <w:ilvl w:val="0"/>
          <w:numId w:val="3"/>
        </w:numPr>
        <w:ind w:left="284"/>
        <w:jc w:val="both"/>
      </w:pPr>
      <w:bookmarkStart w:id="6" w:name="clanek1od1"/>
      <w:r>
        <w:t xml:space="preserve">V souladu se zákony č. 129/2000 Sb., o krajích (krajské zřízení), ve znění pozdějších předpisů, a č. 250/2000 Sb., o rozpočtových pravidlech územních rozpočtů, ve znění pozdějších předpisů (dále také "RPÚR") a v souladu s Programem pro poskytování dotací z rozpočtu Karlovarského kraje </w:t>
      </w:r>
      <w:r w:rsidR="00DF32A7">
        <w:t>na podporu obnovy stávajících dopravních hřišť</w:t>
      </w:r>
      <w:r>
        <w:t xml:space="preserve"> (dále jen "dotační program") poskytovatel poskytuje příjemci dotaci na účel uvedený v článku II. smlouvy a příjemce tuto dotaci přijímá.</w:t>
      </w:r>
      <w:bookmarkStart w:id="7" w:name="mezPredClan2"/>
      <w:bookmarkEnd w:id="6"/>
      <w:bookmarkEnd w:id="7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DF32A7" w:rsidRPr="00DF32A7">
        <w:rPr>
          <w:sz w:val="22"/>
          <w:szCs w:val="22"/>
        </w:rPr>
        <w:t>2022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color w:val="FF0000"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Pr="0096502F">
        <w:rPr>
          <w:color w:val="FF0000"/>
          <w:sz w:val="22"/>
          <w:szCs w:val="22"/>
          <w:highlight w:val="yellow"/>
        </w:rPr>
        <w:t>variabilnísymbol</w:t>
      </w:r>
      <w:proofErr w:type="spellEnd"/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413AF8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zřizovatele uvedený v záhlaví smlouvy. Platba bude opatřena variabilním symbolem uvedeným v odstavci 2. čl. II.</w:t>
      </w:r>
    </w:p>
    <w:p w:rsidR="00413AF8" w:rsidRDefault="00413AF8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>Zřizovatel se zavazuje do 10 pracovních dnů ode dne jejího připsání na účet zřizovatele převést dotaci na účet příjemce, uvedený v záhlaví smlouvy. Platba bude opatřena variabilním symbolem uvedeným v odstavci 2. čl. II.</w:t>
      </w:r>
    </w:p>
    <w:p w:rsidR="00184FED" w:rsidRDefault="00413AF8" w:rsidP="00184FED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8" w:name="clanek3od1"/>
      <w:r>
        <w:t>Dotace je poskytována formou zálohy s povinností následného finančního vypořádání.</w:t>
      </w:r>
      <w:bookmarkEnd w:id="8"/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CB56B6" w:rsidP="00CB56B6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="00651B68">
        <w:rPr>
          <w:rFonts w:eastAsia="Times New Roman"/>
          <w:lang w:eastAsia="cs-CZ"/>
        </w:rPr>
        <w:t>do</w:t>
      </w:r>
      <w:r w:rsidR="0013511C">
        <w:rPr>
          <w:rFonts w:eastAsia="Times New Roman"/>
          <w:lang w:eastAsia="cs-CZ"/>
        </w:rPr>
        <w:t xml:space="preserve"> </w:t>
      </w:r>
      <w:r w:rsidR="00DF32A7">
        <w:rPr>
          <w:rFonts w:eastAsia="Times New Roman"/>
          <w:lang w:eastAsia="cs-CZ"/>
        </w:rPr>
        <w:t>31. 12. 2022</w:t>
      </w:r>
      <w:r w:rsidRPr="00CB56B6">
        <w:rPr>
          <w:rFonts w:eastAsia="Times New Roman"/>
          <w:lang w:eastAsia="cs-CZ"/>
        </w:rPr>
        <w:t>. Vyčerpáním se rozumí datum ode</w:t>
      </w:r>
      <w:r w:rsidR="0073555C"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 w:rsidR="0013511C">
        <w:rPr>
          <w:rFonts w:eastAsia="Times New Roman"/>
          <w:lang w:eastAsia="cs-CZ"/>
        </w:rPr>
        <w:t>.</w:t>
      </w:r>
    </w:p>
    <w:p w:rsidR="00CB56B6" w:rsidRDefault="00CB56B6" w:rsidP="00CB56B6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CB56B6" w:rsidRDefault="002F0529" w:rsidP="00CB56B6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je dále povinen:</w:t>
      </w:r>
    </w:p>
    <w:p w:rsidR="002F0529" w:rsidRDefault="002F0529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2F0529" w:rsidRDefault="0040681D" w:rsidP="002F0529">
      <w:pPr>
        <w:pStyle w:val="Odstavecseseznamem"/>
        <w:spacing w:after="0" w:line="240" w:lineRule="auto"/>
        <w:ind w:left="426"/>
        <w:jc w:val="both"/>
        <w:rPr>
          <w:rFonts w:eastAsia="Arial Unicode MS"/>
          <w:lang w:eastAsia="cs-CZ"/>
        </w:rPr>
      </w:pPr>
      <w:bookmarkStart w:id="9" w:name="mezPredClan5"/>
      <w:bookmarkEnd w:id="9"/>
      <w:r w:rsidRPr="00F641C1">
        <w:rPr>
          <w:rFonts w:eastAsia="Arial Unicode MS"/>
          <w:lang w:eastAsia="cs-CZ"/>
        </w:rPr>
        <w:t>Příjemce se zavazuje poskytnutou dotací použít na podporu obnovy stávajících dopravních hřišť.</w:t>
      </w:r>
    </w:p>
    <w:p w:rsidR="00D12571" w:rsidRDefault="00D12571" w:rsidP="002F0529">
      <w:pPr>
        <w:pStyle w:val="Odstavecseseznamem"/>
        <w:spacing w:after="0" w:line="240" w:lineRule="auto"/>
        <w:ind w:left="426"/>
        <w:jc w:val="both"/>
        <w:rPr>
          <w:rFonts w:eastAsia="Arial Unicode MS"/>
          <w:lang w:eastAsia="cs-CZ"/>
        </w:rPr>
      </w:pPr>
    </w:p>
    <w:p w:rsidR="00D12571" w:rsidRPr="00CB56B6" w:rsidRDefault="00D12571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:rsidR="00184FED" w:rsidRDefault="00413AF8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1"/>
      <w:r>
        <w:t xml:space="preserve">Příjemce je povinen řídit se </w:t>
      </w:r>
      <w:r w:rsidR="00DF32A7">
        <w:t>dotačním programem schváleným</w:t>
      </w:r>
      <w:r>
        <w:t xml:space="preserve"> </w:t>
      </w:r>
      <w:r w:rsidR="00DF32A7">
        <w:t>Zastupitelstvem</w:t>
      </w:r>
      <w:r>
        <w:t xml:space="preserve"> Karlovarského kraje usnesením číslo </w:t>
      </w:r>
      <w:r w:rsidR="00DF32A7" w:rsidRPr="000B5D8C">
        <w:t>ZK 114/04/22</w:t>
      </w:r>
      <w:r w:rsidR="00DF32A7">
        <w:t xml:space="preserve"> </w:t>
      </w:r>
      <w:r>
        <w:t xml:space="preserve"> ze dne </w:t>
      </w:r>
      <w:r w:rsidR="00DF32A7">
        <w:t>11. 4. 2022, zveřejněným</w:t>
      </w:r>
      <w:r>
        <w:t xml:space="preserve"> na úřední desce poskytovatele a touto smlouvou.</w:t>
      </w:r>
      <w:bookmarkEnd w:id="10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lastRenderedPageBreak/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mzdy pracovníků nebo funkcionářů příjemce či příjemce samotného, poštovné a balné, penále, úroky z úvěrů, náhrady škod, pojistné,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Je-li příjemce veřejným zadavatelem nebo splní příjemce definici zadavatele podle zákona 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13AF8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6"/>
      <w:r>
        <w:t xml:space="preserve">Dotace podléhá finančnímu vypořádání. 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="00DF32A7">
        <w:t>15. 1. 2023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</w:t>
      </w:r>
      <w:proofErr w:type="gramStart"/>
      <w:r>
        <w:t>www.kr-karlovarsky</w:t>
      </w:r>
      <w:proofErr w:type="gramEnd"/>
      <w:r>
        <w:t>.cz/dotace/Stranky/Prehled-dotace.aspx.</w:t>
      </w:r>
      <w:bookmarkEnd w:id="11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13AF8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2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2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13AF8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3" w:name="clanek5od8"/>
      <w:r>
        <w:t>Spolu s finančním vypořádáním dotace je příjemce povinen předložit administrujícímu odboru:</w:t>
      </w:r>
      <w:bookmarkEnd w:id="13"/>
    </w:p>
    <w:p w:rsidR="00413AF8" w:rsidRDefault="00413AF8" w:rsidP="00D27BEB">
      <w:pPr>
        <w:pStyle w:val="Odstavecseseznamem"/>
        <w:ind w:left="426"/>
        <w:jc w:val="both"/>
      </w:pPr>
      <w:bookmarkStart w:id="14" w:name="clanek5od8odr"/>
      <w:r>
        <w:t xml:space="preserve">   a) vyhodnocení použití poskytnuté dotace s popisem realizace a zhodnocením realizovaných aktivit (v případě individuální dotace; u programové dotace jen pokud je požadováno ve Vyhlášení a pravidlech pro příjem a hodnocení žádostí, poskytnutí a finanční vypořádání dotace z rozpočtu Karlovarského kraje příslušného programu);</w:t>
      </w:r>
    </w:p>
    <w:p w:rsidR="00413AF8" w:rsidRDefault="00413AF8" w:rsidP="00D27BEB">
      <w:pPr>
        <w:pStyle w:val="Odstavecseseznamem"/>
        <w:ind w:left="426"/>
        <w:jc w:val="both"/>
      </w:pPr>
      <w:r>
        <w:t xml:space="preserve">   b) průkaznou fotodokumentaci předmětu dotace;</w:t>
      </w:r>
    </w:p>
    <w:p w:rsidR="00413AF8" w:rsidRDefault="00413AF8" w:rsidP="00D27BEB">
      <w:pPr>
        <w:pStyle w:val="Odstavecseseznamem"/>
        <w:ind w:left="426"/>
        <w:jc w:val="both"/>
      </w:pPr>
      <w:r>
        <w:t xml:space="preserve">   c) doklad o zaúčtování majetku do účetnictví organizace;</w:t>
      </w:r>
    </w:p>
    <w:p w:rsidR="00D27BEB" w:rsidRDefault="00413AF8" w:rsidP="00D27BEB">
      <w:pPr>
        <w:pStyle w:val="Odstavecseseznamem"/>
        <w:ind w:left="426"/>
        <w:jc w:val="both"/>
      </w:pPr>
      <w:r>
        <w:t xml:space="preserve">   d) přílohy stanovené ve vzoru finančního vypořádání;</w:t>
      </w:r>
      <w:bookmarkEnd w:id="14"/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</w:t>
      </w:r>
      <w:r>
        <w:lastRenderedPageBreak/>
        <w:t xml:space="preserve">úspěšně provede alespoň jednu zvolenou formu propagace. V případě propagace prostřednictvím webových stránek, umístí příjemce na web aktivní odkaz </w:t>
      </w:r>
      <w:proofErr w:type="gramStart"/>
      <w:r>
        <w:t>www.kr-karlovarsky</w:t>
      </w:r>
      <w:proofErr w:type="gramEnd"/>
      <w:r>
        <w:t>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</w:t>
      </w:r>
      <w:proofErr w:type="gramStart"/>
      <w:r>
        <w:t>www.kr-karlovarsky</w:t>
      </w:r>
      <w:proofErr w:type="gramEnd"/>
      <w:r>
        <w:t>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F32A7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>Je-li příjemce plátcem daně z přidané hodnoty, a pokud má u zdanitelných plnění přijatých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A4036C" w:rsidP="00A4036C">
      <w:pPr>
        <w:ind w:left="-10"/>
        <w:jc w:val="both"/>
      </w:pPr>
    </w:p>
    <w:p w:rsidR="00A4036C" w:rsidRDefault="00413AF8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>Nevyčerpané finanční prostředky dotace je příjemce povinen vrátit nejpozději do termínu předložení závěrečného finančního vypořádání dotace uvedeného v čl. V. odst. 6, a to formou bezhotovostního převodu přes účet svého zřizovatele na účet poskytovatele vedený v záhlaví smlouvy. Platba bude opatřena variabilním symbolem uvedeným v odst. 2 čl. II.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odst. 2 čl. II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413AF8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5" w:name="clanek6od5"/>
      <w:r>
        <w:t>Příjemce je zejména povinen oznámit poskytovateli do 10 pracovních dnů ode dne, kdy došlo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5"/>
    </w:p>
    <w:p w:rsidR="00A4036C" w:rsidRDefault="00A4036C" w:rsidP="00A4036C">
      <w:pPr>
        <w:pStyle w:val="Odstavecseseznamem"/>
        <w:ind w:left="426"/>
      </w:pPr>
    </w:p>
    <w:p w:rsidR="00A4036C" w:rsidRDefault="00413AF8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6" w:name="clanek6od6"/>
      <w:bookmarkStart w:id="17" w:name="clanek6od1"/>
      <w:bookmarkEnd w:id="16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7"/>
    </w:p>
    <w:p w:rsidR="00DF32A7" w:rsidRDefault="00DF32A7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:rsidR="00DF32A7" w:rsidRDefault="00DF32A7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A4036C" w:rsidRDefault="00A4036C" w:rsidP="00A4036C"/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Příslušné orgány poskytovatele jsou oprávněny zejména v souladu se zákonem č. 320/2001 Sb.,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6D6502" w:rsidRDefault="000351F0" w:rsidP="006D6502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lastRenderedPageBreak/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DF32A7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</w:t>
      </w:r>
      <w: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ind w:left="6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206D8F" w:rsidRDefault="00413AF8" w:rsidP="00206D8F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8" w:name="clanek9od3"/>
      <w:r>
        <w:t>V případě ukončení smlouvy dle výše uvedených odstavců tohoto článku, je příjemce povinen provést finanční vypořádání poskytnuté dotace obdobně podle odst. 6 článku V. smlouvy, a to ke dni ukončení smlouvy.</w:t>
      </w:r>
      <w:bookmarkStart w:id="19" w:name="mezPredClan10"/>
      <w:bookmarkEnd w:id="18"/>
      <w:bookmarkEnd w:id="19"/>
    </w:p>
    <w:p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206D8F" w:rsidRDefault="00206D8F" w:rsidP="00206D8F">
      <w:pPr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:rsidR="00206D8F" w:rsidRDefault="00413AF8" w:rsidP="00240774">
      <w:pPr>
        <w:pStyle w:val="Odstavecseseznamem"/>
        <w:numPr>
          <w:ilvl w:val="0"/>
          <w:numId w:val="15"/>
        </w:numPr>
        <w:ind w:left="425" w:hanging="425"/>
        <w:contextualSpacing w:val="0"/>
        <w:jc w:val="both"/>
      </w:pPr>
      <w:bookmarkStart w:id="20" w:name="clanek10od1"/>
      <w:r>
        <w:t>Příjemce bere na vědomí, že je mu poskytována podpora de minimis (podpora malého rozsahu), a to v souladu s Nařízením Komise (ES) č. 1407/2013 ze dne 18. prosince 2013 o použití článků 107 a 108 Smlouvy o fungování Evropské unie na podporu de minimis, publikovaném v Úředním věstníku L č.352/2013 na straně 1 (dále jen "Nařízení komise").</w:t>
      </w:r>
      <w:bookmarkEnd w:id="20"/>
    </w:p>
    <w:p w:rsidR="00206D8F" w:rsidRDefault="00206D8F" w:rsidP="00206D8F">
      <w:pPr>
        <w:pStyle w:val="Odstavecseseznamem"/>
        <w:ind w:left="426"/>
        <w:jc w:val="both"/>
      </w:pPr>
    </w:p>
    <w:p w:rsidR="00206D8F" w:rsidRDefault="00413AF8" w:rsidP="00206D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Příjemce podpory prohlašuje, že v souladu s článkem 3 tohoto Nařízení komise, obdržel v předchozích 3 fiskálních letech od data účinnosti této smlouvy podporu de minimis a celková výše podpory de minimis, kterou tak s poskytovanou dotací přijme, nepřesáhne 200.000 EUR.</w:t>
      </w:r>
    </w:p>
    <w:p w:rsidR="00413AF8" w:rsidRDefault="00413AF8" w:rsidP="00206D8F">
      <w:pPr>
        <w:pStyle w:val="Odstavecseseznamem"/>
        <w:numPr>
          <w:ilvl w:val="0"/>
          <w:numId w:val="15"/>
        </w:numPr>
        <w:ind w:left="426" w:hanging="426"/>
        <w:jc w:val="both"/>
      </w:pPr>
      <w:r>
        <w:t>Kurz pro přepočet částky do CZK je stanovený Evropskou centrální bankou zveřejňovaný na webových stránkách ECB ke dni podpisu smlouvy.</w:t>
      </w:r>
    </w:p>
    <w:p w:rsidR="00A4036C" w:rsidRDefault="00413AF8" w:rsidP="00A4036C">
      <w:pPr>
        <w:pStyle w:val="Odstavecseseznamem"/>
        <w:numPr>
          <w:ilvl w:val="0"/>
          <w:numId w:val="15"/>
        </w:numPr>
        <w:ind w:left="426" w:hanging="426"/>
        <w:jc w:val="both"/>
      </w:pPr>
      <w:bookmarkStart w:id="21" w:name="clanek10od2"/>
      <w: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  <w:bookmarkStart w:id="22" w:name="mezPredClan11"/>
      <w:bookmarkEnd w:id="21"/>
      <w:bookmarkEnd w:id="22"/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5D62D5" w:rsidRPr="0096502F" w:rsidRDefault="005D62D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5D62D5" w:rsidRDefault="005D62D5" w:rsidP="00A4036C"/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413AF8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3" w:name="clanek11od3"/>
      <w:r>
        <w:t>Smlouva je vyhotovena ve 4 vyhotoveních, z nichž 2 obdrží poskytovatel, 1 zřizovatel a 1 příjemce.</w:t>
      </w:r>
      <w:bookmarkEnd w:id="23"/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uveřejnění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5D62D5" w:rsidRDefault="005D62D5" w:rsidP="005D62D5">
      <w:pPr>
        <w:pStyle w:val="Odstavecseseznamem"/>
        <w:ind w:left="426"/>
        <w:jc w:val="both"/>
      </w:pPr>
    </w:p>
    <w:p w:rsidR="00C36930" w:rsidRDefault="00413AF8" w:rsidP="00DF32A7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4" w:name="clanek11od6"/>
      <w:r>
        <w:t xml:space="preserve">O poskytnutí dotace a uzavření veřejnoprávní smlouvy rozhodlo v souladu s ustanovením § 36 písm. c) příp. d) zákona č. 129/2000 Sb., o krajích (krajské zřízení), ve znění pozdějších předpisů, Zastupitelstvo Karlovarského kraje usnesením č. ZK </w:t>
      </w:r>
      <w:r w:rsidRPr="00DF32A7">
        <w:rPr>
          <w:highlight w:val="yellow"/>
        </w:rPr>
        <w:t>usnesení ze dne datum</w:t>
      </w:r>
      <w:r>
        <w:t>.</w:t>
      </w:r>
      <w:bookmarkEnd w:id="24"/>
    </w:p>
    <w:p w:rsidR="00DF32A7" w:rsidRDefault="00DF32A7" w:rsidP="00C36930">
      <w:pPr>
        <w:pStyle w:val="Odstavecseseznamem"/>
        <w:ind w:left="426"/>
        <w:jc w:val="both"/>
      </w:pPr>
    </w:p>
    <w:p w:rsidR="00C36930" w:rsidRDefault="00C36930" w:rsidP="00C36930">
      <w:pPr>
        <w:pStyle w:val="Odstavecseseznamem"/>
        <w:ind w:left="426"/>
        <w:jc w:val="both"/>
      </w:pPr>
      <w:r>
        <w:t xml:space="preserve">Karlovy Vary dne </w:t>
      </w:r>
      <w:r>
        <w:tab/>
      </w:r>
      <w:r>
        <w:tab/>
      </w:r>
      <w:r>
        <w:tab/>
      </w:r>
      <w:r>
        <w:tab/>
      </w:r>
      <w:r>
        <w:tab/>
        <w:t>………(</w:t>
      </w:r>
      <w:r w:rsidRPr="008B7D08">
        <w:rPr>
          <w:highlight w:val="yellow"/>
        </w:rPr>
        <w:t>místo</w:t>
      </w:r>
      <w:r>
        <w:t>)...…… Dne</w:t>
      </w:r>
    </w:p>
    <w:p w:rsidR="00C36930" w:rsidRDefault="00C36930" w:rsidP="00C36930">
      <w:pPr>
        <w:pStyle w:val="Odstavecseseznamem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C36930" w:rsidRDefault="00C36930" w:rsidP="00C36930">
      <w:pPr>
        <w:pStyle w:val="Odstavecseseznamem"/>
        <w:ind w:left="426"/>
        <w:jc w:val="both"/>
      </w:pPr>
    </w:p>
    <w:p w:rsidR="00DF32A7" w:rsidRDefault="00DF32A7" w:rsidP="00DF32A7">
      <w:pPr>
        <w:pStyle w:val="Odstavecseseznamem"/>
        <w:ind w:left="284" w:firstLine="425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  ……………………..</w:t>
      </w:r>
    </w:p>
    <w:p w:rsidR="00DF32A7" w:rsidRDefault="00DF32A7" w:rsidP="00DF32A7">
      <w:pPr>
        <w:pStyle w:val="Odstavecseseznamem"/>
        <w:spacing w:after="0" w:line="240" w:lineRule="auto"/>
        <w:ind w:left="284" w:firstLine="425"/>
        <w:jc w:val="both"/>
      </w:pPr>
      <w:r w:rsidRPr="00D12571">
        <w:rPr>
          <w:rFonts w:eastAsia="Times New Roman"/>
          <w:bCs/>
          <w:lang w:eastAsia="cs-CZ"/>
        </w:rPr>
        <w:t>Ing. Jan Bureš, DBA</w:t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(příjemce)</w:t>
      </w:r>
    </w:p>
    <w:p w:rsidR="00DF32A7" w:rsidRPr="00C36930" w:rsidRDefault="00155332" w:rsidP="00DF32A7">
      <w:pPr>
        <w:spacing w:after="0" w:line="240" w:lineRule="auto"/>
        <w:jc w:val="both"/>
      </w:pPr>
      <w:r>
        <w:rPr>
          <w:rFonts w:eastAsia="Times New Roman"/>
          <w:lang w:eastAsia="cs-CZ"/>
        </w:rPr>
        <w:t>neuvolněný člen Zastupitelstva</w:t>
      </w:r>
      <w:r w:rsidRPr="00D12571">
        <w:rPr>
          <w:rFonts w:eastAsia="Times New Roman"/>
          <w:lang w:eastAsia="cs-CZ"/>
        </w:rPr>
        <w:t> Karlovarského kraje</w:t>
      </w:r>
    </w:p>
    <w:p w:rsidR="00DF32A7" w:rsidRDefault="00DF32A7" w:rsidP="00DF32A7">
      <w:pPr>
        <w:pStyle w:val="Odstavecseseznamem"/>
        <w:ind w:left="284" w:firstLine="425"/>
        <w:jc w:val="both"/>
      </w:pPr>
      <w:r>
        <w:t xml:space="preserve">    (poskytovatel)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25" w:name="podpisVar1"/>
    </w:p>
    <w:p w:rsidR="00413AF8" w:rsidRDefault="00413AF8" w:rsidP="00DF32A7">
      <w:pPr>
        <w:pStyle w:val="Odstavecseseznamem"/>
        <w:ind w:left="284" w:firstLine="425"/>
        <w:jc w:val="both"/>
      </w:pPr>
      <w:r>
        <w:t xml:space="preserve">                                                                                   </w:t>
      </w:r>
    </w:p>
    <w:p w:rsidR="00DF7C40" w:rsidRDefault="00413AF8" w:rsidP="00DF32A7">
      <w:pPr>
        <w:pStyle w:val="Odstavecseseznamem"/>
        <w:spacing w:after="0" w:line="240" w:lineRule="auto"/>
        <w:ind w:left="425"/>
        <w:jc w:val="both"/>
      </w:pPr>
      <w:r>
        <w:t>Přílohy:</w:t>
      </w:r>
      <w:bookmarkEnd w:id="25"/>
    </w:p>
    <w:p w:rsidR="00DF32A7" w:rsidRPr="00406CC0" w:rsidRDefault="00DF32A7" w:rsidP="00DF32A7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 Jitka Lapešová</w:t>
      </w:r>
    </w:p>
    <w:p w:rsidR="00DF32A7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color w:val="FF0000"/>
          <w:sz w:val="20"/>
          <w:szCs w:val="20"/>
          <w:lang w:eastAsia="cs-CZ"/>
        </w:rPr>
      </w:pPr>
      <w:bookmarkStart w:id="26" w:name="razitkoRada"/>
      <w:bookmarkEnd w:id="26"/>
      <w:r>
        <w:rPr>
          <w:rFonts w:eastAsia="Times New Roman"/>
          <w:b/>
          <w:sz w:val="20"/>
          <w:szCs w:val="20"/>
          <w:lang w:eastAsia="cs-CZ"/>
        </w:rPr>
        <w:t xml:space="preserve">Dokument je vyhotoven na základě usnesení ZKK </w:t>
      </w:r>
      <w:r w:rsidRPr="00406CC0">
        <w:rPr>
          <w:rFonts w:eastAsia="Times New Roman"/>
          <w:b/>
          <w:sz w:val="20"/>
          <w:szCs w:val="20"/>
          <w:lang w:eastAsia="cs-CZ"/>
        </w:rPr>
        <w:t xml:space="preserve">číslo </w:t>
      </w:r>
      <w:r>
        <w:rPr>
          <w:rFonts w:eastAsia="Times New Roman"/>
          <w:b/>
          <w:sz w:val="20"/>
          <w:szCs w:val="20"/>
          <w:lang w:eastAsia="cs-CZ"/>
        </w:rPr>
        <w:t xml:space="preserve">ZK </w:t>
      </w:r>
      <w:proofErr w:type="spellStart"/>
      <w:r>
        <w:rPr>
          <w:rFonts w:eastAsia="Times New Roman"/>
          <w:b/>
          <w:sz w:val="20"/>
          <w:szCs w:val="20"/>
          <w:lang w:eastAsia="cs-CZ"/>
        </w:rPr>
        <w:t>xxx</w:t>
      </w:r>
      <w:proofErr w:type="spellEnd"/>
      <w:r>
        <w:rPr>
          <w:rFonts w:eastAsia="Times New Roman"/>
          <w:b/>
          <w:sz w:val="20"/>
          <w:szCs w:val="20"/>
          <w:lang w:eastAsia="cs-CZ"/>
        </w:rPr>
        <w:t>/</w:t>
      </w:r>
      <w:proofErr w:type="spellStart"/>
      <w:r>
        <w:rPr>
          <w:rFonts w:eastAsia="Times New Roman"/>
          <w:b/>
          <w:sz w:val="20"/>
          <w:szCs w:val="20"/>
          <w:lang w:eastAsia="cs-CZ"/>
        </w:rPr>
        <w:t>xx</w:t>
      </w:r>
      <w:proofErr w:type="spellEnd"/>
      <w:r>
        <w:rPr>
          <w:rFonts w:eastAsia="Times New Roman"/>
          <w:b/>
          <w:sz w:val="20"/>
          <w:szCs w:val="20"/>
          <w:lang w:eastAsia="cs-CZ"/>
        </w:rPr>
        <w:t xml:space="preserve">/22 </w:t>
      </w:r>
      <w:r w:rsidRPr="00406CC0">
        <w:rPr>
          <w:rFonts w:eastAsia="Times New Roman"/>
          <w:b/>
          <w:sz w:val="20"/>
          <w:szCs w:val="20"/>
          <w:lang w:eastAsia="cs-CZ"/>
        </w:rPr>
        <w:t xml:space="preserve">ze dne </w:t>
      </w:r>
      <w:proofErr w:type="gramStart"/>
      <w:r>
        <w:rPr>
          <w:rFonts w:eastAsia="Times New Roman"/>
          <w:b/>
          <w:sz w:val="20"/>
          <w:szCs w:val="20"/>
          <w:lang w:eastAsia="cs-CZ"/>
        </w:rPr>
        <w:t>dd</w:t>
      </w:r>
      <w:proofErr w:type="gramEnd"/>
      <w:r>
        <w:rPr>
          <w:rFonts w:eastAsia="Times New Roman"/>
          <w:b/>
          <w:sz w:val="20"/>
          <w:szCs w:val="20"/>
          <w:lang w:eastAsia="cs-CZ"/>
        </w:rPr>
        <w:t>.</w:t>
      </w:r>
      <w:proofErr w:type="gramStart"/>
      <w:r>
        <w:rPr>
          <w:rFonts w:eastAsia="Times New Roman"/>
          <w:b/>
          <w:sz w:val="20"/>
          <w:szCs w:val="20"/>
          <w:lang w:eastAsia="cs-CZ"/>
        </w:rPr>
        <w:t>mm</w:t>
      </w:r>
      <w:proofErr w:type="gramEnd"/>
      <w:r>
        <w:rPr>
          <w:rFonts w:eastAsia="Times New Roman"/>
          <w:b/>
          <w:sz w:val="20"/>
          <w:szCs w:val="20"/>
          <w:lang w:eastAsia="cs-CZ"/>
        </w:rPr>
        <w:t>.2022</w:t>
      </w:r>
    </w:p>
    <w:p w:rsidR="00DF32A7" w:rsidRPr="00FD20FC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b/>
          <w:sz w:val="16"/>
          <w:szCs w:val="16"/>
          <w:lang w:eastAsia="cs-CZ"/>
        </w:rPr>
      </w:pPr>
    </w:p>
    <w:p w:rsidR="00DF32A7" w:rsidRPr="00406CC0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Provedení předběžné řídící kontroly dle § 26 odst. 1 zák. č. 320/2001 Sb. a § 11</w:t>
      </w:r>
      <w:r>
        <w:rPr>
          <w:rFonts w:eastAsia="Times New Roman"/>
          <w:sz w:val="16"/>
          <w:szCs w:val="16"/>
          <w:lang w:eastAsia="cs-CZ"/>
        </w:rPr>
        <w:t>, 13</w:t>
      </w:r>
      <w:r w:rsidRPr="00406CC0">
        <w:rPr>
          <w:rFonts w:eastAsia="Times New Roman"/>
          <w:sz w:val="16"/>
          <w:szCs w:val="16"/>
          <w:lang w:eastAsia="cs-CZ"/>
        </w:rPr>
        <w:t xml:space="preserve"> </w:t>
      </w:r>
      <w:proofErr w:type="spellStart"/>
      <w:r w:rsidRPr="00406CC0">
        <w:rPr>
          <w:rFonts w:eastAsia="Times New Roman"/>
          <w:sz w:val="16"/>
          <w:szCs w:val="16"/>
          <w:lang w:eastAsia="cs-CZ"/>
        </w:rPr>
        <w:t>vyhl</w:t>
      </w:r>
      <w:proofErr w:type="spellEnd"/>
      <w:r w:rsidRPr="00406CC0">
        <w:rPr>
          <w:rFonts w:eastAsia="Times New Roman"/>
          <w:sz w:val="16"/>
          <w:szCs w:val="16"/>
          <w:lang w:eastAsia="cs-CZ"/>
        </w:rPr>
        <w:t>. č. 416/2004 Sb.</w:t>
      </w:r>
    </w:p>
    <w:p w:rsidR="00DF32A7" w:rsidRPr="00FD20FC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</w:p>
    <w:p w:rsidR="00DF32A7" w:rsidRPr="00406CC0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b/>
          <w:sz w:val="20"/>
          <w:szCs w:val="20"/>
          <w:lang w:eastAsia="cs-CZ"/>
        </w:rPr>
      </w:pPr>
      <w:r w:rsidRPr="00406CC0">
        <w:rPr>
          <w:rFonts w:eastAsia="Times New Roman"/>
          <w:b/>
          <w:sz w:val="20"/>
          <w:szCs w:val="20"/>
          <w:lang w:eastAsia="cs-CZ"/>
        </w:rPr>
        <w:t>Příkazce operace:</w:t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</w:r>
      <w:r w:rsidRPr="00406CC0">
        <w:rPr>
          <w:rFonts w:eastAsia="Times New Roman"/>
          <w:b/>
          <w:sz w:val="20"/>
          <w:szCs w:val="20"/>
          <w:lang w:eastAsia="cs-CZ"/>
        </w:rPr>
        <w:tab/>
        <w:t>Správce rozpočtu:</w:t>
      </w:r>
    </w:p>
    <w:p w:rsidR="00DF32A7" w:rsidRPr="00406CC0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DF32A7" w:rsidRPr="00406CC0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DF32A7" w:rsidRPr="00303D85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Mgr. Vladimír </w:t>
      </w:r>
      <w:proofErr w:type="gramStart"/>
      <w:r>
        <w:rPr>
          <w:rFonts w:eastAsia="Times New Roman"/>
          <w:sz w:val="20"/>
          <w:szCs w:val="20"/>
          <w:lang w:eastAsia="cs-CZ"/>
        </w:rPr>
        <w:t>Malý</w:t>
      </w:r>
      <w:proofErr w:type="gramEnd"/>
      <w:r w:rsidRPr="00303D85">
        <w:rPr>
          <w:rFonts w:eastAsia="Times New Roman"/>
          <w:sz w:val="20"/>
          <w:szCs w:val="20"/>
          <w:lang w:eastAsia="cs-CZ"/>
        </w:rPr>
        <w:tab/>
      </w:r>
      <w:r w:rsidRPr="00303D85">
        <w:rPr>
          <w:rFonts w:eastAsia="Times New Roman"/>
          <w:sz w:val="20"/>
          <w:szCs w:val="20"/>
          <w:lang w:eastAsia="cs-CZ"/>
        </w:rPr>
        <w:tab/>
      </w:r>
      <w:r w:rsidRPr="00303D85">
        <w:rPr>
          <w:rFonts w:eastAsia="Times New Roman"/>
          <w:sz w:val="20"/>
          <w:szCs w:val="20"/>
          <w:lang w:eastAsia="cs-CZ"/>
        </w:rPr>
        <w:tab/>
      </w:r>
      <w:r w:rsidRPr="00303D85">
        <w:rPr>
          <w:rFonts w:eastAsia="Times New Roman"/>
          <w:sz w:val="20"/>
          <w:szCs w:val="20"/>
          <w:lang w:eastAsia="cs-CZ"/>
        </w:rPr>
        <w:tab/>
        <w:t>Jitka Kavková</w:t>
      </w:r>
    </w:p>
    <w:p w:rsidR="00DF32A7" w:rsidRPr="00FD20FC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16"/>
          <w:szCs w:val="16"/>
          <w:lang w:eastAsia="cs-CZ"/>
        </w:rPr>
      </w:pPr>
      <w:r>
        <w:rPr>
          <w:rFonts w:eastAsia="Times New Roman"/>
          <w:sz w:val="16"/>
          <w:szCs w:val="16"/>
          <w:lang w:eastAsia="cs-CZ"/>
        </w:rPr>
        <w:t>Vedoucí odboru dopravy a silničního hospodářství</w:t>
      </w:r>
    </w:p>
    <w:p w:rsidR="00DF32A7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</w:p>
    <w:p w:rsidR="00DF32A7" w:rsidRPr="00406CC0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eastAsia="Times New Roman"/>
          <w:sz w:val="16"/>
          <w:szCs w:val="16"/>
          <w:lang w:eastAsia="cs-CZ"/>
        </w:rPr>
      </w:pPr>
      <w:r w:rsidRPr="00406CC0">
        <w:rPr>
          <w:rFonts w:eastAsia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:rsidR="00DF32A7" w:rsidRPr="00406CC0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DF32A7" w:rsidRPr="00406CC0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</w:p>
    <w:p w:rsidR="00DF32A7" w:rsidRDefault="00DF32A7" w:rsidP="00DF32A7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7" w:name="Text47"/>
      <w:r>
        <w:rPr>
          <w:rFonts w:eastAsia="Times New Roman"/>
          <w:sz w:val="20"/>
          <w:szCs w:val="20"/>
          <w:lang w:eastAsia="cs-CZ"/>
        </w:rPr>
        <w:instrText xml:space="preserve"> FORMTEXT </w:instrText>
      </w:r>
      <w:r>
        <w:rPr>
          <w:rFonts w:eastAsia="Times New Roman"/>
          <w:sz w:val="20"/>
          <w:szCs w:val="20"/>
          <w:lang w:eastAsia="cs-CZ"/>
        </w:rPr>
      </w:r>
      <w:r>
        <w:rPr>
          <w:rFonts w:eastAsia="Times New Roman"/>
          <w:sz w:val="20"/>
          <w:szCs w:val="20"/>
          <w:lang w:eastAsia="cs-CZ"/>
        </w:rPr>
        <w:fldChar w:fldCharType="separate"/>
      </w:r>
      <w:r>
        <w:rPr>
          <w:rFonts w:eastAsia="Times New Roman"/>
          <w:sz w:val="20"/>
          <w:szCs w:val="20"/>
          <w:lang w:eastAsia="cs-CZ"/>
        </w:rPr>
        <w:t>Jitka Lapešová</w:t>
      </w:r>
      <w:r>
        <w:rPr>
          <w:rFonts w:eastAsia="Times New Roman"/>
          <w:sz w:val="20"/>
          <w:szCs w:val="20"/>
          <w:lang w:eastAsia="cs-CZ"/>
        </w:rPr>
        <w:fldChar w:fldCharType="end"/>
      </w:r>
      <w:bookmarkEnd w:id="27"/>
      <w:r w:rsidRPr="00406CC0">
        <w:rPr>
          <w:rFonts w:eastAsia="Times New Roman"/>
          <w:color w:val="FF0000"/>
          <w:sz w:val="20"/>
          <w:szCs w:val="20"/>
          <w:lang w:eastAsia="cs-CZ"/>
        </w:rPr>
        <w:tab/>
        <w:t xml:space="preserve">                </w:t>
      </w:r>
      <w:r w:rsidRPr="00406CC0">
        <w:rPr>
          <w:rFonts w:eastAsia="Times New Roman"/>
          <w:sz w:val="20"/>
          <w:szCs w:val="20"/>
          <w:lang w:eastAsia="cs-CZ"/>
        </w:rPr>
        <w:t>dne</w:t>
      </w:r>
      <w:r>
        <w:rPr>
          <w:rFonts w:eastAsia="Times New Roman"/>
          <w:sz w:val="20"/>
          <w:szCs w:val="20"/>
          <w:lang w:eastAsia="cs-CZ"/>
        </w:rPr>
        <w:tab/>
      </w:r>
      <w:r>
        <w:rPr>
          <w:rFonts w:eastAsia="Times New Roman"/>
          <w:sz w:val="20"/>
          <w:szCs w:val="20"/>
          <w:lang w:eastAsia="cs-CZ"/>
        </w:rPr>
        <w:tab/>
      </w:r>
      <w:r w:rsidRPr="00406CC0">
        <w:rPr>
          <w:rFonts w:eastAsia="Times New Roman"/>
          <w:sz w:val="20"/>
          <w:szCs w:val="20"/>
          <w:lang w:eastAsia="cs-CZ"/>
        </w:rPr>
        <w:tab/>
        <w:t>Po</w:t>
      </w:r>
      <w:r>
        <w:rPr>
          <w:rFonts w:eastAsia="Times New Roman"/>
          <w:sz w:val="20"/>
          <w:szCs w:val="20"/>
          <w:lang w:eastAsia="cs-CZ"/>
        </w:rPr>
        <w:t>dpis</w:t>
      </w:r>
    </w:p>
    <w:p w:rsidR="00DF32A7" w:rsidRPr="00826467" w:rsidRDefault="00DF32A7" w:rsidP="00DF3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14"/>
          <w:sz w:val="28"/>
          <w:szCs w:val="28"/>
          <w:lang w:eastAsia="cs-CZ"/>
        </w:rPr>
      </w:pPr>
      <w:r w:rsidRPr="00826467">
        <w:rPr>
          <w:rFonts w:eastAsia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p w:rsidR="00DF32A7" w:rsidRPr="00826467" w:rsidRDefault="00DF32A7" w:rsidP="00DF3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cs-CZ"/>
        </w:rPr>
      </w:pP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DF32A7" w:rsidRPr="00826467" w:rsidTr="00EC14C2">
        <w:trPr>
          <w:trHeight w:val="621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pacing w:val="8"/>
                <w:sz w:val="20"/>
                <w:szCs w:val="20"/>
                <w:highlight w:val="yellow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proofErr w:type="spellStart"/>
            <w:r w:rsidRPr="00332772">
              <w:rPr>
                <w:rFonts w:eastAsia="Times New Roman"/>
                <w:lang w:eastAsia="cs-CZ"/>
              </w:rPr>
              <w:t>KK</w:t>
            </w:r>
            <w:r>
              <w:rPr>
                <w:rFonts w:eastAsia="Times New Roman"/>
                <w:lang w:eastAsia="cs-CZ"/>
              </w:rPr>
              <w:t>xxxxx</w:t>
            </w:r>
            <w:proofErr w:type="spellEnd"/>
            <w:r w:rsidRPr="00332772">
              <w:rPr>
                <w:rFonts w:eastAsia="Times New Roman"/>
                <w:lang w:eastAsia="cs-CZ"/>
              </w:rPr>
              <w:t>/202</w:t>
            </w:r>
            <w:r>
              <w:rPr>
                <w:rFonts w:eastAsia="Times New Roman"/>
                <w:lang w:eastAsia="cs-CZ"/>
              </w:rPr>
              <w:t>2</w:t>
            </w:r>
          </w:p>
        </w:tc>
      </w:tr>
      <w:tr w:rsidR="00DF32A7" w:rsidRPr="00826467" w:rsidTr="00EC14C2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Název smlouvy:</w:t>
            </w:r>
          </w:p>
          <w:p w:rsidR="00DF32A7" w:rsidRPr="00826467" w:rsidRDefault="00DF32A7" w:rsidP="00EC14C2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</w:p>
        </w:tc>
      </w:tr>
      <w:tr w:rsidR="00DF32A7" w:rsidRPr="00826467" w:rsidTr="00EC14C2">
        <w:trPr>
          <w:trHeight w:val="51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Evidenční číslo hlavní smlouvy:</w:t>
            </w:r>
            <w:r w:rsidRPr="00826467">
              <w:rPr>
                <w:rFonts w:eastAsia="Times New Roman"/>
                <w:spacing w:val="8"/>
                <w:sz w:val="18"/>
                <w:szCs w:val="20"/>
                <w:lang w:eastAsia="cs-CZ"/>
              </w:rPr>
              <w:br/>
              <w:t>(jen 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-----</w:t>
            </w:r>
          </w:p>
        </w:tc>
      </w:tr>
      <w:tr w:rsidR="00DF32A7" w:rsidRPr="00826467" w:rsidTr="00EC14C2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/>
                <w:spacing w:val="8"/>
                <w:sz w:val="20"/>
                <w:szCs w:val="20"/>
                <w:lang w:eastAsia="cs-CZ"/>
              </w:rPr>
              <w:t>Čj</w:t>
            </w:r>
            <w:proofErr w:type="spellEnd"/>
            <w:r>
              <w:rPr>
                <w:rFonts w:eastAsia="Times New Roman"/>
                <w:spacing w:val="8"/>
                <w:sz w:val="20"/>
                <w:szCs w:val="20"/>
                <w:lang w:eastAsia="cs-CZ"/>
              </w:rPr>
              <w:t xml:space="preserve"> spisu</w:t>
            </w:r>
          </w:p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88.1</w:t>
            </w:r>
          </w:p>
        </w:tc>
      </w:tr>
      <w:tr w:rsidR="00DF32A7" w:rsidRPr="00826467" w:rsidTr="00EC14C2">
        <w:trPr>
          <w:trHeight w:val="62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Číslo a datum usnesení RKK/ZKK: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pacing w:val="8"/>
                <w:w w:val="90"/>
                <w:sz w:val="20"/>
                <w:szCs w:val="20"/>
                <w:lang w:eastAsia="cs-CZ"/>
              </w:rPr>
            </w:pPr>
            <w:r>
              <w:t xml:space="preserve">ZK </w:t>
            </w:r>
            <w:proofErr w:type="spellStart"/>
            <w:r>
              <w:t>xxx</w:t>
            </w:r>
            <w:proofErr w:type="spellEnd"/>
            <w:r>
              <w:t>/</w:t>
            </w:r>
            <w:proofErr w:type="spellStart"/>
            <w:r>
              <w:t>xx</w:t>
            </w:r>
            <w:proofErr w:type="spellEnd"/>
            <w:r>
              <w:t>/22</w:t>
            </w:r>
            <w:r w:rsidRPr="00826467">
              <w:rPr>
                <w:rFonts w:eastAsia="Times New Roman"/>
                <w:spacing w:val="8"/>
                <w:w w:val="90"/>
                <w:sz w:val="20"/>
                <w:szCs w:val="20"/>
                <w:lang w:eastAsia="cs-CZ"/>
              </w:rPr>
              <w:t xml:space="preserve"> ze dne </w:t>
            </w:r>
            <w:proofErr w:type="gramStart"/>
            <w:r>
              <w:t>dd</w:t>
            </w:r>
            <w:proofErr w:type="gramEnd"/>
            <w:r>
              <w:t>.</w:t>
            </w:r>
            <w:proofErr w:type="gramStart"/>
            <w:r>
              <w:t>mm</w:t>
            </w:r>
            <w:proofErr w:type="gramEnd"/>
            <w:r>
              <w:t>.2022</w:t>
            </w:r>
          </w:p>
        </w:tc>
      </w:tr>
      <w:tr w:rsidR="00DF32A7" w:rsidRPr="00826467" w:rsidTr="00EC14C2">
        <w:trPr>
          <w:trHeight w:val="621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REGISTR SMLUV: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pacing w:val="8"/>
                <w:w w:val="9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pacing w:val="8"/>
                <w:w w:val="90"/>
                <w:sz w:val="20"/>
                <w:szCs w:val="20"/>
                <w:lang w:eastAsia="cs-CZ"/>
              </w:rPr>
              <w:t>ANO</w:t>
            </w:r>
            <w:r w:rsidRPr="00826467">
              <w:rPr>
                <w:rFonts w:eastAsia="Times New Roman"/>
                <w:b/>
                <w:spacing w:val="8"/>
                <w:w w:val="9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aps/>
                <w:spacing w:val="8"/>
                <w:w w:val="90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caps/>
                <w:spacing w:val="8"/>
                <w:w w:val="90"/>
                <w:sz w:val="20"/>
                <w:szCs w:val="20"/>
                <w:lang w:eastAsia="cs-CZ"/>
              </w:rPr>
              <w:t>Shoda smlouvy s textovým obrazem: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pacing w:val="8"/>
                <w:w w:val="90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-----</w:t>
            </w:r>
          </w:p>
        </w:tc>
      </w:tr>
      <w:tr w:rsidR="00DF32A7" w:rsidRPr="00826467" w:rsidTr="00EC14C2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z w:val="20"/>
                <w:szCs w:val="20"/>
                <w:lang w:eastAsia="cs-CZ"/>
              </w:rPr>
              <w:t xml:space="preserve">Odbor investic </w:t>
            </w:r>
          </w:p>
        </w:tc>
      </w:tr>
      <w:tr w:rsidR="00DF32A7" w:rsidRPr="00826467" w:rsidTr="00EC14C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 xml:space="preserve">Dne: </w:t>
            </w:r>
            <w:r>
              <w:rPr>
                <w:rFonts w:eastAsia="Times New Roman"/>
                <w:sz w:val="16"/>
                <w:szCs w:val="20"/>
                <w:lang w:eastAsia="cs-CZ"/>
              </w:rPr>
              <w:t xml:space="preserve">                   </w:t>
            </w: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Jitka Lapešová</w:t>
            </w:r>
          </w:p>
        </w:tc>
      </w:tr>
      <w:tr w:rsidR="00DF32A7" w:rsidRPr="00826467" w:rsidTr="00EC14C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 xml:space="preserve">Dne: </w:t>
            </w:r>
            <w:r>
              <w:rPr>
                <w:rFonts w:eastAsia="Times New Roman"/>
                <w:sz w:val="16"/>
                <w:szCs w:val="20"/>
                <w:lang w:eastAsia="cs-CZ"/>
              </w:rPr>
              <w:t xml:space="preserve">                   </w:t>
            </w: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Mgr. Michal Mottl</w:t>
            </w:r>
          </w:p>
        </w:tc>
      </w:tr>
      <w:tr w:rsidR="00DF32A7" w:rsidRPr="00826467" w:rsidTr="00EC14C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</w:t>
            </w:r>
            <w:r>
              <w:rPr>
                <w:rFonts w:eastAsia="Times New Roman"/>
                <w:sz w:val="16"/>
                <w:szCs w:val="20"/>
                <w:lang w:eastAsia="cs-CZ"/>
              </w:rPr>
              <w:t xml:space="preserve">                     </w:t>
            </w: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Podpis: Ing. Tomáš Brtek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8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Finanční odbor: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                       Podpis: Ing. Martina Jánská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9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>Odbor legislativní a právní a krajský živnostenský úřad: VZOR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-----                Podpis: -----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-----                Podpis: -----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6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6"/>
                <w:sz w:val="20"/>
                <w:szCs w:val="20"/>
                <w:lang w:eastAsia="cs-CZ"/>
              </w:rPr>
              <w:t>Odbor, který smlouvu připomínkoval: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eastAsia="Times New Roman"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spacing w:val="8"/>
                <w:sz w:val="20"/>
                <w:szCs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sz w:val="16"/>
                <w:szCs w:val="20"/>
                <w:lang w:eastAsia="cs-CZ"/>
              </w:rPr>
            </w:pPr>
            <w:r w:rsidRPr="00826467">
              <w:rPr>
                <w:rFonts w:eastAsia="Times New Roman"/>
                <w:sz w:val="16"/>
                <w:szCs w:val="20"/>
                <w:lang w:eastAsia="cs-CZ"/>
              </w:rPr>
              <w:t>Dne: -----                Podpis: -----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a) zák. č. 320/2001 Sb. a § 11 </w:t>
            </w:r>
            <w:proofErr w:type="spellStart"/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 416/2004 Sb. – příjmy nebo § 13 </w:t>
            </w:r>
            <w:proofErr w:type="spellStart"/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. č..416/2004 Sb. – výdaje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 xml:space="preserve">Příkazce operace: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826467">
              <w:rPr>
                <w:rFonts w:eastAsia="Times New Roman"/>
                <w:sz w:val="16"/>
                <w:szCs w:val="16"/>
                <w:lang w:eastAsia="cs-CZ"/>
              </w:rPr>
              <w:t xml:space="preserve">Dne:                        Podpis: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Mgr. Vladimír Malý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/>
                <w:i/>
                <w:sz w:val="20"/>
                <w:szCs w:val="20"/>
                <w:lang w:val="x-none" w:eastAsia="x-none"/>
              </w:rPr>
            </w:pPr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</w:t>
            </w:r>
            <w:proofErr w:type="spellStart"/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>vyhl</w:t>
            </w:r>
            <w:proofErr w:type="spellEnd"/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t xml:space="preserve">. č..416/2004 Sb. – výdaje. </w:t>
            </w:r>
            <w:r w:rsidRPr="00826467">
              <w:rPr>
                <w:rFonts w:eastAsia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DF32A7" w:rsidRPr="00826467" w:rsidTr="00EC1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5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</w:pPr>
            <w:r w:rsidRPr="00826467">
              <w:rPr>
                <w:rFonts w:eastAsia="Times New Roman"/>
                <w:b/>
                <w:spacing w:val="8"/>
                <w:sz w:val="20"/>
                <w:szCs w:val="20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32A7" w:rsidRPr="00826467" w:rsidRDefault="00DF32A7" w:rsidP="00EC14C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/>
                <w:b/>
                <w:sz w:val="16"/>
                <w:szCs w:val="16"/>
                <w:lang w:eastAsia="cs-CZ"/>
              </w:rPr>
            </w:pPr>
            <w:r w:rsidRPr="00826467">
              <w:rPr>
                <w:rFonts w:eastAsia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Pr="007C09B7">
              <w:rPr>
                <w:rFonts w:eastAsia="Times New Roman"/>
                <w:sz w:val="16"/>
                <w:szCs w:val="16"/>
                <w:lang w:eastAsia="cs-CZ"/>
              </w:rPr>
              <w:t>Jitka Kavková</w:t>
            </w:r>
          </w:p>
        </w:tc>
      </w:tr>
    </w:tbl>
    <w:p w:rsidR="00DF32A7" w:rsidRPr="00826467" w:rsidRDefault="00DF32A7" w:rsidP="00DF32A7">
      <w:pPr>
        <w:widowControl w:val="0"/>
        <w:autoSpaceDE w:val="0"/>
        <w:autoSpaceDN w:val="0"/>
        <w:adjustRightInd w:val="0"/>
        <w:spacing w:after="0" w:line="240" w:lineRule="auto"/>
        <w:ind w:left="18"/>
        <w:rPr>
          <w:rFonts w:eastAsia="Times New Roman"/>
          <w:sz w:val="20"/>
          <w:szCs w:val="20"/>
          <w:vertAlign w:val="superscript"/>
          <w:lang w:eastAsia="cs-CZ"/>
        </w:rPr>
      </w:pPr>
    </w:p>
    <w:p w:rsidR="00DF32A7" w:rsidRPr="00826467" w:rsidRDefault="00DF32A7" w:rsidP="00DF32A7">
      <w:pPr>
        <w:widowControl w:val="0"/>
        <w:autoSpaceDE w:val="0"/>
        <w:autoSpaceDN w:val="0"/>
        <w:adjustRightInd w:val="0"/>
        <w:spacing w:after="0" w:line="240" w:lineRule="auto"/>
        <w:ind w:left="18"/>
        <w:rPr>
          <w:rFonts w:eastAsia="Times New Roman"/>
          <w:sz w:val="20"/>
          <w:szCs w:val="20"/>
          <w:lang w:eastAsia="cs-CZ"/>
        </w:rPr>
      </w:pPr>
      <w:r w:rsidRPr="00826467">
        <w:rPr>
          <w:rFonts w:eastAsia="Times New Roman"/>
          <w:sz w:val="20"/>
          <w:szCs w:val="20"/>
          <w:vertAlign w:val="superscript"/>
          <w:lang w:eastAsia="cs-CZ"/>
        </w:rPr>
        <w:t>Poznámky:</w:t>
      </w:r>
    </w:p>
    <w:p w:rsidR="00C36930" w:rsidRDefault="00C36930" w:rsidP="00CE4049">
      <w:pPr>
        <w:pStyle w:val="Odstavecseseznamem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5"/>
  </w:num>
  <w:num w:numId="5">
    <w:abstractNumId w:val="13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F8"/>
    <w:rsid w:val="00003A86"/>
    <w:rsid w:val="00004F27"/>
    <w:rsid w:val="00007A75"/>
    <w:rsid w:val="00011258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70C58"/>
    <w:rsid w:val="00074527"/>
    <w:rsid w:val="00075321"/>
    <w:rsid w:val="000C5EFA"/>
    <w:rsid w:val="000E4E4E"/>
    <w:rsid w:val="0013511C"/>
    <w:rsid w:val="00146ABA"/>
    <w:rsid w:val="00155332"/>
    <w:rsid w:val="00160A4E"/>
    <w:rsid w:val="00180964"/>
    <w:rsid w:val="00183F96"/>
    <w:rsid w:val="00184FED"/>
    <w:rsid w:val="001B259B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74183"/>
    <w:rsid w:val="00292765"/>
    <w:rsid w:val="0029680B"/>
    <w:rsid w:val="002A0A52"/>
    <w:rsid w:val="002B787A"/>
    <w:rsid w:val="002D2C83"/>
    <w:rsid w:val="002E5AB9"/>
    <w:rsid w:val="002F0529"/>
    <w:rsid w:val="00306254"/>
    <w:rsid w:val="00320F70"/>
    <w:rsid w:val="00334011"/>
    <w:rsid w:val="00335E00"/>
    <w:rsid w:val="0033698E"/>
    <w:rsid w:val="003667A8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3F78C8"/>
    <w:rsid w:val="0040681D"/>
    <w:rsid w:val="00413AF8"/>
    <w:rsid w:val="0041654A"/>
    <w:rsid w:val="004236AF"/>
    <w:rsid w:val="00440945"/>
    <w:rsid w:val="004527A2"/>
    <w:rsid w:val="00453EBA"/>
    <w:rsid w:val="00462729"/>
    <w:rsid w:val="00464638"/>
    <w:rsid w:val="0049110A"/>
    <w:rsid w:val="004C1581"/>
    <w:rsid w:val="004C1E0B"/>
    <w:rsid w:val="004F482A"/>
    <w:rsid w:val="005043B3"/>
    <w:rsid w:val="00511128"/>
    <w:rsid w:val="00521A67"/>
    <w:rsid w:val="00530F17"/>
    <w:rsid w:val="005361D3"/>
    <w:rsid w:val="00541C9A"/>
    <w:rsid w:val="005448DB"/>
    <w:rsid w:val="00545B78"/>
    <w:rsid w:val="00550245"/>
    <w:rsid w:val="00550F49"/>
    <w:rsid w:val="00551A77"/>
    <w:rsid w:val="00592516"/>
    <w:rsid w:val="005A12F4"/>
    <w:rsid w:val="005A36EE"/>
    <w:rsid w:val="005A56B9"/>
    <w:rsid w:val="005C770F"/>
    <w:rsid w:val="005D62D5"/>
    <w:rsid w:val="005D7991"/>
    <w:rsid w:val="00605973"/>
    <w:rsid w:val="00631370"/>
    <w:rsid w:val="006424DA"/>
    <w:rsid w:val="00651B68"/>
    <w:rsid w:val="00656BBB"/>
    <w:rsid w:val="006604F0"/>
    <w:rsid w:val="00682BC1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7D16"/>
    <w:rsid w:val="007A1533"/>
    <w:rsid w:val="007A7DAA"/>
    <w:rsid w:val="007C3CBA"/>
    <w:rsid w:val="007F0619"/>
    <w:rsid w:val="00803DF9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12A88"/>
    <w:rsid w:val="0093794E"/>
    <w:rsid w:val="00946FE5"/>
    <w:rsid w:val="0095183F"/>
    <w:rsid w:val="00963D94"/>
    <w:rsid w:val="0099045B"/>
    <w:rsid w:val="009908CC"/>
    <w:rsid w:val="009922D2"/>
    <w:rsid w:val="009F4CC0"/>
    <w:rsid w:val="009F7CCF"/>
    <w:rsid w:val="00A06B17"/>
    <w:rsid w:val="00A23308"/>
    <w:rsid w:val="00A24D7C"/>
    <w:rsid w:val="00A4036C"/>
    <w:rsid w:val="00A43A8F"/>
    <w:rsid w:val="00A55537"/>
    <w:rsid w:val="00A562B2"/>
    <w:rsid w:val="00A70D83"/>
    <w:rsid w:val="00A95676"/>
    <w:rsid w:val="00AB58D7"/>
    <w:rsid w:val="00AC6637"/>
    <w:rsid w:val="00AC7E8D"/>
    <w:rsid w:val="00AD33A7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B56B6"/>
    <w:rsid w:val="00CC2411"/>
    <w:rsid w:val="00CE4049"/>
    <w:rsid w:val="00CE4780"/>
    <w:rsid w:val="00CE4B80"/>
    <w:rsid w:val="00D12571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32A7"/>
    <w:rsid w:val="00DF7C40"/>
    <w:rsid w:val="00E049FC"/>
    <w:rsid w:val="00E315C0"/>
    <w:rsid w:val="00E34BE6"/>
    <w:rsid w:val="00E434A4"/>
    <w:rsid w:val="00E651D1"/>
    <w:rsid w:val="00E658B7"/>
    <w:rsid w:val="00E809C4"/>
    <w:rsid w:val="00E823F6"/>
    <w:rsid w:val="00E92890"/>
    <w:rsid w:val="00EE0CAF"/>
    <w:rsid w:val="00EF2D0E"/>
    <w:rsid w:val="00EF40A5"/>
    <w:rsid w:val="00EF43C3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BBC9-6B82-4B4E-AEFB-D8736C8F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12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mottl\Desktop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C030C-AFCB-4F02-8F89-AEA292FC0017}"/>
</file>

<file path=customXml/itemProps2.xml><?xml version="1.0" encoding="utf-8"?>
<ds:datastoreItem xmlns:ds="http://schemas.openxmlformats.org/officeDocument/2006/customXml" ds:itemID="{0B3DD35D-8E89-4E67-BBC9-F551A1456645}"/>
</file>

<file path=customXml/itemProps3.xml><?xml version="1.0" encoding="utf-8"?>
<ds:datastoreItem xmlns:ds="http://schemas.openxmlformats.org/officeDocument/2006/customXml" ds:itemID="{C47E9256-BABA-458F-A5C8-A013009174D0}"/>
</file>

<file path=customXml/itemProps4.xml><?xml version="1.0" encoding="utf-8"?>
<ds:datastoreItem xmlns:ds="http://schemas.openxmlformats.org/officeDocument/2006/customXml" ds:itemID="{6C048E2C-0BF7-4369-AF52-6CFAA26CCB2E}"/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0</TotalTime>
  <Pages>8</Pages>
  <Words>2923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k usnesení z 93. zasedání Rady Karlovarského kraje, které se uskutečnilo dne 22.08.2022 (k bodu č. 57)</dc:title>
  <dc:subject/>
  <dc:creator>Mottl Michal</dc:creator>
  <cp:keywords/>
  <dc:description/>
  <cp:lastModifiedBy>Burešová Lenka</cp:lastModifiedBy>
  <cp:revision>2</cp:revision>
  <dcterms:created xsi:type="dcterms:W3CDTF">2022-08-23T05:39:00Z</dcterms:created>
  <dcterms:modified xsi:type="dcterms:W3CDTF">2022-08-23T05:39:00Z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