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na zajištění spolufinancování sociálních služeb s celostátní </w:t>
      </w:r>
      <w:r>
        <w:rPr>
          <w:rFonts w:ascii="Times New Roman" w:hAnsi="Times New Roman"/>
          <w:b/>
          <w:bCs/>
          <w:sz w:val="32"/>
          <w:szCs w:val="32"/>
        </w:rPr>
        <w:br/>
        <w:t>a nadregionální působností</w:t>
      </w:r>
    </w:p>
    <w:p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(dále jen „dotační program“)</w:t>
      </w:r>
    </w:p>
    <w:p>
      <w:pPr>
        <w:pStyle w:val="Default"/>
        <w:rPr>
          <w:rFonts w:ascii="Times New Roman" w:hAnsi="Times New Roman" w:cs="Times New Roman"/>
        </w:rPr>
      </w:pP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Zastupitelstvo Karlovarského kraje (dále jen „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zastupitelstvo kraje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schvaluje a vyhlašuje shora uvedený dotační program a přijímá tato </w:t>
      </w:r>
      <w:r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Dotační program se zřizuje za účelem financování běžných výdajů souvisejících s poskytováním základních druhů a forem sociálních služeb v rozsahu stanoveném základními činnostmi u jednotlivých druhů sociálních služeb; jejich výčet a charakteristiky jsou uvedeny v části třetí hlavě I díle 2 až 4 zákona č. 108/2006 Sb., o sociálních službách, ve znění pozdějších předpisů (dále jen „zákon o sociálních službách“).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Důvody podpory stanoveného účelu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Důvodem vyhlášení dotačního programu je plnění povinnosti Karlovarského kraje uvedené v ustanovení § 95 odst. 1 písm. g) zákona o sociálních službách.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celkový objem peněžních prostředků vyčleněných na podporu stanoveného účelu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 dotační program je vyčleněna částka 800 000 Kč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z rozpočtu Karlovarského kraje pro rok 2026.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stanovení výše dotace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Výpočet návrhu dotace u ambulantních a terénních služeb sociální prevence a odborného sociálního poradenství: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ND = 0,05 * ON * U * M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ND – návrh dotace pro příslušný druh sociální služby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ON – stanovená hodnota platby na 1 úvazek pracovníka měsíčně pro jednotlivé druhy sociálních služeb, která odpovídá celkovým obvyklým (průměrným) měsíčním nákladům na jednotlivé druhy sociálních služeb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 – celkové úvazky pracovníků (pro výpočet jsou do celkových úvazků pracovníků započteny úvazky pracovníků v přímé péči v rámci Karlovarského kraje dle žádosti a maximálně 0,3 úvazku ostatních pracovníků na 1 úvazek pracovníka v přímé péči)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 – počet měsíců poskytování sociální služby v roce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Stanovená hodnota platby na 1 úvazek pracovníka měsíčně (ON):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77 400 Kč v případě sociální služby raná péče,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71 300 Kč v případě sociální služby sociální rehabilitace,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65 500 Kč v případě sociální služby sociálně aktivizační služby pro seniory a osoby se zdravotním postižením,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69 600 Kč v případě sociální služby terénní programy,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68 200 Kč v případě sociálních služeb tlumočnické služby, krizová pomoc a odborné sociální poradenství (pro cílovou skupinu senioři, osoby se zdravotním postižením a chronickým onemocněním),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73 200 Kč v případě sociální služby odborné sociální poradenství (pro cílovou skupinu osoby sociálně vyloučené bez determinujícího vlivu zdravotního stavu či věku).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Výpočet návrhu dotace u ambulantních a terénních služeb sociální péče: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ND = 0,05 * [(ON * U * M) + 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ON</w:t>
      </w:r>
      <w:r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p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*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H</w:t>
      </w:r>
      <w:r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p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)]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ND – návrh dotace pro příslušný druh sociální služby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ON – stanovená hodnota platby na 1 úvazek pracovníka měsíčně pro jednotlivé druhy sociálních služeb, která odpovídá celkovým obvyklým (průměrným) měsíčním nákladům na jednotlivé druhy sociálních služeb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 – celkové úvazky pracovníků (pro výpočet jsou do celkových úvazků pracovníků započteny úvazky pracovníků v přímé péči v rámci Karlovarského kraje dle žádosti a maximálně 0,3 úvazku ostatních pracovníků na 1 úvazek pracovníka v přímé péči)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 – počet měsíců poskytování sociální služby v roce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ON</w:t>
      </w:r>
      <w:r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p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– stanovená hodnota platby na 1 hodinu pracovní pohotovosti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H</w:t>
      </w:r>
      <w:r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p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– předpokládaný počet hodin pracovní pohotovosti v rámci Karlovarského kraje v příslušném roce dle žádosti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Stanovená hodnota platby na 1 úvazek pracovníka měsíčně (ON):</w:t>
      </w:r>
    </w:p>
    <w:p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43 100 Kč v případě sociální služby tísňová péče.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Stanovená hodnota platby na 1 hodinu pracovní pohotovosti 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ON</w:t>
      </w:r>
      <w:r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p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):</w:t>
      </w:r>
    </w:p>
    <w:p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45 Kč v případě sociální služby tísňová péče.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Výpočet návrhu dotace u pobytových sociálních služeb: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ND = 0,05 * k * ON * L 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ND – návrh dotace pro příslušný druh sociální služby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 – stanovená hodnota platby na 1 lůžko/den pro jednotlivé druhy služeb, která odpovídá celkovým obvyklým (průměrným) nákladům na 1 lůžko/den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 – celkový počet lůžko/dnů (stanovený na základě počtu lůžek obsazených uživateli z Karlovarského kraje dle žádosti a doby poskytování služby v příslušném roce)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– koeficient zohledňující strukturu uživatelů služby dle stupně závislosti na pomoci jiné fyzické osoby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Hodnoty koeficientu „k“: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3523"/>
      </w:tblGrid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Podíl uživatelů ve stupni závislosti na pomoci jiné fyzické osoby II (středně těžká závislost), III (těžká závislost) a IV (úplná závislost) na celkovém počtu uživatelů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Hodnota koeficientu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80 % - 100 %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70 % - 79 %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60 % - 69 %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50 % - 59 %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40 % - 49 %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30 % - 39 %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20 % - 29 %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10 % - 19 %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>
        <w:tc>
          <w:tcPr>
            <w:tcW w:w="56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intervalu 0 % - 9 %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</w:tr>
    </w:tbl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Stanovená hodnota platby na 1 lůžko/den (ON):</w:t>
      </w:r>
    </w:p>
    <w:p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2 070 Kč v případě sociální služby domovy se zvláštním režimem. 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Návrh dotace na sociální službu nesmí překročit výši požadavku na dotaci na sociální službu uvedeného v žádosti.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V případě, kdy souhrn návrhů na dotaci bude vyšší než objem peněžních prostředků vyčleněných na dotační program, budou návrhy na dotace sníženy s ohledem na objem peněžních prostředků </w:t>
      </w: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vyčleněných na dotační program. Výsledné návrhy na dotaci budou zaokrouhleny na celé stokoruny směrem dolů.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Žádost se podává na každou sociální službu zvlášť.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Žadatelem o dotaci může být poskytovatel sociálních služeb, kterému bylo Ministerstvem práce a sociálních věcí vydáno rozhodnutí o poskytnutí dotace z kapitoly 313 – MPSV státního rozpočtu na podporu sociálních služeb na příslušný kalendářní rok.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lhůta pro podání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Žadatel musí vyplnit a odeslat elektronickou žádost v dotačním portálu Karlovarského kraje </w:t>
      </w:r>
      <w:hyperlink r:id="rId11" w:history="1">
        <w:r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>
        <w:rPr>
          <w:rFonts w:ascii="Times New Roman" w:hAnsi="Times New Roman"/>
        </w:rPr>
        <w:t>. Lhůta pro podávání (příjem) elektronických žádostí se stanovuje na dobu:</w:t>
      </w:r>
    </w:p>
    <w:p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 26. 5. 2026, 9:00 hodin,</w:t>
      </w:r>
    </w:p>
    <w:p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1. 6. 2026, 16:00 hodin.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 doby zahájení příjmu elektronických žádostí nebude žadateli umožněno vyplněnou a uloženou žádost odeslat.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případě závažných technických obtíží při příjmu elektronických žádostí si poskytovatel</w:t>
      </w:r>
      <w:r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>
        <w:rPr>
          <w:rFonts w:ascii="Times New Roman" w:hAnsi="Times New Roman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Žádost je nutno doručit poskytovateli jedním z následujících způsobů:</w:t>
      </w:r>
    </w:p>
    <w:p>
      <w:pPr>
        <w:numPr>
          <w:ilvl w:val="1"/>
          <w:numId w:val="3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 využije přihlášení do dotačního portálu Karlovarského kraje prostřednictvím </w:t>
      </w:r>
      <w:r>
        <w:rPr>
          <w:rFonts w:ascii="Times New Roman" w:hAnsi="Times New Roman"/>
          <w:b/>
        </w:rPr>
        <w:t>portálu národního bodu pro identifikaci a autentizaci (tzv. Identita občana)</w:t>
      </w:r>
      <w:r>
        <w:rPr>
          <w:rFonts w:ascii="Times New Roman" w:hAnsi="Times New Roman"/>
        </w:rPr>
        <w:t xml:space="preserve">, nebo využije </w:t>
      </w:r>
      <w:r>
        <w:rPr>
          <w:rFonts w:ascii="Times New Roman" w:hAnsi="Times New Roman"/>
          <w:b/>
        </w:rPr>
        <w:t xml:space="preserve">přihlášení </w:t>
      </w:r>
      <w:r>
        <w:rPr>
          <w:rFonts w:ascii="Times New Roman" w:hAnsi="Times New Roman"/>
        </w:rPr>
        <w:t xml:space="preserve">do dotačního portálu </w:t>
      </w:r>
      <w:r>
        <w:rPr>
          <w:rFonts w:ascii="Times New Roman" w:hAnsi="Times New Roman"/>
          <w:b/>
        </w:rPr>
        <w:t>prostřednictvím datových schránek (ISDS)</w:t>
      </w:r>
      <w:r>
        <w:rPr>
          <w:rFonts w:ascii="Times New Roman" w:hAnsi="Times New Roman"/>
        </w:rPr>
        <w:t>. V tomto případě není nutno elektronickou žádost podepisovat, stačí pouze v dotačním portálu odeslat;</w:t>
      </w:r>
    </w:p>
    <w:p>
      <w:pPr>
        <w:numPr>
          <w:ilvl w:val="1"/>
          <w:numId w:val="3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 využije přihlášení do dotačního portálu Karlovarského kraje prostřednictvím </w:t>
      </w:r>
      <w:r>
        <w:rPr>
          <w:rFonts w:ascii="Times New Roman" w:hAnsi="Times New Roman"/>
          <w:i/>
        </w:rPr>
        <w:t>„jména a hesla“</w:t>
      </w:r>
      <w:r>
        <w:rPr>
          <w:rFonts w:ascii="Times New Roman" w:hAnsi="Times New Roman"/>
        </w:rPr>
        <w:t xml:space="preserve"> a elektronickou žádost odešle přímo v dotačním portále prostřednictvím tlačítka „odeslat“. V tomto případě musí být žádost podepsána </w:t>
      </w:r>
      <w:r>
        <w:rPr>
          <w:rFonts w:ascii="Times New Roman" w:hAnsi="Times New Roman"/>
          <w:b/>
        </w:rPr>
        <w:t>uznávaným elektronickým podpisem</w:t>
      </w:r>
      <w:r>
        <w:rPr>
          <w:rStyle w:val="Znakapoznpodarou"/>
          <w:rFonts w:ascii="Times New Roman" w:hAnsi="Times New Roman"/>
          <w:b/>
        </w:rPr>
        <w:footnoteReference w:id="8"/>
      </w:r>
      <w:r>
        <w:rPr>
          <w:rFonts w:ascii="Times New Roman" w:hAnsi="Times New Roman"/>
        </w:rPr>
        <w:t>. Uznávaným elektronickým podpisem</w:t>
      </w:r>
      <w:r>
        <w:rPr>
          <w:rStyle w:val="Znakapoznpodarou"/>
          <w:rFonts w:ascii="Times New Roman" w:hAnsi="Times New Roman"/>
        </w:rPr>
        <w:footnoteReference w:id="9"/>
      </w:r>
      <w:r>
        <w:rPr>
          <w:rFonts w:ascii="Times New Roman" w:hAnsi="Times New Roman"/>
        </w:rPr>
        <w:t xml:space="preserve"> se rozumí </w:t>
      </w:r>
      <w:r>
        <w:rPr>
          <w:rFonts w:ascii="Times New Roman" w:hAnsi="Times New Roman"/>
          <w:b/>
        </w:rPr>
        <w:t>zaručený elektronický podpis</w:t>
      </w:r>
      <w:r>
        <w:rPr>
          <w:rStyle w:val="Znakapoznpodarou"/>
          <w:rFonts w:ascii="Times New Roman" w:hAnsi="Times New Roman"/>
          <w:b/>
        </w:rPr>
        <w:footnoteReference w:id="10"/>
      </w:r>
      <w:r>
        <w:rPr>
          <w:rFonts w:ascii="Times New Roman" w:hAnsi="Times New Roman"/>
        </w:rPr>
        <w:t xml:space="preserve"> založený na kvalifikovaném certifikátu pro elektronické podpisy nebo </w:t>
      </w:r>
      <w:r>
        <w:rPr>
          <w:rFonts w:ascii="Times New Roman" w:hAnsi="Times New Roman"/>
          <w:b/>
        </w:rPr>
        <w:t>kvalifikovaný elektronický podpis</w:t>
      </w:r>
      <w:r>
        <w:rPr>
          <w:rFonts w:ascii="Times New Roman" w:hAnsi="Times New Roman"/>
          <w:b/>
          <w:vertAlign w:val="superscript"/>
        </w:rPr>
        <w:t>9</w:t>
      </w:r>
      <w:r>
        <w:rPr>
          <w:rFonts w:ascii="Times New Roman" w:hAnsi="Times New Roman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Veškeré přílohy k žádosti je žadatel </w:t>
      </w:r>
      <w:r>
        <w:rPr>
          <w:rFonts w:ascii="Times New Roman" w:hAnsi="Times New Roman"/>
          <w:b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portálu Karlovarského kraje.</w:t>
      </w:r>
    </w:p>
    <w:p>
      <w:pPr>
        <w:spacing w:after="0" w:line="240" w:lineRule="auto"/>
        <w:jc w:val="both"/>
        <w:rPr>
          <w:rFonts w:ascii="Times New Roman" w:hAnsi="Times New Roman"/>
          <w:b/>
        </w:rPr>
      </w:pPr>
    </w:p>
    <w:p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>
        <w:rPr>
          <w:rFonts w:ascii="Times New Roman" w:hAnsi="Times New Roman"/>
          <w:b/>
        </w:rPr>
        <w:t>není povoleno a povede k vyřazení žádosti bez dalšího hodnocení</w:t>
      </w:r>
      <w:r>
        <w:rPr>
          <w:rFonts w:ascii="Times New Roman" w:hAnsi="Times New Roman"/>
        </w:rPr>
        <w:t>.</w:t>
      </w:r>
    </w:p>
    <w:p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Povinnými přílohami k žádosti jsou:</w:t>
      </w:r>
    </w:p>
    <w:p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vlastnictví bankovního účtu žadatele,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plná moc v případě zastoupení žadatele na základě plné moci,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úplný výpis z Evidence skutečných majitelů</w:t>
      </w:r>
      <w:r>
        <w:rPr>
          <w:rStyle w:val="Znakapoznpodarou"/>
          <w:rFonts w:ascii="Times New Roman" w:hAnsi="Times New Roman"/>
        </w:rPr>
        <w:footnoteReference w:id="11"/>
      </w:r>
      <w:r>
        <w:rPr>
          <w:rFonts w:ascii="Times New Roman" w:hAnsi="Times New Roman"/>
        </w:rPr>
        <w:t xml:space="preserve"> je-li žadatel právnickou osobou,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rozhodnutí o registraci sociální služby účinné v době podání žádosti,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rozhodnutí Ministerstva práce a sociálních věcí o poskytnutí dotace z kapitoly 313 – MPSV státního rozpočtu na rok 2026,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pověření Ministerstva práce a sociálních věcí k poskytování služeb obecného hospodářského zájmu,</w:t>
      </w:r>
    </w:p>
    <w:p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Specifikace sociální služby.</w:t>
      </w:r>
    </w:p>
    <w:p>
      <w:pPr>
        <w:pStyle w:val="Default"/>
        <w:rPr>
          <w:rFonts w:ascii="Times New Roman" w:hAnsi="Times New Roman" w:cs="Times New Roman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Lhůta pro rozhodnutí o žádosti se stanovuje na 120 pracovních dnů ode dne přijetí elektronické žádosti v informačním systému Karlovarského kraje.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VIII.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žádosti, vyhodnocení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 žádost doplnil, a to nejpozději ve lhůtě do 10 pracovních dnů ode dne odeslání výzvy elektronickou poštou k odstranění vad nebo doplnění žádosti.</w:t>
      </w:r>
    </w:p>
    <w:p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 výzvě k odstranění vad a uplynutí lhůty pro odstranění vad. U neúplné žádosti nebo žádosti s vadami bude podán návrh na neposkytnutí dotace.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Disponuje-li žadatel datovou schránkou, bude vždy upřednostněn tento formát komunikace, a to jak ze strany poskytovatele, tak žadatele. Tato podmínka platí napříč dotačním programem, tedy i pro následné změny a finanční vypořádání.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Odbor sociálních věcí předložené žádosti posoudí na základě následujících kritérií:</w:t>
      </w:r>
    </w:p>
    <w:p>
      <w:pPr>
        <w:numPr>
          <w:ilvl w:val="1"/>
          <w:numId w:val="26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IX. odst. 3 dotačního programu, tj. posouzení, zda je sociální služba v souladu s Akčním plánem rozvoje sociálních služeb v Karlovarském kraji na rok 2026 (dále jen „AP 2026“). Posuzuje se, zda je sociální služba uvedena ve výčtu sociálních služeb, který je uveden v kapitole 4.2.4. AP 2026.</w:t>
      </w:r>
    </w:p>
    <w:p>
      <w:pPr>
        <w:spacing w:after="0" w:line="240" w:lineRule="auto"/>
        <w:ind w:left="851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>
      <w:pPr>
        <w:numPr>
          <w:ilvl w:val="1"/>
          <w:numId w:val="26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IX. odst. 3 dotačního programu, tj. posouzení, zda je sociální služba poskytována na území Karlovarského kraje, popř. pro občany Karlovarského kraje.</w:t>
      </w:r>
    </w:p>
    <w:p>
      <w:pPr>
        <w:spacing w:after="0" w:line="240" w:lineRule="auto"/>
        <w:ind w:left="851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>
      <w:p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Žádost, která je v některém z kritérií dle písm. a) nebo b) hodnocena odpovědí „Nesplňuje“, nelze doporučit k finanční podpoře.</w:t>
      </w:r>
    </w:p>
    <w:p>
      <w:p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</w:p>
    <w:p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Žádosti, které nesplní kritéria věcného hodnocení dle odst. 5, nebudou navrženy k finanční podpoře. Výše návrhu dotace na jednotlivé sociální služby bude stanovena ve výši 5 % celkových obvyklých </w:t>
      </w:r>
      <w:r>
        <w:rPr>
          <w:rFonts w:ascii="Times New Roman" w:eastAsia="Times New Roman" w:hAnsi="Times New Roman"/>
          <w:lang w:eastAsia="cs-CZ"/>
        </w:rPr>
        <w:lastRenderedPageBreak/>
        <w:t>(průměrných) nákladů na jednotku, tj. úvazek pracovníka (pro ambulantní a terénní sociální služby), lůžko (pro pobytové sociální služby).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dotace, předmět dotace, poskytnutí dotace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 dubna 2022.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Poskytovatel dotace poskytne dotaci jen žadateli, jehož žádost je úplná a bez vad a byla podána ve lhůtě stanovené pro příjem žádostí a který splnil všechny další podmínky pro poskytnutí dotace specifikované dále v tomto článku.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Dotaci lze použít výhradně k účelu financování běžných výdajů souvisejících s poskytováním základních druhů a forem sociálních služeb v rozsahu stanoveném základními činnostmi u jednotlivých druhů sociálních služeb; jejich výčet a charakteristiky jsou uvedeny v části třetí hlavě I díle 2 až 4 zákona o sociálních službách. Dotace je určena na podporu sociálních služeb, které jsou uvedeny ve výčtu sociálních služeb, který je uveden v kapitole 4.2.4. AP 2026. Dotace je určena na podporu sociálních služeb, které jsou poskytovány na území Karlovarského kraje, popř. pro občany Karlovarského kraje.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Dotace se poskytuje výlučně na úhradu nezbytně nutných nákladů (výdajů) souvisejících s poskytováním sociální služby, tj. na osobní a provozní náklady. Osobní náklady jsou mzdové náklady včetně odvodů pojistného na sociální zabezpečení, příspěvku na státní politiku zaměstnanosti a pojistného na všeobecné zdravotní pojištění, které hradí zaměstnavatel za své zaměstnance, a další osobní náklady, které je zaměstnavatel za zaměstnance podle platných a účinných právních předpisů povinen odvádět. Provozní náklady jsou náklady nezbytné pro zajištění poskytování sociální služby v rozsahu stanoveném základními činnostmi sociální služby, které jsou identifikovatelné, účetně evidované, ověřitelné a podložené originálními dokumenty. Výše osobních a provozních nákladů nesmí přesáhnout obvyklou výši v daném místě a čase.</w:t>
      </w:r>
    </w:p>
    <w:p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DPH je uznatelným výdajem, pokud příjemce dotace (dále jen „příjemce“):</w:t>
      </w:r>
    </w:p>
    <w:p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není plátcem DPH,</w:t>
      </w:r>
    </w:p>
    <w:p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je plátcem DPH, ale dle zákona číslo 235/2004 Sb., o dani z přidané hodnoty, ve znění pozdějších předpisů nemá nárok na odpočet daně na vstupu.</w:t>
      </w:r>
    </w:p>
    <w:p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Dotace se neposkytuje na </w:t>
      </w:r>
      <w:r>
        <w:rPr>
          <w:rFonts w:ascii="Times New Roman" w:eastAsia="Arial Unicode MS" w:hAnsi="Times New Roman"/>
          <w:lang w:eastAsia="cs-CZ"/>
        </w:rPr>
        <w:t>zajištění fakultativních činností (§ 35 odst. 4 zákona o sociálních službách) a na úhradu výdajů uvedených v § 1 odst. 2 nařízení vlády č. 98/2015 Sb., o provedení § 101a zákona o sociálních službách, ve znění pozdějších předpisů.</w:t>
      </w:r>
    </w:p>
    <w:p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Dotace se poskytuje na realizaci činnosti od 1. 1. 2026 do 31. 12. 2026. Doklady o realizaci činnosti musí mít datum uskutečnění zdanitelného plnění od 1. 1. 2026 do 31. 12. 2026 a musí být uhrazeny nejpozději do 31. 12. 2026 (datum hotovostní úhrady nebo datum uskutečnění bankovního převodu). Pro bezhotovostní úhrady lze použít výlučně bankovní účet, jehož vlastníkem je žadatel. Platba z jiného bankovního účtu není přípustná.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>O rozhodnutí příslušného orgánu Karlovarského kraje bude žadatel vyrozuměn nejpozději do 15 pracovních dnů ode dne zveřejnění ověřeného usnesení na portálu Karlovarského kraje.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Vzor žádosti, příloh k žádosti a ostatních dokumentů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žádosti, resp. nevyplněnou elektronickou žádost má žadatel k dispozici v dotačním portálu Karlovarského kraje. Vzory příloh k žádosti jsou součástí tohoto dokumentu.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Čl. XI.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veřejnoprávní smlouvou o poskytnutí dotace.</w:t>
      </w:r>
    </w:p>
    <w:p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Kontrolu dle zákona č. 320/2001 Sb., o finanční kontrole ve veřejné správě a o změně některých zákonů (zákon o finanční kontrole), ve znění pozdějších předpisů a zákona č. 255/2012 Sb., o kontrole (kontrolní řád), ve znění pozdějších předpisů vykonávají mj. pověření zaměstnanci a členové příslušných kontrolních orgánů Karlovarského kraje.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Příjemce je povinen provést a předložit poskytovateli dotace finanční vypořádání dotace nejpozději do termínu stanoveného ve veřejnoprávní smlouvě o poskytnutí dotace</w:t>
      </w:r>
      <w:r>
        <w:rPr>
          <w:rFonts w:ascii="Times New Roman" w:eastAsia="Times New Roman" w:hAnsi="Times New Roman"/>
          <w:bCs/>
          <w:iCs/>
          <w:lang w:eastAsia="cs-CZ"/>
        </w:rPr>
        <w:t>. Poskytovatel dotace 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doloženo potvrzení o jeho úhradě (bankovní výpis či pokladní doklad). Zálohová platba se nepovažuje za podklad k finančnímu vypořádání dotace jako uznatelný výdaj.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poskytovatele dotace. Pro tento účel příjemce použije formulář Avízo, který je součástí formuláře Finanční vypořádání.</w:t>
      </w:r>
    </w:p>
    <w:p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XII.</w:t>
      </w:r>
    </w:p>
    <w:p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Závěrečná a přechodná ustanovení</w:t>
      </w: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dlouhodobých činností nebo opakovaných akcí nevzniká uzavřen</w:t>
      </w:r>
      <w:bookmarkStart w:id="0" w:name="_GoBack"/>
      <w:bookmarkEnd w:id="0"/>
      <w:r>
        <w:rPr>
          <w:rFonts w:ascii="Times New Roman" w:hAnsi="Times New Roman"/>
        </w:rPr>
        <w:t>ím veřejnoprávní smlouvy o poskytnutí dotace automatický nárok na poskytnutí dotace v následujících letech</w:t>
      </w:r>
      <w:r>
        <w:rPr>
          <w:rStyle w:val="Znakapoznpodarou"/>
          <w:rFonts w:ascii="Times New Roman" w:hAnsi="Times New Roman"/>
        </w:rPr>
        <w:footnoteReference w:id="16"/>
      </w:r>
      <w:r>
        <w:rPr>
          <w:rFonts w:ascii="Times New Roman" w:hAnsi="Times New Roman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Dotační program se přijímá pro období od 1. 1. 2026.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Dotační program byl schválen usnesením zastupitelstva kraje č. ZK 123/04/26 ze dne 20. 4. 2026.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Současně se ruší Program na zajištění spolufinancování sociálních služeb s celostátní a nadregionální působností schválený usnesením zastupitelstva kraje č. ZK 159/04/25 </w:t>
      </w:r>
      <w:r>
        <w:rPr>
          <w:rFonts w:ascii="Times New Roman" w:hAnsi="Times New Roman"/>
        </w:rPr>
        <w:br/>
        <w:t>ze dne 28. 4. 2025.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Dotační program nabývá účinnosti dnem schválení.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Přílohy:</w:t>
      </w:r>
    </w:p>
    <w:p>
      <w:pPr>
        <w:pStyle w:val="Default"/>
        <w:rPr>
          <w:rFonts w:ascii="Times New Roman" w:hAnsi="Times New Roman" w:cs="Times New Roman"/>
          <w:sz w:val="22"/>
          <w:szCs w:val="22"/>
        </w:rPr>
      </w:pPr>
    </w:p>
    <w:p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 o dotaci</w:t>
      </w:r>
    </w:p>
    <w:p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Specifikace sociální služby</w:t>
      </w:r>
    </w:p>
    <w:p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Vyhodnocení použití poskytnuté dotace</w:t>
      </w:r>
    </w:p>
    <w:p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veřejnoprávní smlouvy o poskytnutí dotace z rozpočtu Karlovarského kraje</w:t>
      </w:r>
    </w:p>
    <w:p>
      <w:pPr>
        <w:spacing w:after="0" w:line="240" w:lineRule="auto"/>
        <w:jc w:val="both"/>
        <w:rPr>
          <w:rFonts w:ascii="Times New Roman" w:hAnsi="Times New Roman"/>
          <w:strike/>
        </w:rPr>
      </w:pPr>
    </w:p>
    <w:sectPr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>
      <w:tc>
        <w:tcPr>
          <w:tcW w:w="3020" w:type="dxa"/>
        </w:tcPr>
        <w:p>
          <w:pPr>
            <w:pStyle w:val="Zhlav"/>
            <w:ind w:left="-115"/>
          </w:pPr>
        </w:p>
      </w:tc>
      <w:tc>
        <w:tcPr>
          <w:tcW w:w="3020" w:type="dxa"/>
        </w:tcPr>
        <w:p>
          <w:pPr>
            <w:pStyle w:val="Zhlav"/>
            <w:jc w:val="center"/>
          </w:pPr>
        </w:p>
      </w:tc>
      <w:tc>
        <w:tcPr>
          <w:tcW w:w="3020" w:type="dxa"/>
        </w:tcPr>
        <w:p>
          <w:pPr>
            <w:pStyle w:val="Zhlav"/>
            <w:ind w:right="-115"/>
            <w:jc w:val="right"/>
          </w:pPr>
        </w:p>
      </w:tc>
    </w:tr>
  </w:tbl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a) zákona č. 250/2000 Sb., o rozpočtových pravidlech územních rozpočtů, ve znění pozdějších předpisů</w:t>
      </w:r>
    </w:p>
  </w:footnote>
  <w:footnote w:id="3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b) zákona č. 250/2000 Sb.</w:t>
      </w:r>
    </w:p>
  </w:footnote>
  <w:footnote w:id="4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c) zákona č. 250/2000 Sb.</w:t>
      </w:r>
    </w:p>
  </w:footnote>
  <w:footnote w:id="5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d) zákona č. 250/2000 Sb.</w:t>
      </w:r>
    </w:p>
  </w:footnote>
  <w:footnote w:id="6">
    <w:p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e) zákona č. 250/2000 Sb.</w:t>
      </w:r>
    </w:p>
  </w:footnote>
  <w:footnote w:id="7">
    <w:p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f) zákona č. 250/2000 Sb.</w:t>
      </w:r>
    </w:p>
  </w:footnote>
  <w:footnote w:id="8">
    <w:p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transakce, ve znění pozdějších předpisů</w:t>
      </w:r>
    </w:p>
  </w:footnote>
  <w:footnote w:id="9">
    <w:p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6 odst. 2 zákona č. 297/2016 Sb.</w:t>
      </w:r>
    </w:p>
  </w:footnote>
  <w:footnote w:id="10">
    <w:p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3 písm. f) bod 3. zákona č. 250/2000 Sb.</w:t>
      </w:r>
    </w:p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č. 37/2021 Sb., o evidenci skutečných majitelů, ve znění pozdějších předpisů</w:t>
      </w:r>
    </w:p>
  </w:footnote>
  <w:footnote w:id="12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h) zákona č. 250/2000 Sb.</w:t>
      </w:r>
    </w:p>
  </w:footnote>
  <w:footnote w:id="13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g) zákona č. 250/2000 Sb.</w:t>
      </w:r>
    </w:p>
  </w:footnote>
  <w:footnote w:id="14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i) zákona č. 250/2000 Sb.</w:t>
      </w:r>
    </w:p>
  </w:footnote>
  <w:footnote w:id="15">
    <w:p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j) zákona č. 250/2000 Sb.</w:t>
      </w:r>
    </w:p>
  </w:footnote>
  <w:footnote w:id="16">
    <w:p>
      <w:pPr>
        <w:pStyle w:val="Textpoznpodarou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>
      <w:tc>
        <w:tcPr>
          <w:tcW w:w="3020" w:type="dxa"/>
        </w:tcPr>
        <w:p>
          <w:pPr>
            <w:pStyle w:val="Zhlav"/>
            <w:ind w:left="-115"/>
          </w:pPr>
        </w:p>
      </w:tc>
      <w:tc>
        <w:tcPr>
          <w:tcW w:w="3020" w:type="dxa"/>
        </w:tcPr>
        <w:p>
          <w:pPr>
            <w:pStyle w:val="Zhlav"/>
            <w:jc w:val="center"/>
          </w:pPr>
        </w:p>
      </w:tc>
      <w:tc>
        <w:tcPr>
          <w:tcW w:w="3020" w:type="dxa"/>
        </w:tcPr>
        <w:p>
          <w:pPr>
            <w:pStyle w:val="Zhlav"/>
            <w:ind w:right="-115"/>
            <w:jc w:val="right"/>
          </w:pPr>
        </w:p>
      </w:tc>
    </w:tr>
  </w:tbl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caps/>
      </w:rPr>
      <w:t>KARLOVARSKÝ KRAJ</w:t>
    </w:r>
  </w:p>
  <w:p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1A44E7C4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BCA"/>
    <w:multiLevelType w:val="hybridMultilevel"/>
    <w:tmpl w:val="77F8F7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81BEE"/>
    <w:multiLevelType w:val="hybridMultilevel"/>
    <w:tmpl w:val="682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B0A4A"/>
    <w:multiLevelType w:val="hybridMultilevel"/>
    <w:tmpl w:val="95DA5BF8"/>
    <w:lvl w:ilvl="0" w:tplc="2780B3D6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35537D"/>
    <w:multiLevelType w:val="hybridMultilevel"/>
    <w:tmpl w:val="1BCCE0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BE5C00"/>
    <w:multiLevelType w:val="hybridMultilevel"/>
    <w:tmpl w:val="956CBDB6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724D33"/>
    <w:multiLevelType w:val="hybridMultilevel"/>
    <w:tmpl w:val="31B67054"/>
    <w:lvl w:ilvl="0" w:tplc="4D9A9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3856A080"/>
    <w:lvl w:ilvl="0" w:tplc="D126242A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032D2"/>
    <w:multiLevelType w:val="hybridMultilevel"/>
    <w:tmpl w:val="9DB6FCB2"/>
    <w:lvl w:ilvl="0" w:tplc="4D9A9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0"/>
  </w:num>
  <w:num w:numId="3">
    <w:abstractNumId w:val="41"/>
  </w:num>
  <w:num w:numId="4">
    <w:abstractNumId w:val="18"/>
  </w:num>
  <w:num w:numId="5">
    <w:abstractNumId w:val="9"/>
  </w:num>
  <w:num w:numId="6">
    <w:abstractNumId w:val="43"/>
  </w:num>
  <w:num w:numId="7">
    <w:abstractNumId w:val="13"/>
  </w:num>
  <w:num w:numId="8">
    <w:abstractNumId w:val="3"/>
  </w:num>
  <w:num w:numId="9">
    <w:abstractNumId w:val="23"/>
  </w:num>
  <w:num w:numId="10">
    <w:abstractNumId w:val="5"/>
  </w:num>
  <w:num w:numId="11">
    <w:abstractNumId w:val="45"/>
  </w:num>
  <w:num w:numId="12">
    <w:abstractNumId w:val="4"/>
  </w:num>
  <w:num w:numId="13">
    <w:abstractNumId w:val="11"/>
  </w:num>
  <w:num w:numId="14">
    <w:abstractNumId w:val="38"/>
  </w:num>
  <w:num w:numId="15">
    <w:abstractNumId w:val="48"/>
  </w:num>
  <w:num w:numId="16">
    <w:abstractNumId w:val="42"/>
  </w:num>
  <w:num w:numId="17">
    <w:abstractNumId w:val="25"/>
  </w:num>
  <w:num w:numId="18">
    <w:abstractNumId w:val="44"/>
  </w:num>
  <w:num w:numId="19">
    <w:abstractNumId w:val="0"/>
  </w:num>
  <w:num w:numId="20">
    <w:abstractNumId w:val="47"/>
  </w:num>
  <w:num w:numId="21">
    <w:abstractNumId w:val="2"/>
  </w:num>
  <w:num w:numId="22">
    <w:abstractNumId w:val="21"/>
  </w:num>
  <w:num w:numId="23">
    <w:abstractNumId w:val="26"/>
  </w:num>
  <w:num w:numId="24">
    <w:abstractNumId w:val="39"/>
  </w:num>
  <w:num w:numId="25">
    <w:abstractNumId w:val="22"/>
  </w:num>
  <w:num w:numId="26">
    <w:abstractNumId w:val="32"/>
  </w:num>
  <w:num w:numId="27">
    <w:abstractNumId w:val="14"/>
  </w:num>
  <w:num w:numId="28">
    <w:abstractNumId w:val="17"/>
  </w:num>
  <w:num w:numId="29">
    <w:abstractNumId w:val="12"/>
  </w:num>
  <w:num w:numId="30">
    <w:abstractNumId w:val="30"/>
  </w:num>
  <w:num w:numId="31">
    <w:abstractNumId w:val="46"/>
  </w:num>
  <w:num w:numId="32">
    <w:abstractNumId w:val="33"/>
  </w:num>
  <w:num w:numId="33">
    <w:abstractNumId w:val="16"/>
  </w:num>
  <w:num w:numId="34">
    <w:abstractNumId w:val="1"/>
  </w:num>
  <w:num w:numId="35">
    <w:abstractNumId w:val="37"/>
  </w:num>
  <w:num w:numId="36">
    <w:abstractNumId w:val="7"/>
  </w:num>
  <w:num w:numId="37">
    <w:abstractNumId w:val="15"/>
  </w:num>
  <w:num w:numId="38">
    <w:abstractNumId w:val="19"/>
  </w:num>
  <w:num w:numId="39">
    <w:abstractNumId w:val="28"/>
  </w:num>
  <w:num w:numId="40">
    <w:abstractNumId w:val="6"/>
  </w:num>
  <w:num w:numId="41">
    <w:abstractNumId w:val="10"/>
  </w:num>
  <w:num w:numId="42">
    <w:abstractNumId w:val="35"/>
  </w:num>
  <w:num w:numId="43">
    <w:abstractNumId w:val="34"/>
  </w:num>
  <w:num w:numId="44">
    <w:abstractNumId w:val="20"/>
  </w:num>
  <w:num w:numId="45">
    <w:abstractNumId w:val="27"/>
  </w:num>
  <w:num w:numId="46">
    <w:abstractNumId w:val="49"/>
  </w:num>
  <w:num w:numId="47">
    <w:abstractNumId w:val="36"/>
  </w:num>
  <w:num w:numId="48">
    <w:abstractNumId w:val="8"/>
  </w:num>
  <w:num w:numId="49">
    <w:abstractNumId w:val="31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2Char">
    <w:name w:val="Nadpis 2 Char"/>
    <w:link w:val="Nadpis2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Pr>
      <w:color w:val="954F72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Pr>
      <w:color w:val="0563C1"/>
      <w:u w:val="single"/>
    </w:rPr>
  </w:style>
  <w:style w:type="character" w:customStyle="1" w:styleId="FontStyle49">
    <w:name w:val="Font Style49"/>
    <w:uiPriority w:val="99"/>
    <w:qFormat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Pr>
      <w:lang w:eastAsia="en-US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306720-407B-4673-9432-66241C00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0EFD5-442E-4306-89C9-43DD661C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2484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17106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Pilařová Jana</cp:lastModifiedBy>
  <cp:revision>10</cp:revision>
  <cp:lastPrinted>2017-10-02T23:22:00Z</cp:lastPrinted>
  <dcterms:created xsi:type="dcterms:W3CDTF">2025-04-30T11:05:00Z</dcterms:created>
  <dcterms:modified xsi:type="dcterms:W3CDTF">2026-04-22T07:48:00Z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