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233E" w14:textId="77777777"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7536E39A" w14:textId="77777777" w:rsidR="00487D29" w:rsidRPr="00E367DE" w:rsidRDefault="00F921D0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x-none" w:eastAsia="x-none"/>
        </w:rPr>
      </w:pPr>
      <w:r w:rsidRPr="00E367DE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</w:p>
    <w:p w14:paraId="55C6823B" w14:textId="77777777" w:rsidR="00487D29" w:rsidRPr="00E367DE" w:rsidRDefault="00F921D0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32"/>
          <w:szCs w:val="32"/>
        </w:rPr>
      </w:pPr>
      <w:r w:rsidRPr="00E367DE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na </w:t>
      </w:r>
      <w:r w:rsidR="00C5678A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investiční </w:t>
      </w:r>
      <w:r w:rsidRPr="00E367DE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podporu </w:t>
      </w:r>
      <w:r w:rsidR="00C5678A">
        <w:rPr>
          <w:rFonts w:ascii="Times New Roman" w:hAnsi="Times New Roman"/>
          <w:b/>
          <w:bCs/>
          <w:color w:val="000000" w:themeColor="text1"/>
          <w:sz w:val="32"/>
          <w:szCs w:val="32"/>
        </w:rPr>
        <w:t>terénních a ambulantních sociálních služeb</w:t>
      </w:r>
    </w:p>
    <w:p w14:paraId="3B7EF1DE" w14:textId="77777777" w:rsidR="00487D29" w:rsidRPr="00E367DE" w:rsidRDefault="00487D29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1011A2B9" w14:textId="77777777" w:rsidR="00487D29" w:rsidRPr="00E367DE" w:rsidRDefault="00F921D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E367DE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14:paraId="0F9C5B37" w14:textId="77777777"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C6415CF" w14:textId="77777777" w:rsidR="00487D29" w:rsidRPr="00E367DE" w:rsidRDefault="00F921D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 Karlovarského kraje (dále jen „</w:t>
      </w:r>
      <w:r w:rsidRPr="00E367DE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zastupitelstvo kraje</w:t>
      </w:r>
      <w:r w:rsidRPr="00E367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schvaluje a vyhlašuje shora uvedený dotační program a přijímá tato </w:t>
      </w: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Pr="00E367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26A59552" w14:textId="77777777"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5E2CA7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14:paraId="6CE3CF8B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14:paraId="4CB488DB" w14:textId="77777777" w:rsidR="003A58E1" w:rsidRDefault="00F921D0" w:rsidP="003A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 xml:space="preserve">Dotační program se zřizuje za účelem </w:t>
      </w:r>
      <w:r w:rsidR="003A58E1">
        <w:rPr>
          <w:rFonts w:ascii="Times New Roman" w:hAnsi="Times New Roman"/>
          <w:color w:val="000000" w:themeColor="text1"/>
        </w:rPr>
        <w:t>investiční podpory terénních a ambulantních sociálních služeb. Dotace se poskytuje na nákup automobilu.</w:t>
      </w:r>
    </w:p>
    <w:p w14:paraId="7A9DEF45" w14:textId="3AC092CC" w:rsidR="00487D29" w:rsidRPr="00E367DE" w:rsidRDefault="0048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7F119F0" w14:textId="77777777" w:rsidR="00487D29" w:rsidRPr="00E367DE" w:rsidRDefault="0048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77CC702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14:paraId="28EB61C2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Důvody podpory stanoveného účelu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3"/>
      </w:r>
    </w:p>
    <w:p w14:paraId="691214A2" w14:textId="77777777" w:rsidR="00C5678A" w:rsidRPr="004D4D4C" w:rsidRDefault="00F921D0" w:rsidP="00C5678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E367DE">
        <w:rPr>
          <w:rFonts w:ascii="Times New Roman" w:hAnsi="Times New Roman"/>
          <w:color w:val="000000" w:themeColor="text1"/>
        </w:rPr>
        <w:t xml:space="preserve">Důvodem vyhlášení dotačního programu je podpora </w:t>
      </w:r>
      <w:r w:rsidR="00C5678A" w:rsidRPr="004D4D4C">
        <w:rPr>
          <w:rFonts w:ascii="Times New Roman" w:hAnsi="Times New Roman"/>
        </w:rPr>
        <w:t>a rozvoj terénních a ambulantních sociálních služeb v návaznosti na požadavky pro poskytování těchto sociálních služeb zejména v oblasti zajištění dopravní obslužnosti, v souladu s dílčím cílem 5.1.1. Podpora opatření směřujících k rozvoji sítě terénních a ambulantních služeb Střednědobého plánu rozvoje sociálních služeb v Karlovarském kraji na období 202</w:t>
      </w:r>
      <w:r w:rsidR="00C5678A">
        <w:rPr>
          <w:rFonts w:ascii="Times New Roman" w:hAnsi="Times New Roman"/>
        </w:rPr>
        <w:t>4</w:t>
      </w:r>
      <w:r w:rsidR="00C5678A" w:rsidRPr="004D4D4C">
        <w:rPr>
          <w:rFonts w:ascii="Times New Roman" w:hAnsi="Times New Roman"/>
        </w:rPr>
        <w:t>–2026.</w:t>
      </w:r>
    </w:p>
    <w:p w14:paraId="75AE7DCA" w14:textId="77777777" w:rsidR="00487D29" w:rsidRPr="00E367DE" w:rsidRDefault="00487D29" w:rsidP="00C5678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</w:rPr>
      </w:pPr>
    </w:p>
    <w:p w14:paraId="421CA0A6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14:paraId="5F4BDA4B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celkový objem peněžních prostředků vyčleněných na podporu stanoveného účelu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7C024EDA" w14:textId="77777777" w:rsidR="00487D29" w:rsidRPr="00E367DE" w:rsidRDefault="00F921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1" w:name="_Hlk117515869"/>
      <w:bookmarkStart w:id="2" w:name="_Hlk215488337"/>
      <w:r w:rsidRPr="00E367DE">
        <w:rPr>
          <w:rFonts w:ascii="Times New Roman" w:hAnsi="Times New Roman"/>
          <w:color w:val="000000" w:themeColor="text1"/>
        </w:rPr>
        <w:t xml:space="preserve">Pro dotační program je vyčleněna </w:t>
      </w:r>
      <w:r w:rsidRPr="003E5F86">
        <w:rPr>
          <w:rFonts w:ascii="Times New Roman" w:hAnsi="Times New Roman"/>
          <w:color w:val="000000" w:themeColor="text1"/>
        </w:rPr>
        <w:t xml:space="preserve">částka </w:t>
      </w:r>
      <w:r w:rsidR="00C5678A" w:rsidRPr="00E62D08">
        <w:rPr>
          <w:rFonts w:ascii="Times New Roman" w:hAnsi="Times New Roman"/>
          <w:color w:val="000000" w:themeColor="text1"/>
        </w:rPr>
        <w:t>3 000 000</w:t>
      </w:r>
      <w:r w:rsidRPr="00E62D08">
        <w:rPr>
          <w:rFonts w:ascii="Times New Roman" w:hAnsi="Times New Roman"/>
          <w:color w:val="000000" w:themeColor="text1"/>
        </w:rPr>
        <w:t xml:space="preserve"> Kč</w:t>
      </w:r>
      <w:r w:rsidRPr="003E5F86">
        <w:rPr>
          <w:rFonts w:ascii="Times New Roman" w:hAnsi="Times New Roman"/>
          <w:color w:val="000000" w:themeColor="text1"/>
        </w:rPr>
        <w:t xml:space="preserve"> z</w:t>
      </w:r>
      <w:r w:rsidRPr="00E367DE">
        <w:rPr>
          <w:rFonts w:ascii="Times New Roman" w:hAnsi="Times New Roman"/>
          <w:color w:val="000000" w:themeColor="text1"/>
        </w:rPr>
        <w:t xml:space="preserve"> rozpočtu Karlovarského kraje pro rok 2026.</w:t>
      </w:r>
    </w:p>
    <w:bookmarkEnd w:id="1"/>
    <w:p w14:paraId="7F97F8B4" w14:textId="77777777"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2D06CF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IV.</w:t>
      </w:r>
    </w:p>
    <w:p w14:paraId="4E6AD896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Minimální a maximální výše dotace v jednotlivém případě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14:paraId="7403E4D4" w14:textId="77777777" w:rsidR="00487D29" w:rsidRPr="00E367DE" w:rsidRDefault="00F921D0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Výše dotace v jednotlivém případě (rozumí se jedna žádost) smí činit maximálně </w:t>
      </w:r>
      <w:r w:rsidR="00EE1961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00 000 Kč.</w:t>
      </w:r>
    </w:p>
    <w:p w14:paraId="546EA043" w14:textId="77777777" w:rsidR="00487D29" w:rsidRPr="00E367DE" w:rsidRDefault="00487D2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306FEEF" w14:textId="77777777" w:rsidR="00487D29" w:rsidRPr="00E367DE" w:rsidRDefault="00F921D0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Žadatel může podat maximálně </w:t>
      </w:r>
      <w:r w:rsidR="00A47535"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E367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žádost v rámci dotačního programu.</w:t>
      </w:r>
    </w:p>
    <w:bookmarkEnd w:id="2"/>
    <w:p w14:paraId="717DD6A4" w14:textId="77777777" w:rsidR="00487D29" w:rsidRPr="00E367DE" w:rsidRDefault="00487D29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A0524F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V.</w:t>
      </w:r>
    </w:p>
    <w:p w14:paraId="38825693" w14:textId="77777777" w:rsidR="00487D29" w:rsidRPr="00E367DE" w:rsidRDefault="00F921D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67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Pr="00E367DE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7B400FE1" w14:textId="77777777" w:rsidR="00C5678A" w:rsidRPr="00531402" w:rsidRDefault="00C5678A" w:rsidP="00C5678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 xml:space="preserve"> poskytovatel sociálních služeb zapsaný v registru poskytovatelů sociálních služeb podle ustanovení § 85 odst. 1 zákona č. 108/2006 Sb., o sociálních službách, ve znění pozdějších předpisů.</w:t>
      </w:r>
    </w:p>
    <w:p w14:paraId="63AE19B5" w14:textId="77777777" w:rsidR="00487D29" w:rsidRDefault="00F921D0" w:rsidP="00A4753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291D0F0B" w14:textId="77777777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5AD6EE1D" w14:textId="77777777" w:rsidR="00487D29" w:rsidRDefault="00F921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lhůta pro podání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279B591" w14:textId="77777777" w:rsidR="00487D29" w:rsidRDefault="00F921D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>
        <w:rPr>
          <w:rFonts w:ascii="Times New Roman" w:hAnsi="Times New Roman"/>
        </w:rPr>
        <w:t>. Lhůta pro podávání (příjem) elektronických žádostí se stanovuje na dobu:</w:t>
      </w:r>
    </w:p>
    <w:p w14:paraId="1C54A938" w14:textId="492620F9" w:rsidR="003E5F86" w:rsidRPr="003E5F86" w:rsidRDefault="00F92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bookmarkStart w:id="3" w:name="_Hlk215489065"/>
      <w:r w:rsidRPr="003E5F86">
        <w:rPr>
          <w:rFonts w:ascii="Times New Roman" w:hAnsi="Times New Roman"/>
        </w:rPr>
        <w:t xml:space="preserve">od </w:t>
      </w:r>
      <w:r w:rsidR="003E5F86" w:rsidRPr="00E62D08">
        <w:rPr>
          <w:rFonts w:ascii="Times New Roman" w:hAnsi="Times New Roman"/>
        </w:rPr>
        <w:t>17</w:t>
      </w:r>
      <w:r w:rsidRPr="00E62D08">
        <w:rPr>
          <w:rFonts w:ascii="Times New Roman" w:hAnsi="Times New Roman"/>
        </w:rPr>
        <w:t xml:space="preserve">. </w:t>
      </w:r>
      <w:r w:rsidR="003E5F86" w:rsidRPr="00E62D08">
        <w:rPr>
          <w:rFonts w:ascii="Times New Roman" w:hAnsi="Times New Roman"/>
        </w:rPr>
        <w:t>3</w:t>
      </w:r>
      <w:r w:rsidRPr="00E62D08">
        <w:rPr>
          <w:rFonts w:ascii="Times New Roman" w:hAnsi="Times New Roman"/>
        </w:rPr>
        <w:t xml:space="preserve">. 2026, 9:00 hodin, </w:t>
      </w:r>
    </w:p>
    <w:p w14:paraId="6B4C2123" w14:textId="7D06165D" w:rsidR="003E5F86" w:rsidRPr="003E5F86" w:rsidRDefault="00F921D0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3E5F86">
        <w:rPr>
          <w:rFonts w:ascii="Times New Roman" w:hAnsi="Times New Roman"/>
        </w:rPr>
        <w:t>do </w:t>
      </w:r>
      <w:r w:rsidR="003E5F86" w:rsidRPr="00E62D08">
        <w:rPr>
          <w:rFonts w:ascii="Times New Roman" w:hAnsi="Times New Roman"/>
        </w:rPr>
        <w:t>3</w:t>
      </w:r>
      <w:r w:rsidR="00030267">
        <w:rPr>
          <w:rFonts w:ascii="Times New Roman" w:hAnsi="Times New Roman"/>
        </w:rPr>
        <w:t>0</w:t>
      </w:r>
      <w:r w:rsidRPr="00E62D08">
        <w:rPr>
          <w:rFonts w:ascii="Times New Roman" w:eastAsia="Times New Roman" w:hAnsi="Times New Roman"/>
        </w:rPr>
        <w:t xml:space="preserve">. </w:t>
      </w:r>
      <w:r w:rsidR="00C70946">
        <w:rPr>
          <w:rFonts w:ascii="Times New Roman" w:eastAsia="Times New Roman" w:hAnsi="Times New Roman"/>
        </w:rPr>
        <w:t>3</w:t>
      </w:r>
      <w:r w:rsidRPr="00E62D08">
        <w:rPr>
          <w:rFonts w:ascii="Times New Roman" w:eastAsia="Times New Roman" w:hAnsi="Times New Roman"/>
        </w:rPr>
        <w:t>. 2026, 16:00 hodin.</w:t>
      </w:r>
      <w:r w:rsidRPr="00E62D08">
        <w:t xml:space="preserve"> </w:t>
      </w:r>
    </w:p>
    <w:bookmarkEnd w:id="3"/>
    <w:p w14:paraId="666BEE50" w14:textId="77777777" w:rsidR="00487D29" w:rsidRPr="00E367DE" w:rsidRDefault="00487D29" w:rsidP="00E62D08">
      <w:pPr>
        <w:pStyle w:val="Odstavecseseznamem"/>
        <w:spacing w:after="0" w:line="240" w:lineRule="auto"/>
        <w:jc w:val="both"/>
        <w:rPr>
          <w:color w:val="000000" w:themeColor="text1"/>
        </w:rPr>
      </w:pPr>
    </w:p>
    <w:p w14:paraId="55A251FF" w14:textId="77777777" w:rsidR="00487D29" w:rsidRDefault="00F921D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 w14:paraId="4F3082CC" w14:textId="77777777"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14:paraId="131699D0" w14:textId="77777777"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 závažných technických obtíží při příjmu elektronických žádostí si poskytovatel</w:t>
      </w:r>
      <w:r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14:paraId="651781E6" w14:textId="77777777"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14:paraId="51DF3D61" w14:textId="77777777"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Žádost je nutno doručit poskytovateli jedním z následujících způsobů:</w:t>
      </w:r>
    </w:p>
    <w:p w14:paraId="7C42907F" w14:textId="77777777" w:rsidR="00487D29" w:rsidRDefault="00F921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využije přihlášení do dotačního portálu Karlovarského kraje prostřednictvím </w:t>
      </w:r>
      <w:r>
        <w:rPr>
          <w:rFonts w:ascii="Times New Roman" w:hAnsi="Times New Roman"/>
          <w:b/>
          <w:bCs/>
        </w:rPr>
        <w:t>portálu národního bodu pro identifikaci a autentizaci (tzv. Identita občana)</w:t>
      </w:r>
      <w:r>
        <w:rPr>
          <w:rFonts w:ascii="Times New Roman" w:hAnsi="Times New Roman"/>
        </w:rPr>
        <w:t xml:space="preserve">, nebo využije </w:t>
      </w:r>
      <w:r>
        <w:rPr>
          <w:rFonts w:ascii="Times New Roman" w:hAnsi="Times New Roman"/>
          <w:b/>
          <w:bCs/>
        </w:rPr>
        <w:t>přihlášení</w:t>
      </w:r>
      <w:r>
        <w:rPr>
          <w:rFonts w:ascii="Times New Roman" w:hAnsi="Times New Roman"/>
        </w:rPr>
        <w:t xml:space="preserve"> do dotačního portálu </w:t>
      </w:r>
      <w:r>
        <w:rPr>
          <w:rFonts w:ascii="Times New Roman" w:hAnsi="Times New Roman"/>
          <w:b/>
          <w:bCs/>
        </w:rPr>
        <w:t>prostřednictvím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datových schránek (ISDS)</w:t>
      </w:r>
      <w:r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20AE454F" w14:textId="77777777" w:rsidR="00487D29" w:rsidRDefault="00F921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 využije přihlášení do dotačního portálu Karlovarského kraje prostřednictvím </w:t>
      </w:r>
      <w:r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  <w:t>a hesla“</w:t>
      </w:r>
      <w:r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>
        <w:rPr>
          <w:rFonts w:ascii="Times New Roman" w:hAnsi="Times New Roman"/>
          <w:b/>
        </w:rPr>
        <w:t>uznávaným elektronickým podpisem</w:t>
      </w:r>
      <w:r>
        <w:rPr>
          <w:rStyle w:val="Znakapoznpodarou"/>
          <w:rFonts w:ascii="Times New Roman" w:hAnsi="Times New Roman"/>
        </w:rPr>
        <w:footnoteReference w:id="8"/>
      </w:r>
      <w:r>
        <w:rPr>
          <w:rFonts w:ascii="Times New Roman" w:hAnsi="Times New Roman"/>
        </w:rPr>
        <w:t>. Uznávaným elektronickým podpisem</w:t>
      </w:r>
      <w:r>
        <w:rPr>
          <w:rStyle w:val="Znakapoznpodarou"/>
          <w:rFonts w:ascii="Times New Roman" w:hAnsi="Times New Roman"/>
        </w:rPr>
        <w:footnoteReference w:id="9"/>
      </w:r>
      <w:r>
        <w:rPr>
          <w:rFonts w:ascii="Times New Roman" w:hAnsi="Times New Roman"/>
        </w:rPr>
        <w:t xml:space="preserve"> se rozumí </w:t>
      </w:r>
      <w:r>
        <w:rPr>
          <w:rFonts w:ascii="Times New Roman" w:hAnsi="Times New Roman"/>
          <w:b/>
        </w:rPr>
        <w:t>zaručený elektronický podpis</w:t>
      </w:r>
      <w:r>
        <w:rPr>
          <w:rStyle w:val="Znakapoznpodarou"/>
          <w:rFonts w:ascii="Times New Roman" w:hAnsi="Times New Roman"/>
          <w:b/>
        </w:rPr>
        <w:footnoteReference w:id="10"/>
      </w:r>
      <w:r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  <w:t xml:space="preserve">na kvalifikovaném certifikátu pro elektronické podpisy nebo </w:t>
      </w:r>
      <w:r>
        <w:rPr>
          <w:rFonts w:ascii="Times New Roman" w:hAnsi="Times New Roman"/>
          <w:b/>
        </w:rPr>
        <w:t>kvalifikovaný elektronický podpis</w:t>
      </w:r>
      <w:r>
        <w:rPr>
          <w:rStyle w:val="Znakapoznpodarou"/>
          <w:rFonts w:ascii="Times New Roman" w:hAnsi="Times New Roman"/>
          <w:b/>
        </w:rPr>
        <w:t>9</w:t>
      </w:r>
      <w:r>
        <w:rPr>
          <w:rFonts w:ascii="Times New Roman" w:hAnsi="Times New Roman"/>
        </w:rPr>
        <w:t xml:space="preserve">. </w:t>
      </w:r>
    </w:p>
    <w:p w14:paraId="58A5B433" w14:textId="77777777" w:rsidR="00487D29" w:rsidRDefault="00487D29">
      <w:pPr>
        <w:spacing w:after="0"/>
        <w:rPr>
          <w:rFonts w:ascii="Times New Roman" w:hAnsi="Times New Roman"/>
        </w:rPr>
      </w:pPr>
    </w:p>
    <w:p w14:paraId="67FEF3D3" w14:textId="77777777"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Veškeré přílohy k žádosti je žadatel </w:t>
      </w:r>
      <w:r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portálu Karlovarského kraje. </w:t>
      </w:r>
    </w:p>
    <w:p w14:paraId="3ADCC3B0" w14:textId="77777777" w:rsidR="00487D29" w:rsidRDefault="00487D2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24C0F34" w14:textId="77777777" w:rsidR="00487D29" w:rsidRDefault="00F921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 a povede k vyřazení žádosti bez dalšího hodnocení</w:t>
      </w:r>
      <w:r>
        <w:rPr>
          <w:rFonts w:ascii="Times New Roman" w:hAnsi="Times New Roman"/>
        </w:rPr>
        <w:t>.</w:t>
      </w:r>
    </w:p>
    <w:p w14:paraId="7AF016AD" w14:textId="77777777" w:rsidR="00487D29" w:rsidRDefault="00487D29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67A2F46A" w14:textId="77777777" w:rsidR="00487D29" w:rsidRDefault="00F921D0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Povinnými přílohami k žádosti jsou:</w:t>
      </w:r>
    </w:p>
    <w:p w14:paraId="7187733A" w14:textId="77777777" w:rsidR="00487D29" w:rsidRDefault="00F921D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vlastnictví bankovního účtu žadatele,</w:t>
      </w:r>
    </w:p>
    <w:p w14:paraId="745C6769" w14:textId="77777777" w:rsidR="00487D29" w:rsidRDefault="00F921D0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plná moc v případě zastoupení žadatele na základě plné moci,</w:t>
      </w:r>
    </w:p>
    <w:p w14:paraId="17F8245A" w14:textId="77777777" w:rsidR="00EC3665" w:rsidRPr="00EC3665" w:rsidRDefault="00EC3665" w:rsidP="00EC3665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21659">
        <w:rPr>
          <w:rFonts w:ascii="Times New Roman" w:hAnsi="Times New Roman"/>
        </w:rPr>
        <w:t>úplný výpis z Evidence skutečných majitelů</w:t>
      </w:r>
      <w:r w:rsidRPr="00915A9E">
        <w:rPr>
          <w:rStyle w:val="Znakapoznpodarou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>,</w:t>
      </w:r>
      <w:r w:rsidRPr="00915A9E">
        <w:rPr>
          <w:rFonts w:ascii="Times New Roman" w:hAnsi="Times New Roman"/>
        </w:rPr>
        <w:t xml:space="preserve"> je-li žadatel právnickou osobou</w:t>
      </w:r>
      <w:r>
        <w:rPr>
          <w:rFonts w:ascii="Times New Roman" w:hAnsi="Times New Roman"/>
        </w:rPr>
        <w:t>,</w:t>
      </w:r>
    </w:p>
    <w:p w14:paraId="4C9DB8F8" w14:textId="77777777" w:rsidR="003A58E1" w:rsidRDefault="003A58E1" w:rsidP="003A58E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4" w:name="_Toc386554796"/>
      <w:r>
        <w:rPr>
          <w:rFonts w:ascii="Times New Roman" w:hAnsi="Times New Roman"/>
        </w:rPr>
        <w:t xml:space="preserve">čestné prohlášení žadatele o podporu v režimu de </w:t>
      </w:r>
      <w:proofErr w:type="spellStart"/>
      <w:r>
        <w:rPr>
          <w:rFonts w:ascii="Times New Roman" w:hAnsi="Times New Roman"/>
        </w:rPr>
        <w:t>minimis</w:t>
      </w:r>
      <w:proofErr w:type="spellEnd"/>
      <w:r>
        <w:rPr>
          <w:rFonts w:ascii="Times New Roman" w:hAnsi="Times New Roman"/>
        </w:rPr>
        <w:t>,</w:t>
      </w:r>
    </w:p>
    <w:p w14:paraId="59CDD4BD" w14:textId="77777777" w:rsidR="003A58E1" w:rsidRDefault="003A58E1" w:rsidP="003A58E1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projektu.</w:t>
      </w:r>
    </w:p>
    <w:bookmarkEnd w:id="4"/>
    <w:p w14:paraId="23567FE2" w14:textId="77777777" w:rsidR="003E5F86" w:rsidRDefault="003E5F8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738BE6CC" w14:textId="7CCEC488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VII.</w:t>
      </w:r>
    </w:p>
    <w:p w14:paraId="59222182" w14:textId="77777777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0D6C6CBE" w14:textId="77777777" w:rsidR="00487D29" w:rsidRDefault="00F921D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</w:t>
      </w:r>
      <w:r w:rsidRPr="003E5F86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Pr="00E62D08">
        <w:rPr>
          <w:rFonts w:ascii="Times New Roman" w:hAnsi="Times New Roman" w:cs="Times New Roman"/>
          <w:color w:val="auto"/>
          <w:sz w:val="22"/>
          <w:szCs w:val="22"/>
        </w:rPr>
        <w:t>120</w:t>
      </w:r>
      <w:r w:rsidRPr="003E5F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139479D0" w14:textId="77777777"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14:paraId="4211CA4C" w14:textId="77777777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VIII.</w:t>
      </w:r>
    </w:p>
    <w:p w14:paraId="3F8AA61E" w14:textId="77777777" w:rsidR="00487D29" w:rsidRDefault="00F921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žádosti, vyhodnocení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513A4F0" w14:textId="77777777"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1DAB7570" w14:textId="77777777"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5C512E4" w14:textId="77777777"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 žádost doplnil, a to nejpozději ve lhůtě do</w:t>
      </w:r>
      <w:r w:rsidRPr="003E5F86">
        <w:rPr>
          <w:rFonts w:ascii="Times New Roman" w:eastAsia="Times New Roman" w:hAnsi="Times New Roman"/>
          <w:lang w:eastAsia="cs-CZ"/>
        </w:rPr>
        <w:t xml:space="preserve"> </w:t>
      </w:r>
      <w:r w:rsidRPr="00E62D08">
        <w:rPr>
          <w:rFonts w:ascii="Times New Roman" w:eastAsia="Times New Roman" w:hAnsi="Times New Roman"/>
          <w:lang w:eastAsia="cs-CZ"/>
        </w:rPr>
        <w:t>10</w:t>
      </w:r>
      <w:r w:rsidRPr="003E5F86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472A06E" w14:textId="77777777" w:rsidR="00487D29" w:rsidRDefault="00487D2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C814925" w14:textId="77777777"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dotace.</w:t>
      </w:r>
    </w:p>
    <w:p w14:paraId="46DFD839" w14:textId="77777777" w:rsidR="00487D29" w:rsidRDefault="00487D29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476DD00" w14:textId="77777777" w:rsidR="00487D29" w:rsidRDefault="00F921D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>
        <w:rPr>
          <w:rFonts w:ascii="Times New Roman" w:eastAsia="Times New Roman" w:hAnsi="Times New Roman"/>
          <w:lang w:eastAsia="cs-CZ"/>
        </w:rPr>
        <w:br/>
        <w:t>a to jak ze strany poskytovatele, tak žadatele. Tato podmínka platí napříč dotačním programem,</w:t>
      </w:r>
      <w:r>
        <w:rPr>
          <w:rFonts w:ascii="Times New Roman" w:eastAsia="Times New Roman" w:hAnsi="Times New Roman"/>
          <w:lang w:eastAsia="cs-CZ"/>
        </w:rPr>
        <w:br/>
        <w:t xml:space="preserve"> tedy i pro následné změny a finanční vypořádání.</w:t>
      </w:r>
    </w:p>
    <w:p w14:paraId="2F08F7C2" w14:textId="77777777"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6158E25" w14:textId="77777777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03FACB8E" w14:textId="77777777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dotace, předmět dotace, poskytnutí dotace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475FBD35" w14:textId="48673DE9"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</w:t>
      </w:r>
      <w:r w:rsidRPr="00E367DE">
        <w:rPr>
          <w:rFonts w:ascii="Times New Roman" w:eastAsia="Times New Roman" w:hAnsi="Times New Roman"/>
          <w:lang w:eastAsia="cs-CZ"/>
        </w:rPr>
        <w:t xml:space="preserve">účelově určeny) a lze je </w:t>
      </w: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použít výlučně na 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3EEA840E" w14:textId="77777777" w:rsidR="00487D29" w:rsidRPr="00E367DE" w:rsidRDefault="00487D2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D8D2D8" w14:textId="77777777"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Poskytovatel dotace poskytne dotaci jen žadateli, jehož žádost je úplná a bez vad a byla podána ve lhůtě stanovené pro příjem žádostí a který splnil všechny další podmínky pro poskytnutí dotace specifikované dále v tomto článku.</w:t>
      </w:r>
    </w:p>
    <w:p w14:paraId="2A1D866E" w14:textId="77777777" w:rsidR="00487D29" w:rsidRPr="00E367DE" w:rsidRDefault="00487D2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9BAFB42" w14:textId="77777777" w:rsidR="00487D29" w:rsidRDefault="00F921D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bookmarkStart w:id="5" w:name="_Hlk142915586"/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Dotace se poskytuje výhradně na úhradu nákladů (výdajů) nutných pro realizaci projektu. Náklady musí být</w:t>
      </w:r>
      <w:bookmarkEnd w:id="5"/>
      <w:r w:rsidRPr="00E367DE">
        <w:rPr>
          <w:rFonts w:ascii="Times New Roman" w:eastAsia="Times New Roman" w:hAnsi="Times New Roman"/>
          <w:color w:val="000000" w:themeColor="text1"/>
          <w:lang w:eastAsia="cs-CZ"/>
        </w:rPr>
        <w:t xml:space="preserve"> identifikovatelné, účetně evidované, ověřitelné a podložené průkaznými účetními záznamy.</w:t>
      </w:r>
    </w:p>
    <w:p w14:paraId="2545EFE4" w14:textId="77777777" w:rsidR="00056B4D" w:rsidRDefault="00056B4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710BA4D" w14:textId="77777777" w:rsidR="00056B4D" w:rsidRPr="00E3560E" w:rsidRDefault="00056B4D" w:rsidP="00056B4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Dotaci lze použít výhradně k účelu investiční podpory terénních a ambulantních sociálních služeb. Dotace</w:t>
      </w:r>
      <w:r w:rsidR="0067069E">
        <w:rPr>
          <w:rFonts w:ascii="Times New Roman" w:eastAsia="Times New Roman" w:hAnsi="Times New Roman"/>
          <w:lang w:eastAsia="cs-CZ"/>
        </w:rPr>
        <w:t xml:space="preserve"> je</w:t>
      </w:r>
      <w:r w:rsidRPr="00E3560E">
        <w:rPr>
          <w:rFonts w:ascii="Times New Roman" w:eastAsia="Times New Roman" w:hAnsi="Times New Roman"/>
          <w:lang w:eastAsia="cs-CZ"/>
        </w:rPr>
        <w:t xml:space="preserve"> určena na podporu sociálních služeb:</w:t>
      </w:r>
    </w:p>
    <w:p w14:paraId="27C7BF7E" w14:textId="1D9C5981" w:rsidR="0067069E" w:rsidRPr="003E5F86" w:rsidRDefault="0067069E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62D08">
        <w:rPr>
          <w:rFonts w:ascii="Times New Roman" w:eastAsia="Times New Roman" w:hAnsi="Times New Roman"/>
          <w:lang w:eastAsia="cs-CZ"/>
        </w:rPr>
        <w:t>nízkoprahová zařízení pro děti a mládež (poskytovaná v terénní formě)</w:t>
      </w:r>
      <w:r w:rsidR="00803245" w:rsidRPr="00E62D08">
        <w:rPr>
          <w:rFonts w:ascii="Times New Roman" w:eastAsia="Times New Roman" w:hAnsi="Times New Roman"/>
          <w:lang w:eastAsia="cs-CZ"/>
        </w:rPr>
        <w:t>,</w:t>
      </w:r>
    </w:p>
    <w:p w14:paraId="3509FBFF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pečovatelská služba,</w:t>
      </w:r>
    </w:p>
    <w:p w14:paraId="5B153A74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osobní asistence,</w:t>
      </w:r>
    </w:p>
    <w:p w14:paraId="587065A8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raná péče,</w:t>
      </w:r>
    </w:p>
    <w:p w14:paraId="6AF8BEFC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podpora samostatného bydlení,</w:t>
      </w:r>
    </w:p>
    <w:p w14:paraId="63C3CB65" w14:textId="77777777" w:rsidR="00056B4D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sociálně aktivizační služby pro rodiny s dětmi,</w:t>
      </w:r>
    </w:p>
    <w:p w14:paraId="695ED9A6" w14:textId="77777777" w:rsidR="00056B4D" w:rsidRPr="00CE5F0C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E5F0C">
        <w:rPr>
          <w:rFonts w:ascii="Times New Roman" w:eastAsia="Times New Roman" w:hAnsi="Times New Roman"/>
          <w:lang w:eastAsia="cs-CZ"/>
        </w:rPr>
        <w:t>sociálně terapeutické dílny,</w:t>
      </w:r>
    </w:p>
    <w:p w14:paraId="76D0AE16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sociální rehabilitace,</w:t>
      </w:r>
    </w:p>
    <w:p w14:paraId="3EB37AB4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odlehčovací služby,</w:t>
      </w:r>
    </w:p>
    <w:p w14:paraId="067716D9" w14:textId="77777777" w:rsidR="00056B4D" w:rsidRPr="00E3560E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lastRenderedPageBreak/>
        <w:t>tlumočnické služby,</w:t>
      </w:r>
    </w:p>
    <w:p w14:paraId="21B432F0" w14:textId="77777777" w:rsidR="00056B4D" w:rsidRDefault="00056B4D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denní stacionáře</w:t>
      </w:r>
      <w:r w:rsidR="0067069E">
        <w:rPr>
          <w:rFonts w:ascii="Times New Roman" w:eastAsia="Times New Roman" w:hAnsi="Times New Roman"/>
          <w:lang w:eastAsia="cs-CZ"/>
        </w:rPr>
        <w:t>,</w:t>
      </w:r>
    </w:p>
    <w:p w14:paraId="1912EC32" w14:textId="4874B8EC" w:rsidR="0067069E" w:rsidRPr="00E62D08" w:rsidRDefault="0067069E" w:rsidP="00056B4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62D08">
        <w:rPr>
          <w:rFonts w:ascii="Times New Roman" w:eastAsia="Times New Roman" w:hAnsi="Times New Roman"/>
          <w:lang w:eastAsia="cs-CZ"/>
        </w:rPr>
        <w:t>centra denních služeb</w:t>
      </w:r>
      <w:r w:rsidR="003E5F86">
        <w:rPr>
          <w:rFonts w:ascii="Times New Roman" w:eastAsia="Times New Roman" w:hAnsi="Times New Roman"/>
          <w:lang w:eastAsia="cs-CZ"/>
        </w:rPr>
        <w:t>.</w:t>
      </w:r>
    </w:p>
    <w:p w14:paraId="05FBE6D3" w14:textId="77777777" w:rsidR="00056B4D" w:rsidRPr="00AC2DDA" w:rsidRDefault="00056B4D" w:rsidP="00056B4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BD2EA05" w14:textId="77777777" w:rsidR="00056B4D" w:rsidRPr="00E3560E" w:rsidRDefault="00056B4D" w:rsidP="00056B4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Podmínkou pro poskytnutí </w:t>
      </w:r>
      <w:r w:rsidRPr="008134FF">
        <w:rPr>
          <w:rFonts w:ascii="Times New Roman" w:eastAsia="Times New Roman" w:hAnsi="Times New Roman"/>
          <w:lang w:eastAsia="cs-CZ"/>
        </w:rPr>
        <w:t>dotace je zařazení sociální služby do kategorie A sítě sociálních služeb v Karlovarském kraji v souladu s Pravidly pro zařazení sociálních služeb do sítě sociálních služeb v Karlovarském kraji pro období 2024–2026.</w:t>
      </w:r>
    </w:p>
    <w:p w14:paraId="55689297" w14:textId="77777777" w:rsidR="00056B4D" w:rsidRPr="00E3560E" w:rsidRDefault="00056B4D" w:rsidP="00056B4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7CC7D5A" w14:textId="3B3A1A59" w:rsidR="00056B4D" w:rsidRPr="007E616F" w:rsidRDefault="00056B4D" w:rsidP="00056B4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Dotace se </w:t>
      </w:r>
      <w:r w:rsidRPr="0038238A">
        <w:rPr>
          <w:rFonts w:ascii="Times New Roman" w:eastAsia="Times New Roman" w:hAnsi="Times New Roman"/>
          <w:lang w:eastAsia="cs-CZ"/>
        </w:rPr>
        <w:t>poskytuje výlučně na</w:t>
      </w:r>
      <w:r>
        <w:rPr>
          <w:rFonts w:ascii="Times New Roman" w:eastAsia="Times New Roman" w:hAnsi="Times New Roman"/>
          <w:lang w:eastAsia="cs-CZ"/>
        </w:rPr>
        <w:t xml:space="preserve"> n</w:t>
      </w:r>
      <w:r w:rsidRPr="007E616F">
        <w:rPr>
          <w:rFonts w:ascii="Times New Roman" w:eastAsia="Times New Roman" w:hAnsi="Times New Roman"/>
          <w:lang w:eastAsia="cs-CZ"/>
        </w:rPr>
        <w:t xml:space="preserve">ákup </w:t>
      </w:r>
      <w:r w:rsidR="00285D50" w:rsidRPr="00E62D08">
        <w:rPr>
          <w:rFonts w:ascii="Times New Roman" w:eastAsia="Times New Roman" w:hAnsi="Times New Roman"/>
          <w:lang w:eastAsia="cs-CZ"/>
        </w:rPr>
        <w:t>max. 2</w:t>
      </w:r>
      <w:r w:rsidR="0067069E" w:rsidRPr="00E62D08">
        <w:rPr>
          <w:rFonts w:ascii="Times New Roman" w:eastAsia="Times New Roman" w:hAnsi="Times New Roman"/>
          <w:lang w:eastAsia="cs-CZ"/>
        </w:rPr>
        <w:t xml:space="preserve"> automobilů</w:t>
      </w:r>
      <w:r w:rsidRPr="007E616F">
        <w:rPr>
          <w:rFonts w:ascii="Times New Roman" w:eastAsia="Times New Roman" w:hAnsi="Times New Roman"/>
          <w:lang w:eastAsia="cs-CZ"/>
        </w:rPr>
        <w:t xml:space="preserve"> </w:t>
      </w:r>
      <w:r w:rsidRPr="007E616F">
        <w:rPr>
          <w:rFonts w:ascii="Times New Roman" w:hAnsi="Times New Roman"/>
        </w:rPr>
        <w:t>k zajištění základních činností sociálních služeb nebo k pravidelným svozům klientů ambulantních sociálních služeb</w:t>
      </w:r>
      <w:r w:rsidRPr="007E616F">
        <w:rPr>
          <w:rFonts w:ascii="Times New Roman" w:eastAsia="Times New Roman" w:hAnsi="Times New Roman"/>
          <w:lang w:eastAsia="cs-CZ"/>
        </w:rPr>
        <w:t xml:space="preserve"> v souladu se zákonem č. 108/2006 Sb., o sociálních službách, ve znění pozdějších předpisů, a to přímým nákupem. Dotaci nelze využít na financování formou finančního, operativního či jiné formy leasingu.</w:t>
      </w:r>
    </w:p>
    <w:p w14:paraId="6AF1BF02" w14:textId="77777777" w:rsidR="00056B4D" w:rsidRDefault="00056B4D" w:rsidP="00056B4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399D58" w14:textId="77777777" w:rsidR="00056B4D" w:rsidRPr="00E3560E" w:rsidRDefault="00056B4D" w:rsidP="00056B4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Výše poskytnuté dotace v jednotlivých případech bude stanovena v závislosti na celkové výši požadované dotace všech žádostí a na celkovém objemu peněžních prostředků vyčleněných pro dotační program následujícím způsobem:</w:t>
      </w:r>
    </w:p>
    <w:p w14:paraId="58562F48" w14:textId="77777777" w:rsidR="00056B4D" w:rsidRPr="00E3560E" w:rsidRDefault="00056B4D" w:rsidP="00056B4D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 xml:space="preserve">K finanční podpoře budou navrženy žádosti o podporu projektů žadatelů, kteří neobdrželi dotaci v rámci programu na investiční podporu terénních a ambulantních sociálních služeb </w:t>
      </w:r>
      <w:r>
        <w:rPr>
          <w:rFonts w:ascii="Times New Roman" w:eastAsia="Times New Roman" w:hAnsi="Times New Roman"/>
          <w:lang w:eastAsia="cs-CZ"/>
        </w:rPr>
        <w:t>či individuální dotaci na nákup automobilu pro sociální službu</w:t>
      </w:r>
      <w:r w:rsidRPr="008F63EC"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v roce 202</w:t>
      </w:r>
      <w:r w:rsidR="0067069E">
        <w:rPr>
          <w:rFonts w:ascii="Times New Roman" w:eastAsia="Times New Roman" w:hAnsi="Times New Roman"/>
          <w:lang w:eastAsia="cs-CZ"/>
        </w:rPr>
        <w:t>4</w:t>
      </w:r>
      <w:r w:rsidRPr="00E3560E">
        <w:rPr>
          <w:rFonts w:ascii="Times New Roman" w:eastAsia="Times New Roman" w:hAnsi="Times New Roman"/>
          <w:lang w:eastAsia="cs-CZ"/>
        </w:rPr>
        <w:t xml:space="preserve"> ani v roce 202</w:t>
      </w:r>
      <w:r w:rsidR="0067069E">
        <w:rPr>
          <w:rFonts w:ascii="Times New Roman" w:eastAsia="Times New Roman" w:hAnsi="Times New Roman"/>
          <w:lang w:eastAsia="cs-CZ"/>
        </w:rPr>
        <w:t>5</w:t>
      </w:r>
      <w:r w:rsidRPr="00E3560E">
        <w:rPr>
          <w:rFonts w:ascii="Times New Roman" w:eastAsia="Times New Roman" w:hAnsi="Times New Roman"/>
          <w:lang w:eastAsia="cs-CZ"/>
        </w:rPr>
        <w:t>. V</w:t>
      </w:r>
      <w:r>
        <w:rPr>
          <w:rFonts w:ascii="Times New Roman" w:eastAsia="Times New Roman" w:hAnsi="Times New Roman"/>
          <w:lang w:eastAsia="cs-CZ"/>
        </w:rPr>
        <w:t> </w:t>
      </w:r>
      <w:r w:rsidRPr="00E3560E">
        <w:rPr>
          <w:rFonts w:ascii="Times New Roman" w:eastAsia="Times New Roman" w:hAnsi="Times New Roman"/>
          <w:lang w:eastAsia="cs-CZ"/>
        </w:rPr>
        <w:t>případě, že bude celkový požadavek těchto žádostí o podporu projektů vyšší než výše peněžních prostředků vyčleněných na dotační program, budou návrhy na dotace poměrově pokráceny. Výsledné návrhy na dotaci budou zaokrouhleny na celé koruny směrem dolů.</w:t>
      </w:r>
    </w:p>
    <w:p w14:paraId="7D60AFB9" w14:textId="77777777" w:rsidR="00056B4D" w:rsidRDefault="00056B4D" w:rsidP="00056B4D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Žádosti o podporu projektů žadatelů, kteří obdrželi dotaci v rámci programu na investiční podporu terénních a ambulantních sociálních služeb v roce 202</w:t>
      </w:r>
      <w:r w:rsidR="0067069E">
        <w:rPr>
          <w:rFonts w:ascii="Times New Roman" w:eastAsia="Times New Roman" w:hAnsi="Times New Roman"/>
          <w:lang w:eastAsia="cs-CZ"/>
        </w:rPr>
        <w:t>4</w:t>
      </w:r>
      <w:r w:rsidRPr="00E3560E">
        <w:rPr>
          <w:rFonts w:ascii="Times New Roman" w:eastAsia="Times New Roman" w:hAnsi="Times New Roman"/>
          <w:lang w:eastAsia="cs-CZ"/>
        </w:rPr>
        <w:t xml:space="preserve"> a/nebo v roce 202</w:t>
      </w:r>
      <w:r w:rsidR="0067069E">
        <w:rPr>
          <w:rFonts w:ascii="Times New Roman" w:eastAsia="Times New Roman" w:hAnsi="Times New Roman"/>
          <w:lang w:eastAsia="cs-CZ"/>
        </w:rPr>
        <w:t>5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 xml:space="preserve">budou navrženy k finanční podpoře v závislosti na výši zůstatku peněžních prostředků vyčleněných pro dotační program po odečtení návrhů na dotaci na podporu projektů dle předchozího odstavce. </w:t>
      </w:r>
      <w:r w:rsidRPr="00E3560E">
        <w:rPr>
          <w:rFonts w:ascii="Times New Roman" w:hAnsi="Times New Roman"/>
          <w:lang w:eastAsia="cs-CZ"/>
        </w:rPr>
        <w:t>V případě, kdy souhrn požadavků na dotaci na podporu projektů bude vyšší než zůstatek peněžních prostředků vyčleněných pro dotační program, budou návrhy na dotace rozděleny s ohledem na zůstatek peněžních prostředků vyčleněných na dotační program na</w:t>
      </w:r>
      <w:r>
        <w:rPr>
          <w:rFonts w:ascii="Times New Roman" w:hAnsi="Times New Roman"/>
          <w:lang w:eastAsia="cs-CZ"/>
        </w:rPr>
        <w:t> </w:t>
      </w:r>
      <w:r w:rsidRPr="00E3560E">
        <w:rPr>
          <w:rFonts w:ascii="Times New Roman" w:hAnsi="Times New Roman"/>
          <w:lang w:eastAsia="cs-CZ"/>
        </w:rPr>
        <w:t>základě pořadí doručených žádostí. Výsledné návrhy na dotaci budou zaokrouhleny na celé koruny směrem dolů.</w:t>
      </w:r>
    </w:p>
    <w:p w14:paraId="014252DB" w14:textId="77777777" w:rsidR="00056B4D" w:rsidRPr="00AC2DDA" w:rsidRDefault="00056B4D" w:rsidP="00056B4D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8715EC4" w14:textId="77777777" w:rsidR="00056B4D" w:rsidRPr="006870D9" w:rsidRDefault="00056B4D" w:rsidP="00056B4D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E3560E">
        <w:rPr>
          <w:rFonts w:ascii="Times New Roman" w:eastAsia="Times New Roman" w:hAnsi="Times New Roman"/>
          <w:lang w:eastAsia="cs-CZ"/>
        </w:rPr>
        <w:t>Pořízený majetek podléhá udržitelnosti, a to po dobu dvou let od přechodu vlastnického práva na příjemce dotace. Udržitelností se rozumí zachování majetku pořízeného z dotačních prostředků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3560E">
        <w:rPr>
          <w:rFonts w:ascii="Times New Roman" w:eastAsia="Times New Roman" w:hAnsi="Times New Roman"/>
          <w:lang w:eastAsia="cs-CZ"/>
        </w:rPr>
        <w:t>ve vlastnictví příjemce ve stavu a funkčnosti a provozuschopnosti.</w:t>
      </w:r>
    </w:p>
    <w:p w14:paraId="604D82C8" w14:textId="77777777" w:rsidR="00056B4D" w:rsidRPr="00E367DE" w:rsidRDefault="00056B4D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89F2872" w14:textId="77777777" w:rsidR="00487D29" w:rsidRPr="00E367DE" w:rsidRDefault="00487D29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CDF6592" w14:textId="77777777"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DPH je uznatelným výdajem, pokud příjemce dotace (dále jen „příjemce“):</w:t>
      </w:r>
    </w:p>
    <w:p w14:paraId="114868CF" w14:textId="77777777" w:rsidR="00487D29" w:rsidRPr="00E367DE" w:rsidRDefault="00F921D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není plátcem DPH,</w:t>
      </w:r>
    </w:p>
    <w:p w14:paraId="21E98DB7" w14:textId="77777777" w:rsidR="00487D29" w:rsidRPr="00E367DE" w:rsidRDefault="00F921D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>je plátcem DPH, ale dle zákona č. 235/2004 Sb., o dani z přidané hodnoty, ve znění pozdějších předpisů nemá nárok na odpočet daně na vstupu.</w:t>
      </w:r>
    </w:p>
    <w:p w14:paraId="17EE6805" w14:textId="77777777" w:rsidR="00487D29" w:rsidRPr="00E367DE" w:rsidRDefault="00F921D0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14:paraId="301946AF" w14:textId="77777777"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E367DE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>jiné než uznatelné výdaje uvedené v tomto dotačním programu.</w:t>
      </w:r>
    </w:p>
    <w:p w14:paraId="54B96A42" w14:textId="77777777" w:rsidR="00487D29" w:rsidRPr="00E367DE" w:rsidRDefault="00487D29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682E5924" w14:textId="4E13D4AE" w:rsidR="00487D29" w:rsidRPr="00E367DE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 xml:space="preserve">Dotace se poskytuje na realizaci projektu od 1. 1. 2026 do 31. 12. </w:t>
      </w:r>
      <w:r w:rsidR="00285D50" w:rsidRPr="00E367DE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285D50">
        <w:rPr>
          <w:rFonts w:ascii="Times New Roman" w:eastAsia="Arial Unicode MS" w:hAnsi="Times New Roman"/>
          <w:color w:val="000000" w:themeColor="text1"/>
          <w:lang w:eastAsia="cs-CZ"/>
        </w:rPr>
        <w:t>7</w:t>
      </w: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>. Doklady o realizaci projektu musí mít datum uskutečnění zdanitelného plnění od 1. 1. 2026 do 31. 12. 202</w:t>
      </w:r>
      <w:r w:rsidR="007217AC">
        <w:rPr>
          <w:rFonts w:ascii="Times New Roman" w:eastAsia="Arial Unicode MS" w:hAnsi="Times New Roman"/>
          <w:color w:val="000000" w:themeColor="text1"/>
          <w:lang w:eastAsia="cs-CZ"/>
        </w:rPr>
        <w:t>7</w:t>
      </w: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 xml:space="preserve"> a musí být uhrazeny nejpozději do 31. 12. 202</w:t>
      </w:r>
      <w:r w:rsidR="00285D50">
        <w:rPr>
          <w:rFonts w:ascii="Times New Roman" w:eastAsia="Arial Unicode MS" w:hAnsi="Times New Roman"/>
          <w:color w:val="000000" w:themeColor="text1"/>
          <w:lang w:eastAsia="cs-CZ"/>
        </w:rPr>
        <w:t>7</w:t>
      </w:r>
      <w:r w:rsidRPr="00E367DE">
        <w:rPr>
          <w:rFonts w:ascii="Times New Roman" w:eastAsia="Arial Unicode MS" w:hAnsi="Times New Roman"/>
          <w:color w:val="000000" w:themeColor="text1"/>
          <w:lang w:eastAsia="cs-CZ"/>
        </w:rPr>
        <w:t xml:space="preserve"> (datum hotovostní úhrady nebo datum uskutečnění bankovního převodu). Pro bezhotovostní úhrady lze použít výlučně bankovní účet, jehož </w:t>
      </w:r>
      <w:r w:rsidRPr="00E367DE">
        <w:rPr>
          <w:rFonts w:ascii="Times New Roman" w:eastAsia="Arial Unicode MS" w:hAnsi="Times New Roman"/>
          <w:lang w:eastAsia="cs-CZ"/>
        </w:rPr>
        <w:t>vlastníkem je žadatel. Platba z jiného bankovního účtu není přípustná.</w:t>
      </w:r>
    </w:p>
    <w:p w14:paraId="551E9AE2" w14:textId="77777777"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28C405" w14:textId="77777777" w:rsidR="00487D29" w:rsidRDefault="00F921D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40F4A738" w14:textId="77777777" w:rsidR="00487D29" w:rsidRDefault="00487D29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04BFDA0D" w14:textId="77777777" w:rsidR="00487D29" w:rsidRDefault="00F921D0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 w14:paraId="4F1CDBDF" w14:textId="77777777" w:rsidR="0067069E" w:rsidRPr="0067069E" w:rsidRDefault="0067069E" w:rsidP="006706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12BC7DD" w14:textId="77777777" w:rsidR="00487D29" w:rsidRDefault="00F921D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79F3890" w14:textId="77777777" w:rsidR="00487D29" w:rsidRDefault="00F921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Vzor žádosti, příloh k žádosti a ostatních dokumentů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2249A689" w14:textId="77777777" w:rsidR="00487D29" w:rsidRDefault="00F921D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 w14:paraId="7E868E69" w14:textId="77777777" w:rsidR="00487D29" w:rsidRDefault="00487D29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0B125EA3" w14:textId="77777777" w:rsidR="00487D29" w:rsidRDefault="00F921D0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Čl. XI.</w:t>
      </w:r>
    </w:p>
    <w:p w14:paraId="5AC55CDE" w14:textId="77777777" w:rsidR="00487D29" w:rsidRDefault="00F921D0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60889FB1" w14:textId="77777777" w:rsidR="00487D29" w:rsidRDefault="00F921D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veřejnoprávní smlouvou o poskytnutí dotace.</w:t>
      </w:r>
    </w:p>
    <w:p w14:paraId="74632A7B" w14:textId="77777777" w:rsidR="00487D29" w:rsidRDefault="00487D2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B61A114" w14:textId="77777777" w:rsidR="00487D29" w:rsidRDefault="00F921D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Kontrolu dle zákona č. 320/2001 Sb., o finanční kontrole ve veřejné správě a o změně některých zákonů (zákon o finanční kontrole), ve znění pozdějších předpisů a zákona č. 255/2012 Sb., o kontrole (kontrolní řád), ve znění pozdějších předpisů vykonávají mj. pověření zaměstnanci a členové příslušných kontrolních orgánů Karlovarského kraje.</w:t>
      </w:r>
    </w:p>
    <w:p w14:paraId="0B6D416E" w14:textId="77777777"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7973BF2C" w14:textId="77777777" w:rsidR="00487D29" w:rsidRDefault="00F921D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provést a předložit poskytovateli dotace finanční vypořádání dotace nejpozději do termínu stanoveného ve veřejnoprávní smlouvě o poskytnutí dotace</w:t>
      </w:r>
      <w:r>
        <w:rPr>
          <w:rFonts w:ascii="Times New Roman" w:eastAsia="Times New Roman" w:hAnsi="Times New Roman"/>
          <w:bCs/>
          <w:iCs/>
          <w:lang w:eastAsia="cs-CZ"/>
        </w:rPr>
        <w:t>. Poskytovatel dotace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14:paraId="6879ED3F" w14:textId="77777777" w:rsidR="00487D29" w:rsidRDefault="00487D2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288F8A3E" w14:textId="77777777" w:rsidR="00487D29" w:rsidRPr="0067069E" w:rsidRDefault="00F921D0" w:rsidP="0067069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7069E">
        <w:rPr>
          <w:rFonts w:ascii="Times New Roman" w:eastAsia="Times New Roman" w:hAnsi="Times New Roman"/>
          <w:lang w:eastAsia="cs-CZ"/>
        </w:rPr>
        <w:t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poskytovatele dotace. Pro tento účel příjemce použije formulář Avízo, který je součástí formuláře Finanční vypořádání.</w:t>
      </w:r>
    </w:p>
    <w:p w14:paraId="25B725C5" w14:textId="77777777" w:rsidR="00487D29" w:rsidRDefault="00487D29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7E30C7B6" w14:textId="77777777" w:rsidR="00487D29" w:rsidRDefault="00F921D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XII.</w:t>
      </w:r>
    </w:p>
    <w:p w14:paraId="306A8675" w14:textId="77777777" w:rsidR="00487D29" w:rsidRDefault="00F921D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Závěrečná a přechodná ustanovení</w:t>
      </w:r>
    </w:p>
    <w:p w14:paraId="01B4FB5E" w14:textId="77777777"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dlouhodobých činností nebo opakovaných akcí nevzniká uzavřením veřejnoprávní smlouvy o poskytnutí dotace automatický nárok na poskytnutí dotace v následujících letech</w:t>
      </w:r>
      <w:r>
        <w:rPr>
          <w:rStyle w:val="Znakapoznpodarou"/>
          <w:rFonts w:ascii="Times New Roman" w:hAnsi="Times New Roman"/>
        </w:rPr>
        <w:footnoteReference w:id="16"/>
      </w:r>
      <w:r>
        <w:rPr>
          <w:rFonts w:ascii="Times New Roman" w:hAnsi="Times New Roman"/>
        </w:rPr>
        <w:t>.</w:t>
      </w:r>
    </w:p>
    <w:p w14:paraId="171BF5DB" w14:textId="77777777" w:rsidR="00487D29" w:rsidRPr="00E367DE" w:rsidRDefault="00487D2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6B38896" w14:textId="77777777" w:rsidR="00487D29" w:rsidRPr="00E367DE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Dotační program se přijímá pro období od 1. 1. 2026.</w:t>
      </w:r>
    </w:p>
    <w:p w14:paraId="508BAB8C" w14:textId="77777777"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14:paraId="1940F786" w14:textId="5B35E395"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Dotační program byl schválen usnesením zastupitelstva kraje č. ZK </w:t>
      </w:r>
      <w:proofErr w:type="spellStart"/>
      <w:r w:rsidR="003165A4">
        <w:rPr>
          <w:rFonts w:ascii="Times New Roman" w:hAnsi="Times New Roman"/>
        </w:rPr>
        <w:t>xx</w:t>
      </w:r>
      <w:proofErr w:type="spellEnd"/>
      <w:r w:rsidR="003165A4">
        <w:rPr>
          <w:rFonts w:ascii="Times New Roman" w:hAnsi="Times New Roman"/>
        </w:rPr>
        <w:t xml:space="preserve">/02/26 </w:t>
      </w:r>
      <w:r>
        <w:rPr>
          <w:rFonts w:ascii="Times New Roman" w:hAnsi="Times New Roman"/>
        </w:rPr>
        <w:t xml:space="preserve">ze </w:t>
      </w:r>
      <w:r w:rsidRPr="003165A4">
        <w:rPr>
          <w:rFonts w:ascii="Times New Roman" w:hAnsi="Times New Roman"/>
        </w:rPr>
        <w:t>dne</w:t>
      </w:r>
      <w:r w:rsidR="003165A4">
        <w:rPr>
          <w:rFonts w:ascii="Times New Roman" w:hAnsi="Times New Roman"/>
        </w:rPr>
        <w:t xml:space="preserve"> </w:t>
      </w:r>
      <w:proofErr w:type="spellStart"/>
      <w:r w:rsidR="00D21B71">
        <w:rPr>
          <w:rFonts w:ascii="Times New Roman" w:hAnsi="Times New Roman"/>
        </w:rPr>
        <w:t>xx</w:t>
      </w:r>
      <w:proofErr w:type="spellEnd"/>
      <w:r w:rsidR="003165A4" w:rsidRPr="00E62D08">
        <w:rPr>
          <w:rFonts w:ascii="Times New Roman" w:hAnsi="Times New Roman"/>
        </w:rPr>
        <w:t>. 2. 2026</w:t>
      </w:r>
      <w:r>
        <w:rPr>
          <w:rFonts w:ascii="Times New Roman" w:hAnsi="Times New Roman"/>
        </w:rPr>
        <w:t>.</w:t>
      </w:r>
    </w:p>
    <w:p w14:paraId="6C64851A" w14:textId="77777777" w:rsidR="00487D29" w:rsidRDefault="00487D29">
      <w:pPr>
        <w:pStyle w:val="Odstavecseseznamem"/>
        <w:spacing w:after="0"/>
        <w:rPr>
          <w:rFonts w:ascii="Times New Roman" w:hAnsi="Times New Roman"/>
        </w:rPr>
      </w:pPr>
    </w:p>
    <w:p w14:paraId="675323D7" w14:textId="120EB2E2" w:rsidR="00487D29" w:rsidRPr="00E367DE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 xml:space="preserve">Současně se ruší Program na </w:t>
      </w:r>
      <w:r w:rsidR="0067069E">
        <w:rPr>
          <w:rFonts w:ascii="Times New Roman" w:hAnsi="Times New Roman"/>
        </w:rPr>
        <w:t>investiční </w:t>
      </w:r>
      <w:r w:rsidR="0067069E" w:rsidRPr="00271C96">
        <w:rPr>
          <w:rFonts w:ascii="Times New Roman" w:hAnsi="Times New Roman"/>
        </w:rPr>
        <w:t xml:space="preserve">podporu </w:t>
      </w:r>
      <w:r w:rsidR="0067069E">
        <w:rPr>
          <w:rFonts w:ascii="Times New Roman" w:hAnsi="Times New Roman"/>
        </w:rPr>
        <w:t>terénních a ambulantních sociálních služeb</w:t>
      </w:r>
      <w:r w:rsidR="0067069E" w:rsidRPr="00271C96">
        <w:rPr>
          <w:rFonts w:ascii="Times New Roman" w:hAnsi="Times New Roman"/>
        </w:rPr>
        <w:t xml:space="preserve"> </w:t>
      </w:r>
      <w:r w:rsidRPr="00E367DE">
        <w:rPr>
          <w:rFonts w:ascii="Times New Roman" w:hAnsi="Times New Roman"/>
          <w:color w:val="000000" w:themeColor="text1"/>
        </w:rPr>
        <w:t xml:space="preserve">schválený usnesením zastupitelstva kraje č. </w:t>
      </w:r>
      <w:r w:rsidRPr="00E62D08">
        <w:rPr>
          <w:rFonts w:ascii="Times New Roman" w:hAnsi="Times New Roman"/>
          <w:color w:val="000000" w:themeColor="text1"/>
        </w:rPr>
        <w:t xml:space="preserve">ZK </w:t>
      </w:r>
      <w:r w:rsidR="00994EEC">
        <w:rPr>
          <w:rFonts w:ascii="Times New Roman" w:hAnsi="Times New Roman"/>
          <w:color w:val="000000" w:themeColor="text1"/>
        </w:rPr>
        <w:t>50</w:t>
      </w:r>
      <w:r w:rsidRPr="00E62D08">
        <w:rPr>
          <w:rFonts w:ascii="Times New Roman" w:hAnsi="Times New Roman"/>
          <w:color w:val="000000" w:themeColor="text1"/>
        </w:rPr>
        <w:t>/02/2</w:t>
      </w:r>
      <w:r w:rsidR="00994EEC">
        <w:rPr>
          <w:rFonts w:ascii="Times New Roman" w:hAnsi="Times New Roman"/>
          <w:color w:val="000000" w:themeColor="text1"/>
        </w:rPr>
        <w:t>4</w:t>
      </w:r>
      <w:r w:rsidRPr="00E62D08">
        <w:rPr>
          <w:rFonts w:ascii="Times New Roman" w:hAnsi="Times New Roman"/>
          <w:color w:val="000000" w:themeColor="text1"/>
        </w:rPr>
        <w:t xml:space="preserve"> ze dne </w:t>
      </w:r>
      <w:r w:rsidR="00994EEC">
        <w:rPr>
          <w:rFonts w:ascii="Times New Roman" w:hAnsi="Times New Roman"/>
          <w:color w:val="000000" w:themeColor="text1"/>
        </w:rPr>
        <w:t>26</w:t>
      </w:r>
      <w:r w:rsidRPr="00E62D08">
        <w:rPr>
          <w:rFonts w:ascii="Times New Roman" w:hAnsi="Times New Roman"/>
          <w:color w:val="000000" w:themeColor="text1"/>
        </w:rPr>
        <w:t>. 2. 202</w:t>
      </w:r>
      <w:r w:rsidR="00994EEC">
        <w:rPr>
          <w:rFonts w:ascii="Times New Roman" w:hAnsi="Times New Roman"/>
          <w:color w:val="000000" w:themeColor="text1"/>
        </w:rPr>
        <w:t>4</w:t>
      </w:r>
      <w:r w:rsidRPr="00E62D08">
        <w:rPr>
          <w:rFonts w:ascii="Times New Roman" w:hAnsi="Times New Roman"/>
          <w:color w:val="000000" w:themeColor="text1"/>
        </w:rPr>
        <w:t>.</w:t>
      </w:r>
    </w:p>
    <w:p w14:paraId="7B92D06F" w14:textId="77777777" w:rsidR="00487D29" w:rsidRDefault="00487D29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A5330A7" w14:textId="77777777"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Dotační program nabývá účinnosti dnem schválení.</w:t>
      </w:r>
    </w:p>
    <w:p w14:paraId="747E5A18" w14:textId="77777777" w:rsidR="00487D29" w:rsidRDefault="00487D29">
      <w:pPr>
        <w:spacing w:after="0" w:line="240" w:lineRule="auto"/>
        <w:jc w:val="both"/>
        <w:rPr>
          <w:rFonts w:ascii="Times New Roman" w:hAnsi="Times New Roman"/>
        </w:rPr>
      </w:pPr>
    </w:p>
    <w:p w14:paraId="2E534C59" w14:textId="77777777" w:rsidR="00487D29" w:rsidRDefault="00F921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7D2796BB" w14:textId="77777777" w:rsidR="003E5F86" w:rsidRDefault="003E5F86">
      <w:pPr>
        <w:spacing w:after="0" w:line="240" w:lineRule="auto"/>
        <w:rPr>
          <w:rFonts w:ascii="Times New Roman" w:hAnsi="Times New Roman"/>
          <w:b/>
        </w:rPr>
      </w:pPr>
    </w:p>
    <w:p w14:paraId="49176960" w14:textId="77777777" w:rsidR="00212C59" w:rsidRDefault="00212C59">
      <w:pPr>
        <w:spacing w:after="0" w:line="240" w:lineRule="auto"/>
        <w:rPr>
          <w:rFonts w:ascii="Times New Roman" w:hAnsi="Times New Roman"/>
          <w:b/>
        </w:rPr>
      </w:pPr>
    </w:p>
    <w:p w14:paraId="7F85960C" w14:textId="77777777" w:rsidR="00212C59" w:rsidRDefault="00212C59">
      <w:pPr>
        <w:spacing w:after="0" w:line="240" w:lineRule="auto"/>
        <w:rPr>
          <w:rFonts w:ascii="Times New Roman" w:hAnsi="Times New Roman"/>
          <w:b/>
        </w:rPr>
      </w:pPr>
    </w:p>
    <w:p w14:paraId="4CA4AF19" w14:textId="22325222" w:rsidR="00487D29" w:rsidRDefault="00F921D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Přílohy:</w:t>
      </w:r>
    </w:p>
    <w:p w14:paraId="64DE37D5" w14:textId="77777777" w:rsidR="00487D29" w:rsidRDefault="00487D2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10D9D8" w14:textId="77777777" w:rsidR="00487D29" w:rsidRPr="00E367DE" w:rsidRDefault="00F921D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E367DE">
        <w:rPr>
          <w:rFonts w:ascii="Times New Roman" w:hAnsi="Times New Roman"/>
        </w:rPr>
        <w:t>Vzor žádosti o dotaci</w:t>
      </w:r>
    </w:p>
    <w:p w14:paraId="6D8209C9" w14:textId="77777777" w:rsidR="00487D29" w:rsidRPr="00E367DE" w:rsidRDefault="00F921D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367DE">
        <w:rPr>
          <w:rFonts w:ascii="Times New Roman" w:hAnsi="Times New Roman"/>
          <w:color w:val="000000" w:themeColor="text1"/>
        </w:rPr>
        <w:t>Formulář Specifikace projektu</w:t>
      </w:r>
    </w:p>
    <w:p w14:paraId="0EC7E21E" w14:textId="77777777" w:rsidR="0067069E" w:rsidRPr="00A17660" w:rsidRDefault="0067069E" w:rsidP="0067069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Vzor čestného prohlášení žadatele o podporu v režimu de </w:t>
      </w:r>
      <w:proofErr w:type="spellStart"/>
      <w:r>
        <w:rPr>
          <w:rFonts w:ascii="Times New Roman" w:hAnsi="Times New Roman"/>
        </w:rPr>
        <w:t>minimis</w:t>
      </w:r>
      <w:proofErr w:type="spellEnd"/>
    </w:p>
    <w:p w14:paraId="253A5C7C" w14:textId="77777777" w:rsidR="0067069E" w:rsidRPr="00E367DE" w:rsidRDefault="0067069E" w:rsidP="0067069E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4AFAD4BE" w14:textId="77777777" w:rsidR="00487D29" w:rsidRPr="00E367DE" w:rsidRDefault="00487D29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</w:rPr>
      </w:pPr>
    </w:p>
    <w:p w14:paraId="13C052BF" w14:textId="77777777" w:rsidR="00487D29" w:rsidRDefault="00487D29">
      <w:pPr>
        <w:spacing w:after="0" w:line="240" w:lineRule="auto"/>
        <w:jc w:val="both"/>
        <w:rPr>
          <w:rFonts w:ascii="Times New Roman" w:hAnsi="Times New Roman"/>
          <w:strike/>
          <w:color w:val="FF0000"/>
        </w:rPr>
      </w:pPr>
    </w:p>
    <w:sectPr w:rsidR="00487D2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B89AC" w14:textId="77777777" w:rsidR="00212DFD" w:rsidRDefault="00212DFD">
      <w:pPr>
        <w:spacing w:after="0" w:line="240" w:lineRule="auto"/>
      </w:pPr>
      <w:r>
        <w:separator/>
      </w:r>
    </w:p>
  </w:endnote>
  <w:endnote w:type="continuationSeparator" w:id="0">
    <w:p w14:paraId="4C3227C2" w14:textId="77777777" w:rsidR="00212DFD" w:rsidRDefault="00212DFD">
      <w:pPr>
        <w:spacing w:after="0" w:line="240" w:lineRule="auto"/>
      </w:pPr>
      <w:r>
        <w:continuationSeparator/>
      </w:r>
    </w:p>
  </w:endnote>
  <w:endnote w:type="continuationNotice" w:id="1">
    <w:p w14:paraId="26C661BF" w14:textId="77777777" w:rsidR="00212DFD" w:rsidRDefault="00212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7825" w14:textId="4FDB5CBD" w:rsidR="00487D29" w:rsidRDefault="00487D29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87D29" w14:paraId="2EB7BF68" w14:textId="77777777">
      <w:tc>
        <w:tcPr>
          <w:tcW w:w="3020" w:type="dxa"/>
        </w:tcPr>
        <w:p w14:paraId="1CDCBB72" w14:textId="77777777" w:rsidR="00487D29" w:rsidRDefault="00487D29">
          <w:pPr>
            <w:pStyle w:val="Zhlav"/>
            <w:ind w:left="-115"/>
          </w:pPr>
        </w:p>
      </w:tc>
      <w:tc>
        <w:tcPr>
          <w:tcW w:w="3020" w:type="dxa"/>
        </w:tcPr>
        <w:p w14:paraId="5B0FB62A" w14:textId="77777777" w:rsidR="00487D29" w:rsidRDefault="00487D29">
          <w:pPr>
            <w:pStyle w:val="Zhlav"/>
            <w:jc w:val="center"/>
          </w:pPr>
        </w:p>
      </w:tc>
      <w:tc>
        <w:tcPr>
          <w:tcW w:w="3020" w:type="dxa"/>
        </w:tcPr>
        <w:p w14:paraId="04CC5A7A" w14:textId="77777777" w:rsidR="00487D29" w:rsidRDefault="00487D29">
          <w:pPr>
            <w:pStyle w:val="Zhlav"/>
            <w:ind w:right="-115"/>
            <w:jc w:val="right"/>
          </w:pPr>
        </w:p>
      </w:tc>
    </w:tr>
  </w:tbl>
  <w:p w14:paraId="5A36BE63" w14:textId="77777777" w:rsidR="00487D29" w:rsidRDefault="00487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DAD0D" w14:textId="77777777" w:rsidR="00212DFD" w:rsidRDefault="00212DFD">
      <w:pPr>
        <w:spacing w:after="0" w:line="240" w:lineRule="auto"/>
      </w:pPr>
      <w:r>
        <w:separator/>
      </w:r>
    </w:p>
  </w:footnote>
  <w:footnote w:type="continuationSeparator" w:id="0">
    <w:p w14:paraId="610C6DCD" w14:textId="77777777" w:rsidR="00212DFD" w:rsidRDefault="00212DFD">
      <w:pPr>
        <w:spacing w:after="0" w:line="240" w:lineRule="auto"/>
      </w:pPr>
      <w:r>
        <w:continuationSeparator/>
      </w:r>
    </w:p>
  </w:footnote>
  <w:footnote w:type="continuationNotice" w:id="1">
    <w:p w14:paraId="25E735D0" w14:textId="77777777" w:rsidR="00212DFD" w:rsidRDefault="00212DFD">
      <w:pPr>
        <w:spacing w:after="0" w:line="240" w:lineRule="auto"/>
      </w:pPr>
    </w:p>
  </w:footnote>
  <w:footnote w:id="2">
    <w:p w14:paraId="03CEB293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a) zákona č. 250/2000 Sb., o rozpočtových pravidlech územních rozpočtů, ve znění pozdějších předpisů</w:t>
      </w:r>
    </w:p>
  </w:footnote>
  <w:footnote w:id="3">
    <w:p w14:paraId="2BA55E49" w14:textId="77777777"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021EE8CB" w14:textId="77777777"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6D57827" w14:textId="77777777"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766F6A27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B483FFF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DCBEDC9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transakce, ve znění pozdějších předpisů</w:t>
      </w:r>
    </w:p>
  </w:footnote>
  <w:footnote w:id="9">
    <w:p w14:paraId="636DEAD2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6 odst. 2 zákona č. 297/2016 Sb.</w:t>
      </w:r>
    </w:p>
  </w:footnote>
  <w:footnote w:id="10">
    <w:p w14:paraId="0AD659FA" w14:textId="77777777" w:rsidR="00487D29" w:rsidRDefault="00F921D0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467D92" w14:textId="77777777" w:rsidR="00EC3665" w:rsidRDefault="00EC3665" w:rsidP="00EC3665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3. zákona č. 250/2000 Sb.</w:t>
      </w:r>
    </w:p>
    <w:p w14:paraId="174C3B42" w14:textId="77777777" w:rsidR="00EC3665" w:rsidRPr="00996F1E" w:rsidRDefault="00EC3665" w:rsidP="00EC366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2">
    <w:p w14:paraId="628A180F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66C9E36B" w14:textId="77777777" w:rsidR="00487D29" w:rsidRDefault="00F921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6A267641" w14:textId="77777777"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60939B84" w14:textId="77777777" w:rsidR="00487D29" w:rsidRDefault="00F921D0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10c odst. 2 písm. j) zákona č. 250/2000 Sb.</w:t>
      </w:r>
    </w:p>
  </w:footnote>
  <w:footnote w:id="16">
    <w:p w14:paraId="19C1F31E" w14:textId="77777777" w:rsidR="00487D29" w:rsidRDefault="00F921D0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87D29" w14:paraId="4D27704D" w14:textId="77777777">
      <w:tc>
        <w:tcPr>
          <w:tcW w:w="3020" w:type="dxa"/>
        </w:tcPr>
        <w:p w14:paraId="621ABEB0" w14:textId="77777777" w:rsidR="00487D29" w:rsidRDefault="00487D29">
          <w:pPr>
            <w:pStyle w:val="Zhlav"/>
            <w:ind w:left="-115"/>
          </w:pPr>
        </w:p>
      </w:tc>
      <w:tc>
        <w:tcPr>
          <w:tcW w:w="3020" w:type="dxa"/>
        </w:tcPr>
        <w:p w14:paraId="371250C9" w14:textId="77777777" w:rsidR="00487D29" w:rsidRDefault="00487D29">
          <w:pPr>
            <w:pStyle w:val="Zhlav"/>
            <w:jc w:val="center"/>
          </w:pPr>
        </w:p>
      </w:tc>
      <w:tc>
        <w:tcPr>
          <w:tcW w:w="3020" w:type="dxa"/>
        </w:tcPr>
        <w:p w14:paraId="54B2099B" w14:textId="77777777" w:rsidR="00487D29" w:rsidRDefault="00487D29">
          <w:pPr>
            <w:pStyle w:val="Zhlav"/>
            <w:ind w:right="-115"/>
            <w:jc w:val="right"/>
          </w:pPr>
        </w:p>
      </w:tc>
    </w:tr>
  </w:tbl>
  <w:p w14:paraId="7D0C1083" w14:textId="77777777" w:rsidR="00487D29" w:rsidRDefault="00487D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FB0F" w14:textId="77777777" w:rsidR="00487D29" w:rsidRDefault="00F921D0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05BF9F7" wp14:editId="6391216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C4DDF" w14:textId="77777777" w:rsidR="00487D29" w:rsidRDefault="00F921D0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C190F0A" wp14:editId="0862C0DD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BF9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36DC4DDF" w14:textId="77777777" w:rsidR="00487D29" w:rsidRDefault="00F921D0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C190F0A" wp14:editId="0862C0DD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aps/>
      </w:rPr>
      <w:t>KARLOVARSKÝ KRAJ</w:t>
    </w:r>
  </w:p>
  <w:p w14:paraId="5C7C2D16" w14:textId="77777777" w:rsidR="00487D29" w:rsidRDefault="00F921D0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22DA9F81" w14:textId="77777777" w:rsidR="00487D29" w:rsidRDefault="00F921D0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51BA619D" wp14:editId="763FACA2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10BD6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D3456"/>
    <w:multiLevelType w:val="hybridMultilevel"/>
    <w:tmpl w:val="9E1C0466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4F01BE"/>
    <w:multiLevelType w:val="hybridMultilevel"/>
    <w:tmpl w:val="7ABE4F7A"/>
    <w:lvl w:ilvl="0" w:tplc="801AC87C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38"/>
  </w:num>
  <w:num w:numId="4">
    <w:abstractNumId w:val="17"/>
  </w:num>
  <w:num w:numId="5">
    <w:abstractNumId w:val="8"/>
  </w:num>
  <w:num w:numId="6">
    <w:abstractNumId w:val="41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3"/>
  </w:num>
  <w:num w:numId="12">
    <w:abstractNumId w:val="4"/>
  </w:num>
  <w:num w:numId="13">
    <w:abstractNumId w:val="10"/>
  </w:num>
  <w:num w:numId="14">
    <w:abstractNumId w:val="35"/>
  </w:num>
  <w:num w:numId="15">
    <w:abstractNumId w:val="46"/>
  </w:num>
  <w:num w:numId="16">
    <w:abstractNumId w:val="40"/>
  </w:num>
  <w:num w:numId="17">
    <w:abstractNumId w:val="23"/>
  </w:num>
  <w:num w:numId="18">
    <w:abstractNumId w:val="42"/>
  </w:num>
  <w:num w:numId="19">
    <w:abstractNumId w:val="0"/>
  </w:num>
  <w:num w:numId="20">
    <w:abstractNumId w:val="45"/>
  </w:num>
  <w:num w:numId="21">
    <w:abstractNumId w:val="2"/>
  </w:num>
  <w:num w:numId="22">
    <w:abstractNumId w:val="20"/>
  </w:num>
  <w:num w:numId="23">
    <w:abstractNumId w:val="24"/>
  </w:num>
  <w:num w:numId="24">
    <w:abstractNumId w:val="36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4"/>
  </w:num>
  <w:num w:numId="32">
    <w:abstractNumId w:val="30"/>
  </w:num>
  <w:num w:numId="33">
    <w:abstractNumId w:val="15"/>
  </w:num>
  <w:num w:numId="34">
    <w:abstractNumId w:val="1"/>
  </w:num>
  <w:num w:numId="35">
    <w:abstractNumId w:val="34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  <w:num w:numId="46">
    <w:abstractNumId w:val="33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29"/>
    <w:rsid w:val="00025A3E"/>
    <w:rsid w:val="00030267"/>
    <w:rsid w:val="00056B4D"/>
    <w:rsid w:val="000705C6"/>
    <w:rsid w:val="00212C59"/>
    <w:rsid w:val="00212DFD"/>
    <w:rsid w:val="00285D50"/>
    <w:rsid w:val="003165A4"/>
    <w:rsid w:val="003A58E1"/>
    <w:rsid w:val="003E5F86"/>
    <w:rsid w:val="00487D29"/>
    <w:rsid w:val="004F32B3"/>
    <w:rsid w:val="0067069E"/>
    <w:rsid w:val="007217AC"/>
    <w:rsid w:val="00803245"/>
    <w:rsid w:val="008134FF"/>
    <w:rsid w:val="00994EEC"/>
    <w:rsid w:val="00A47535"/>
    <w:rsid w:val="00C5678A"/>
    <w:rsid w:val="00C66686"/>
    <w:rsid w:val="00C70946"/>
    <w:rsid w:val="00CB176D"/>
    <w:rsid w:val="00CE5F0C"/>
    <w:rsid w:val="00D21B71"/>
    <w:rsid w:val="00DA0041"/>
    <w:rsid w:val="00DD5830"/>
    <w:rsid w:val="00E367DE"/>
    <w:rsid w:val="00E62D08"/>
    <w:rsid w:val="00EC3665"/>
    <w:rsid w:val="00EE1961"/>
    <w:rsid w:val="00F70EDB"/>
    <w:rsid w:val="00F9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9793AE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adpis2Char">
    <w:name w:val="Nadpis 2 Char"/>
    <w:link w:val="Nadpis2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Pr>
      <w:color w:val="0563C1"/>
      <w:u w:val="single"/>
    </w:rPr>
  </w:style>
  <w:style w:type="character" w:customStyle="1" w:styleId="FontStyle49">
    <w:name w:val="Font Style49"/>
    <w:uiPriority w:val="99"/>
    <w:qFormat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Pr>
      <w:lang w:eastAsia="en-US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C715F-7292-4532-8B10-0D944A49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1926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Janíčková Kristýna</cp:lastModifiedBy>
  <cp:revision>11</cp:revision>
  <cp:lastPrinted>2017-10-02T23:22:00Z</cp:lastPrinted>
  <dcterms:created xsi:type="dcterms:W3CDTF">2025-12-03T12:13:00Z</dcterms:created>
  <dcterms:modified xsi:type="dcterms:W3CDTF">2026-01-28T09:17:00Z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