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DDC95" w14:textId="77777777" w:rsidR="009829B6" w:rsidRPr="00DB22B2" w:rsidRDefault="009829B6" w:rsidP="009829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B22B2">
        <w:rPr>
          <w:rFonts w:ascii="Times New Roman" w:hAnsi="Times New Roman" w:cs="Times New Roman"/>
          <w:b/>
          <w:bCs/>
          <w:sz w:val="28"/>
          <w:szCs w:val="28"/>
        </w:rPr>
        <w:t>Technické podmínky</w:t>
      </w:r>
    </w:p>
    <w:p w14:paraId="26E4189F" w14:textId="77777777" w:rsidR="009829B6" w:rsidRPr="00DB22B2" w:rsidRDefault="009829B6" w:rsidP="009829B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2B2">
        <w:rPr>
          <w:rFonts w:ascii="Times New Roman" w:hAnsi="Times New Roman" w:cs="Times New Roman"/>
          <w:b/>
          <w:bCs/>
          <w:sz w:val="28"/>
          <w:szCs w:val="28"/>
        </w:rPr>
        <w:t>pro pořízení speciální</w:t>
      </w:r>
      <w:r w:rsidR="00682DCB" w:rsidRPr="00DB22B2">
        <w:rPr>
          <w:rFonts w:ascii="Times New Roman" w:hAnsi="Times New Roman" w:cs="Times New Roman"/>
          <w:b/>
          <w:bCs/>
          <w:sz w:val="28"/>
          <w:szCs w:val="28"/>
        </w:rPr>
        <w:t>ho</w:t>
      </w:r>
      <w:r w:rsidRPr="00DB22B2">
        <w:rPr>
          <w:rFonts w:ascii="Times New Roman" w:hAnsi="Times New Roman" w:cs="Times New Roman"/>
          <w:b/>
          <w:bCs/>
          <w:sz w:val="28"/>
          <w:szCs w:val="28"/>
        </w:rPr>
        <w:t xml:space="preserve"> terénní</w:t>
      </w:r>
      <w:r w:rsidR="00682DCB" w:rsidRPr="00DB22B2">
        <w:rPr>
          <w:rFonts w:ascii="Times New Roman" w:hAnsi="Times New Roman" w:cs="Times New Roman"/>
          <w:b/>
          <w:bCs/>
          <w:sz w:val="28"/>
          <w:szCs w:val="28"/>
        </w:rPr>
        <w:t>ho</w:t>
      </w:r>
      <w:r w:rsidRPr="00DB22B2">
        <w:rPr>
          <w:rFonts w:ascii="Times New Roman" w:hAnsi="Times New Roman" w:cs="Times New Roman"/>
          <w:b/>
          <w:bCs/>
          <w:sz w:val="28"/>
          <w:szCs w:val="28"/>
        </w:rPr>
        <w:t xml:space="preserve"> vozidl</w:t>
      </w:r>
      <w:r w:rsidR="00682DCB" w:rsidRPr="00DB22B2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DB22B2">
        <w:rPr>
          <w:rFonts w:ascii="Times New Roman" w:hAnsi="Times New Roman" w:cs="Times New Roman"/>
          <w:b/>
          <w:bCs/>
          <w:sz w:val="28"/>
          <w:szCs w:val="28"/>
        </w:rPr>
        <w:t xml:space="preserve"> S</w:t>
      </w:r>
      <w:r w:rsidR="003868F4" w:rsidRPr="00DB22B2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DB22B2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17915319" w14:textId="77777777" w:rsidR="009829B6" w:rsidRPr="00317CEB" w:rsidRDefault="009829B6" w:rsidP="009829B6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D2D9690" w14:textId="77777777" w:rsidR="009829B6" w:rsidRPr="00317CEB" w:rsidRDefault="009829B6" w:rsidP="009829B6">
      <w:pPr>
        <w:pStyle w:val="Zkladntext"/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Předmětem technických podmínek je pořízení nového speciálního terénního vozidla SxS.</w:t>
      </w:r>
    </w:p>
    <w:p w14:paraId="18F5D9CC" w14:textId="77777777" w:rsidR="009829B6" w:rsidRPr="00317CEB" w:rsidRDefault="009829B6" w:rsidP="009829B6">
      <w:pPr>
        <w:pStyle w:val="Zkladntext"/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Pro výrobu vozidla je použit pouze nový, dosud nepoužitý podvozek, který není starší 12 měsíců a pro účelovou nástavbu a další příslušenství pouze nové a originální součásti.</w:t>
      </w:r>
    </w:p>
    <w:p w14:paraId="2AB12587" w14:textId="77777777" w:rsidR="009829B6" w:rsidRPr="00317CEB" w:rsidRDefault="009829B6" w:rsidP="009829B6">
      <w:pPr>
        <w:pStyle w:val="Zkladntext"/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Technická životnost vozidla SxS je nejméně 20 let, a to při běžném provozu u jednotky požární ochrany s ročním kilometrovým průběhem do 1</w:t>
      </w:r>
      <w:r w:rsidR="00922162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000 km. Po celou tuto dobu je vozidlo SxS plně funkční.</w:t>
      </w:r>
    </w:p>
    <w:p w14:paraId="68F96B48" w14:textId="77777777" w:rsidR="009829B6" w:rsidRPr="00317CEB" w:rsidRDefault="009829B6" w:rsidP="009829B6">
      <w:pPr>
        <w:pStyle w:val="Zkladntext"/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Všechny položky požárního příslušenství a všechna zařízení použita pro montáž do vozidla SxS, splňují obecně stanovené bezpečnostní předpisy a jsou doložena návodem a příslušným dokladem (homologace, certifikát, prohlášení o shodě apod.).</w:t>
      </w:r>
    </w:p>
    <w:p w14:paraId="43958EAF" w14:textId="77777777" w:rsidR="009829B6" w:rsidRPr="00317CEB" w:rsidRDefault="009829B6" w:rsidP="009829B6">
      <w:pPr>
        <w:pStyle w:val="Zkladntext"/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splňuje požadavky stanovené:</w:t>
      </w:r>
    </w:p>
    <w:p w14:paraId="5B8FAE22" w14:textId="77777777" w:rsidR="009829B6" w:rsidRPr="00317CEB" w:rsidRDefault="009829B6" w:rsidP="00464296">
      <w:pPr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předpisy pro provoz vozidel na pozemních komunikacích v ČR a veškeré povinné údaje k</w:t>
      </w:r>
      <w:r w:rsidR="00C86365" w:rsidRPr="00317CEB">
        <w:rPr>
          <w:rFonts w:ascii="Times New Roman" w:hAnsi="Times New Roman" w:cs="Times New Roman"/>
        </w:rPr>
        <w:t> </w:t>
      </w:r>
      <w:r w:rsidRPr="00317CEB">
        <w:rPr>
          <w:rFonts w:ascii="Times New Roman" w:hAnsi="Times New Roman" w:cs="Times New Roman"/>
        </w:rPr>
        <w:t>provedení a vybavení vozidla včetně výjimek, které jsou uvedeny v dokumentaci nezbytné pro registraci vozidla,</w:t>
      </w:r>
    </w:p>
    <w:p w14:paraId="32183109" w14:textId="77777777" w:rsidR="009829B6" w:rsidRPr="00317CEB" w:rsidRDefault="009829B6" w:rsidP="00464296">
      <w:pPr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vyhl. č. 247/2001 Sb., o organizaci a činnosti jednotek požární ochrany, ve znění pozdějších předpisů,</w:t>
      </w:r>
    </w:p>
    <w:p w14:paraId="651DE236" w14:textId="77777777" w:rsidR="009829B6" w:rsidRPr="00317CEB" w:rsidRDefault="009829B6" w:rsidP="009829B6">
      <w:pPr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a požadavky uvedené v těchto technických podmínkách.</w:t>
      </w:r>
    </w:p>
    <w:p w14:paraId="467C1772" w14:textId="77777777" w:rsidR="009829B6" w:rsidRPr="009C34ED" w:rsidRDefault="009829B6" w:rsidP="009C34ED">
      <w:pPr>
        <w:pStyle w:val="Zkladntext"/>
        <w:numPr>
          <w:ilvl w:val="0"/>
          <w:numId w:val="2"/>
        </w:numPr>
        <w:spacing w:before="120" w:after="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E21CEC">
        <w:rPr>
          <w:rFonts w:ascii="Times New Roman" w:hAnsi="Times New Roman"/>
          <w:b/>
          <w:sz w:val="22"/>
          <w:szCs w:val="22"/>
        </w:rPr>
        <w:t>Kabina osádky vozidla</w:t>
      </w:r>
    </w:p>
    <w:p w14:paraId="219C447C" w14:textId="77777777" w:rsidR="009C34ED" w:rsidRPr="009C34ED" w:rsidRDefault="009C34ED" w:rsidP="009C34ED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vanish/>
          <w:sz w:val="22"/>
          <w:szCs w:val="22"/>
        </w:rPr>
      </w:pPr>
    </w:p>
    <w:p w14:paraId="02FC1B3F" w14:textId="77777777" w:rsidR="009C34ED" w:rsidRPr="009C34ED" w:rsidRDefault="009C34ED" w:rsidP="009C34ED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vanish/>
          <w:sz w:val="22"/>
          <w:szCs w:val="22"/>
        </w:rPr>
      </w:pPr>
    </w:p>
    <w:p w14:paraId="1CADFD55" w14:textId="77777777" w:rsidR="009C34ED" w:rsidRPr="009C34ED" w:rsidRDefault="009C34ED" w:rsidP="009C34ED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vanish/>
          <w:sz w:val="22"/>
          <w:szCs w:val="22"/>
        </w:rPr>
      </w:pPr>
    </w:p>
    <w:p w14:paraId="59DC5742" w14:textId="77777777" w:rsidR="009C34ED" w:rsidRPr="009C34ED" w:rsidRDefault="009C34ED" w:rsidP="009C34ED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vanish/>
          <w:sz w:val="22"/>
          <w:szCs w:val="22"/>
        </w:rPr>
      </w:pPr>
    </w:p>
    <w:p w14:paraId="750C645A" w14:textId="77777777" w:rsidR="009C34ED" w:rsidRPr="009C34ED" w:rsidRDefault="009C34ED" w:rsidP="009C34ED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vanish/>
          <w:sz w:val="22"/>
          <w:szCs w:val="22"/>
        </w:rPr>
      </w:pPr>
    </w:p>
    <w:p w14:paraId="7772C7AE" w14:textId="77777777" w:rsidR="009C34ED" w:rsidRPr="009C34ED" w:rsidRDefault="009C34ED" w:rsidP="009C34ED">
      <w:pPr>
        <w:pStyle w:val="Odstavecseseznamem"/>
        <w:numPr>
          <w:ilvl w:val="0"/>
          <w:numId w:val="4"/>
        </w:numPr>
        <w:spacing w:before="120"/>
        <w:contextualSpacing w:val="0"/>
        <w:jc w:val="both"/>
        <w:rPr>
          <w:vanish/>
          <w:sz w:val="22"/>
          <w:szCs w:val="22"/>
        </w:rPr>
      </w:pPr>
    </w:p>
    <w:p w14:paraId="09634923" w14:textId="77777777" w:rsidR="009829B6" w:rsidRPr="00317CEB" w:rsidRDefault="009829B6" w:rsidP="009C34ED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Kabina vozidla je vybavena omyvatelnými sedadly, s bezpečnostními pásy, pro 3 osoby, v jedné řadě. Nejméně dvě sedadla jsou homologována pro provoz na pozemních komunikacích, třetí sedadlo může být určeno pro nouzové použití mimo pozemní komunikace (např. při evakuaci osob z nepřístupného terénu).</w:t>
      </w:r>
    </w:p>
    <w:p w14:paraId="40F97EFC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Kabina vozidla je vybavena nejméně jedním vyjímatelným úložným boxem z volitelných originálních doplňků výrobce podvozku pod sedadlem spolujezdce a v horní části přístrojové desky</w:t>
      </w:r>
      <w:r w:rsidR="00317CEB">
        <w:rPr>
          <w:rFonts w:ascii="Times New Roman" w:hAnsi="Times New Roman"/>
          <w:sz w:val="22"/>
          <w:szCs w:val="22"/>
        </w:rPr>
        <w:t>.</w:t>
      </w:r>
    </w:p>
    <w:p w14:paraId="3E895706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Kabina vozidla je vybavena ochranným homologovaným rámem prostoru pro osádku a pevnou střechou</w:t>
      </w:r>
      <w:r w:rsidR="00317CEB">
        <w:rPr>
          <w:rFonts w:ascii="Times New Roman" w:hAnsi="Times New Roman"/>
          <w:sz w:val="22"/>
          <w:szCs w:val="22"/>
        </w:rPr>
        <w:t>.</w:t>
      </w:r>
    </w:p>
    <w:p w14:paraId="35DC53FA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Po obou bocích ochranného rámu jsou umístěny nejméně tzv. polodveře dodávané výrobcem vozidla, s možností úložných prostorů.</w:t>
      </w:r>
    </w:p>
    <w:p w14:paraId="608E6CA5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Kabina osádky je dále vybavena nejméně:</w:t>
      </w:r>
    </w:p>
    <w:p w14:paraId="52EAD314" w14:textId="77777777" w:rsidR="009829B6" w:rsidRPr="00317CEB" w:rsidRDefault="009829B6" w:rsidP="00464296">
      <w:pPr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vnitřním osvětlením,</w:t>
      </w:r>
    </w:p>
    <w:p w14:paraId="15B077A4" w14:textId="77777777" w:rsidR="009829B6" w:rsidRPr="00317CEB" w:rsidRDefault="009829B6" w:rsidP="00464296">
      <w:pPr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vnitřním zpětným zrcátkem,</w:t>
      </w:r>
    </w:p>
    <w:p w14:paraId="2DEA8C18" w14:textId="77777777" w:rsidR="009829B6" w:rsidRPr="00317CEB" w:rsidRDefault="009829B6" w:rsidP="00464296">
      <w:pPr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vnějšími zpětnými zrcátky (2 ks),</w:t>
      </w:r>
    </w:p>
    <w:p w14:paraId="1A0D536E" w14:textId="77777777" w:rsidR="009829B6" w:rsidRPr="00317CEB" w:rsidRDefault="009829B6" w:rsidP="00464296">
      <w:pPr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v zorném poli řidiče ukazatelem rychlosti, otáček motoru, počítadlem motohodin, palivoměrem a signalizaci přehřátí motoru</w:t>
      </w:r>
      <w:r w:rsidR="00317CEB">
        <w:rPr>
          <w:rFonts w:ascii="Times New Roman" w:hAnsi="Times New Roman" w:cs="Times New Roman"/>
        </w:rPr>
        <w:t>.</w:t>
      </w:r>
    </w:p>
    <w:p w14:paraId="0C466D38" w14:textId="77777777" w:rsidR="009829B6" w:rsidRPr="00317CEB" w:rsidRDefault="009829B6" w:rsidP="009829B6">
      <w:pPr>
        <w:pStyle w:val="Zkladntext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317CEB">
        <w:rPr>
          <w:rFonts w:ascii="Times New Roman" w:hAnsi="Times New Roman"/>
          <w:b/>
          <w:sz w:val="22"/>
          <w:szCs w:val="22"/>
        </w:rPr>
        <w:t>Podvozek vozidla</w:t>
      </w:r>
    </w:p>
    <w:p w14:paraId="04D8B10C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je vybaveno zážehovým, čtyřdobým, dvouválcovým motorem o objemu nejméně 950</w:t>
      </w:r>
      <w:r w:rsid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cm</w:t>
      </w:r>
      <w:r w:rsidRPr="00317CEB">
        <w:rPr>
          <w:rFonts w:ascii="Times New Roman" w:hAnsi="Times New Roman"/>
          <w:sz w:val="22"/>
          <w:szCs w:val="22"/>
          <w:vertAlign w:val="superscript"/>
        </w:rPr>
        <w:t>3</w:t>
      </w:r>
      <w:r w:rsidRPr="00317CEB">
        <w:rPr>
          <w:rFonts w:ascii="Times New Roman" w:hAnsi="Times New Roman"/>
          <w:sz w:val="22"/>
          <w:szCs w:val="22"/>
        </w:rPr>
        <w:t xml:space="preserve"> a výkonu nejméně 50 kW.</w:t>
      </w:r>
    </w:p>
    <w:p w14:paraId="080CD994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má pohon všech čtyř kol; pohon přední nápravy je připojitelný, přední náprava je vybavena samosvorným diferenciálem, případně uzávěrkou diferenciálu; zadní náprava je vybavena diferenciálem s uzávěrkou diferenciálu, nejméně zadní náprava je doplněna o</w:t>
      </w:r>
      <w:r w:rsidR="00C86365" w:rsidRP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stabilizátor nápravy.</w:t>
      </w:r>
    </w:p>
    <w:p w14:paraId="7003A96D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lastRenderedPageBreak/>
        <w:t>Vozidlo má automatickou převodovku s možností volby pomalého terénního režimu (např.</w:t>
      </w:r>
      <w:r w:rsidR="00C86365" w:rsidRP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redukce).</w:t>
      </w:r>
    </w:p>
    <w:p w14:paraId="5787B04F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má hydraulické kotoučové brzdy přední i zadní nápravy a oddělený nezávislý systém parkovací brzdy.</w:t>
      </w:r>
    </w:p>
    <w:p w14:paraId="0B83AE54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je vybaveno posilovačem řízení.</w:t>
      </w:r>
    </w:p>
    <w:p w14:paraId="55C38802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má následující geometrické parametry:</w:t>
      </w:r>
    </w:p>
    <w:p w14:paraId="4945971B" w14:textId="77777777" w:rsidR="009829B6" w:rsidRPr="00317CEB" w:rsidRDefault="009829B6" w:rsidP="00464296">
      <w:pPr>
        <w:numPr>
          <w:ilvl w:val="0"/>
          <w:numId w:val="22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přední nájezdový úhel nejméně 75°,</w:t>
      </w:r>
    </w:p>
    <w:p w14:paraId="0DC2D39C" w14:textId="77777777" w:rsidR="009829B6" w:rsidRPr="00317CEB" w:rsidRDefault="009829B6" w:rsidP="00464296">
      <w:pPr>
        <w:numPr>
          <w:ilvl w:val="0"/>
          <w:numId w:val="22"/>
        </w:numPr>
        <w:spacing w:line="276" w:lineRule="auto"/>
        <w:ind w:left="993"/>
        <w:jc w:val="both"/>
        <w:rPr>
          <w:rFonts w:ascii="Times New Roman" w:hAnsi="Times New Roman" w:cs="Times New Roman"/>
        </w:rPr>
      </w:pPr>
      <w:r w:rsidRPr="00317CEB">
        <w:rPr>
          <w:rFonts w:ascii="Times New Roman" w:hAnsi="Times New Roman" w:cs="Times New Roman"/>
        </w:rPr>
        <w:t>světlá výška nejméně 250 mm.</w:t>
      </w:r>
    </w:p>
    <w:p w14:paraId="063CB143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Zadní koncové svítilny vozidla jsou v LED provedení (výjimku mohou tvořit směrové blikače).</w:t>
      </w:r>
    </w:p>
    <w:p w14:paraId="6169038C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 přední části vozidla je zabudovaný elektrický lanový naviják s tažnou silou nejméně 20</w:t>
      </w:r>
      <w:r w:rsid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kN a</w:t>
      </w:r>
      <w:r w:rsidR="00C86365" w:rsidRP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délkou lana nejméně 20 m, který je vybavený vedením lana a textilním lanem s hákem. Ovládání lanového navijáku je umožněno z místa řidiče a pomocí dálkového ovládání (za dálkové ovládání je považováno i ovládání napojené kabelem).</w:t>
      </w:r>
    </w:p>
    <w:p w14:paraId="14B9F225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je vybaveno odnímatelným tažným zařízením, které umožňuje snadnou výměnu za tažné zařízení typu ISO A50-X pro brzděný přívěs s nájezdovou brzdou o hmotnosti nejméně 900 kg nebo S-OKO průměru 32 mm pro připojení obdobného přívěsu, např. sněžných saní</w:t>
      </w:r>
      <w:r w:rsidRPr="00317CEB">
        <w:rPr>
          <w:rFonts w:ascii="Times New Roman" w:hAnsi="Times New Roman"/>
          <w:b/>
          <w:sz w:val="22"/>
          <w:szCs w:val="22"/>
        </w:rPr>
        <w:t>, oba spojovací prvky jsou součástí dodávky</w:t>
      </w:r>
      <w:r w:rsidRPr="00317CEB">
        <w:rPr>
          <w:rFonts w:ascii="Times New Roman" w:hAnsi="Times New Roman"/>
          <w:sz w:val="22"/>
          <w:szCs w:val="22"/>
        </w:rPr>
        <w:t>.</w:t>
      </w:r>
    </w:p>
    <w:p w14:paraId="3C8B3894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Pneumatiky všech kol mají univerzální smíšený vzorek a mají plášť složený z nejméně 6 pláten.</w:t>
      </w:r>
    </w:p>
    <w:p w14:paraId="44065604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 xml:space="preserve">Vozidlo je vybaveno systémem průběžného dobíjení, které je tvořeno instalovanou pevnou zásuvkou (s krytem) na vozidle a </w:t>
      </w:r>
      <w:r w:rsidRPr="00317CEB">
        <w:rPr>
          <w:rFonts w:ascii="Times New Roman" w:hAnsi="Times New Roman"/>
          <w:b/>
          <w:sz w:val="22"/>
          <w:szCs w:val="22"/>
        </w:rPr>
        <w:t>kabelem s délkou nejméně 5 m zakončeným příslušným protikusem (konektorem), který je součástí dodávky</w:t>
      </w:r>
      <w:r w:rsidRPr="00317CEB">
        <w:rPr>
          <w:rFonts w:ascii="Times New Roman" w:hAnsi="Times New Roman"/>
          <w:sz w:val="22"/>
          <w:szCs w:val="22"/>
        </w:rPr>
        <w:t>. Spojení zásuvky s konektorem je v magnetickém provedení.</w:t>
      </w:r>
    </w:p>
    <w:p w14:paraId="421E9F89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 xml:space="preserve">Součástí dodávky vozidla je </w:t>
      </w:r>
      <w:r w:rsidRPr="00317CEB">
        <w:rPr>
          <w:rFonts w:ascii="Times New Roman" w:hAnsi="Times New Roman"/>
          <w:b/>
          <w:sz w:val="22"/>
          <w:szCs w:val="22"/>
        </w:rPr>
        <w:t>povinná výbava motorových vozidel stanovená právním předpisem</w:t>
      </w:r>
      <w:r w:rsidRPr="00317CEB">
        <w:rPr>
          <w:rFonts w:ascii="Times New Roman" w:hAnsi="Times New Roman"/>
          <w:sz w:val="22"/>
          <w:szCs w:val="22"/>
        </w:rPr>
        <w:t>.</w:t>
      </w:r>
    </w:p>
    <w:p w14:paraId="2BDB1A92" w14:textId="77777777" w:rsidR="009829B6" w:rsidRPr="00317CEB" w:rsidRDefault="009829B6" w:rsidP="009829B6">
      <w:pPr>
        <w:pStyle w:val="Zkladntext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317CEB">
        <w:rPr>
          <w:rFonts w:ascii="Times New Roman" w:hAnsi="Times New Roman"/>
          <w:b/>
          <w:sz w:val="22"/>
          <w:szCs w:val="22"/>
        </w:rPr>
        <w:t>Účelová nástavba vozidla</w:t>
      </w:r>
    </w:p>
    <w:p w14:paraId="0F9717AD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Ložná plocha vozidla (korba pro případné umístění hasicího zařízení nebo pro transport osob a</w:t>
      </w:r>
      <w:r w:rsidR="00C86365" w:rsidRP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materiálu) má rozměry nejméně 1200 x 900 x 300 mm (Š x D x V) a nosnost nejméně 450 kg.</w:t>
      </w:r>
    </w:p>
    <w:p w14:paraId="32740A03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 xml:space="preserve">Ložná plocha je vybavena nejméně čtyřmi originálními kotevními body a </w:t>
      </w:r>
      <w:r w:rsidRPr="00317CEB">
        <w:rPr>
          <w:rFonts w:ascii="Times New Roman" w:hAnsi="Times New Roman"/>
          <w:b/>
          <w:sz w:val="22"/>
          <w:szCs w:val="22"/>
        </w:rPr>
        <w:t>polohovací sítí z</w:t>
      </w:r>
      <w:r w:rsidR="00C86365" w:rsidRPr="00317CEB">
        <w:rPr>
          <w:rFonts w:ascii="Times New Roman" w:hAnsi="Times New Roman"/>
          <w:b/>
          <w:sz w:val="22"/>
          <w:szCs w:val="22"/>
        </w:rPr>
        <w:t> </w:t>
      </w:r>
      <w:r w:rsidRPr="00317CEB">
        <w:rPr>
          <w:rFonts w:ascii="Times New Roman" w:hAnsi="Times New Roman"/>
          <w:b/>
          <w:sz w:val="22"/>
          <w:szCs w:val="22"/>
        </w:rPr>
        <w:t>plochých popruhů pro zajištění nákladu</w:t>
      </w:r>
      <w:r w:rsidRPr="00317CEB">
        <w:rPr>
          <w:rFonts w:ascii="Times New Roman" w:hAnsi="Times New Roman"/>
          <w:sz w:val="22"/>
          <w:szCs w:val="22"/>
        </w:rPr>
        <w:t>.</w:t>
      </w:r>
    </w:p>
    <w:p w14:paraId="28B0D77A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Zadní část ochranného rámu vozidla je kolmá, nepřipouští se šikmé provedení, které zasahuje do</w:t>
      </w:r>
      <w:r w:rsid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ložné plochy vozidla.</w:t>
      </w:r>
    </w:p>
    <w:p w14:paraId="23473A9D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Ložná plocha je osvětlena bílým neoslňujícím světlem v provedení LED (světelnou rampou v</w:t>
      </w:r>
      <w:r w:rsidR="00317CE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šířce nejméně 500 mm), ovládaným samostatným ovládacím prvkem.</w:t>
      </w:r>
      <w:bookmarkStart w:id="1" w:name="_Hlk112046740"/>
    </w:p>
    <w:bookmarkEnd w:id="1"/>
    <w:p w14:paraId="7EA063F6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Vozidlo je vybaveno dvěma otočnými pracovními světlomety (hledáčky) v provedení LED, umístěnými na karoserii vozidla, jeden v dosahu řidiče a druhý v dosahu velitele. Každý světlomet je samostatně vypínatelný.</w:t>
      </w:r>
    </w:p>
    <w:p w14:paraId="6A27C6C8" w14:textId="77777777" w:rsidR="009829B6" w:rsidRPr="00317CEB" w:rsidRDefault="009829B6" w:rsidP="009829B6">
      <w:pPr>
        <w:pStyle w:val="Zkladntext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317CEB">
        <w:rPr>
          <w:rFonts w:ascii="Times New Roman" w:hAnsi="Times New Roman"/>
          <w:b/>
          <w:sz w:val="22"/>
          <w:szCs w:val="22"/>
        </w:rPr>
        <w:t>Zvláštní výstražné zařízení</w:t>
      </w:r>
    </w:p>
    <w:p w14:paraId="1301CE96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Zvláštní výstražné zařízení (dále jen „ZVZ“) neumožňuje reprodukci mluveného slova.</w:t>
      </w:r>
    </w:p>
    <w:p w14:paraId="475F017F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Jeho světelná část je na vozidle provedena v souladu s TP-STS/20-2019, a to ve 2 samostatných celcích – hlavní část (dále jen „světelné zařízení“) a doplňkové svítilny.</w:t>
      </w:r>
    </w:p>
    <w:p w14:paraId="22C93709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 xml:space="preserve">Světelné zařízení je tvořeno </w:t>
      </w:r>
      <w:r w:rsidR="00CE096D" w:rsidRPr="00317CEB">
        <w:rPr>
          <w:rFonts w:ascii="Times New Roman" w:hAnsi="Times New Roman"/>
          <w:sz w:val="22"/>
          <w:szCs w:val="22"/>
        </w:rPr>
        <w:t>LED červenomodrým majákem s magnetickým uchycením</w:t>
      </w:r>
      <w:r w:rsidRPr="00317CEB">
        <w:rPr>
          <w:rFonts w:ascii="Times New Roman" w:hAnsi="Times New Roman"/>
          <w:sz w:val="22"/>
          <w:szCs w:val="22"/>
        </w:rPr>
        <w:t xml:space="preserve"> umístě</w:t>
      </w:r>
      <w:r w:rsidR="00CE096D" w:rsidRPr="00317CEB">
        <w:rPr>
          <w:rFonts w:ascii="Times New Roman" w:hAnsi="Times New Roman"/>
          <w:sz w:val="22"/>
          <w:szCs w:val="22"/>
        </w:rPr>
        <w:t>ným</w:t>
      </w:r>
      <w:r w:rsidRPr="00317CEB">
        <w:rPr>
          <w:rFonts w:ascii="Times New Roman" w:hAnsi="Times New Roman"/>
          <w:sz w:val="22"/>
          <w:szCs w:val="22"/>
        </w:rPr>
        <w:t xml:space="preserve"> na vrchní části ochranného rámu/střeše kabiny. Světelné zařízení vyzařuje dle</w:t>
      </w:r>
      <w:r w:rsidR="00443FF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bodu</w:t>
      </w:r>
      <w:r w:rsidR="00443FFB">
        <w:rPr>
          <w:rFonts w:ascii="Times New Roman" w:hAnsi="Times New Roman"/>
          <w:sz w:val="22"/>
          <w:szCs w:val="22"/>
        </w:rPr>
        <w:t> </w:t>
      </w:r>
      <w:r w:rsidRPr="00317CEB">
        <w:rPr>
          <w:rFonts w:ascii="Times New Roman" w:hAnsi="Times New Roman"/>
          <w:sz w:val="22"/>
          <w:szCs w:val="22"/>
        </w:rPr>
        <w:t>11, písm. d) TP-STS/20-2019 v režimu dvo</w:t>
      </w:r>
      <w:r w:rsidR="00C86365" w:rsidRPr="00317CEB">
        <w:rPr>
          <w:rFonts w:ascii="Times New Roman" w:hAnsi="Times New Roman"/>
          <w:sz w:val="22"/>
          <w:szCs w:val="22"/>
        </w:rPr>
        <w:t>j</w:t>
      </w:r>
      <w:r w:rsidRPr="00317CEB">
        <w:rPr>
          <w:rFonts w:ascii="Times New Roman" w:hAnsi="Times New Roman"/>
          <w:sz w:val="22"/>
          <w:szCs w:val="22"/>
        </w:rPr>
        <w:t xml:space="preserve">záblesk (R65). </w:t>
      </w:r>
    </w:p>
    <w:p w14:paraId="1C511C34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 xml:space="preserve">Na vozidle jsou umístěny dva páry doplňkových svítilen (každá s nejméně 8 diodami pro každou barvu vyzařovaného světla) - jeden pár na přední straně vozidla v oblasti masky a jeden pár </w:t>
      </w:r>
      <w:r w:rsidRPr="00317CEB">
        <w:rPr>
          <w:rFonts w:ascii="Times New Roman" w:hAnsi="Times New Roman"/>
          <w:sz w:val="22"/>
          <w:szCs w:val="22"/>
        </w:rPr>
        <w:lastRenderedPageBreak/>
        <w:t>v zadní části vozidla. Doplňkové svítilny vyzařují dle bodu 19 TP-STS/20-2019 v režimu dvojzáblesk (R65) a nejsou synchronizovány se světelným zařízením. Doplňkové svítilny lze v případě potřeby společně vypínat/zapínat samostatným vypínačem.</w:t>
      </w:r>
    </w:p>
    <w:p w14:paraId="6EB3B8C0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Zvuková část ZVZ vydává nejméně dvě různá zvuková výstražná znamení se spojitě proměnnou výškou tónu (sirénou) a vytváří celkový akustický tlak nejméně 120 dB (A)/1 m. Sirénový generátor i reproduktor jsou integrovány v</w:t>
      </w:r>
      <w:r w:rsidR="00A21426" w:rsidRPr="00317CEB">
        <w:rPr>
          <w:rFonts w:ascii="Times New Roman" w:hAnsi="Times New Roman"/>
          <w:sz w:val="22"/>
          <w:szCs w:val="22"/>
        </w:rPr>
        <w:t> přední části vozidla</w:t>
      </w:r>
      <w:r w:rsidRPr="00317CEB">
        <w:rPr>
          <w:rFonts w:ascii="Times New Roman" w:hAnsi="Times New Roman"/>
          <w:sz w:val="22"/>
          <w:szCs w:val="22"/>
        </w:rPr>
        <w:t>. Aktivní prvky zvukové části ZVZ jsou homologovány podle EHK 10.</w:t>
      </w:r>
    </w:p>
    <w:p w14:paraId="7FC390FC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Ovládací prvky ZVZ jsou umístěny v dosahu řidiče na přístrojové desce vozidla.</w:t>
      </w:r>
    </w:p>
    <w:p w14:paraId="0C9E21D7" w14:textId="77777777" w:rsidR="009829B6" w:rsidRPr="00317CEB" w:rsidRDefault="009829B6" w:rsidP="009829B6">
      <w:pPr>
        <w:pStyle w:val="Zkladntext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b/>
          <w:sz w:val="22"/>
          <w:szCs w:val="22"/>
        </w:rPr>
      </w:pPr>
      <w:r w:rsidRPr="00317CEB">
        <w:rPr>
          <w:rFonts w:ascii="Times New Roman" w:hAnsi="Times New Roman"/>
          <w:b/>
          <w:sz w:val="22"/>
          <w:szCs w:val="22"/>
        </w:rPr>
        <w:t>Barevná úprava, značení, nápisy</w:t>
      </w:r>
    </w:p>
    <w:p w14:paraId="2984E62F" w14:textId="77777777" w:rsidR="009829B6" w:rsidRPr="00464296" w:rsidRDefault="009829B6" w:rsidP="00464296">
      <w:pPr>
        <w:pStyle w:val="Zkladntext"/>
        <w:numPr>
          <w:ilvl w:val="1"/>
          <w:numId w:val="4"/>
        </w:numPr>
        <w:spacing w:before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Barevné provedení vozidla je v jasně červené barvě v odstínu RAL 3020</w:t>
      </w:r>
      <w:r w:rsidR="003120F5" w:rsidRPr="00317CEB">
        <w:rPr>
          <w:rFonts w:ascii="Times New Roman" w:hAnsi="Times New Roman"/>
          <w:sz w:val="22"/>
          <w:szCs w:val="22"/>
        </w:rPr>
        <w:t xml:space="preserve"> nebo RAL 3024</w:t>
      </w:r>
      <w:r w:rsidR="00464296">
        <w:rPr>
          <w:rFonts w:ascii="Times New Roman" w:hAnsi="Times New Roman"/>
          <w:sz w:val="22"/>
          <w:szCs w:val="22"/>
        </w:rPr>
        <w:t xml:space="preserve"> </w:t>
      </w:r>
      <w:r w:rsidRPr="00464296">
        <w:rPr>
          <w:rFonts w:ascii="Times New Roman" w:hAnsi="Times New Roman"/>
          <w:sz w:val="22"/>
          <w:szCs w:val="22"/>
        </w:rPr>
        <w:t>podle vzorníku RAL 841 GL nebo obdobnou barvou (celková barevná definice δE ≤ 3 od</w:t>
      </w:r>
      <w:r w:rsidR="00317CEB" w:rsidRPr="00464296">
        <w:rPr>
          <w:rFonts w:ascii="Times New Roman" w:hAnsi="Times New Roman"/>
          <w:sz w:val="22"/>
          <w:szCs w:val="22"/>
        </w:rPr>
        <w:t> </w:t>
      </w:r>
      <w:r w:rsidRPr="00464296">
        <w:rPr>
          <w:rFonts w:ascii="Times New Roman" w:hAnsi="Times New Roman"/>
          <w:sz w:val="22"/>
          <w:szCs w:val="22"/>
        </w:rPr>
        <w:t>etalonu), bílý vodorovný retroreflexní pruh v odstínu 9003 podle vzorníku RAL</w:t>
      </w:r>
      <w:r w:rsidR="00317CEB" w:rsidRPr="00464296">
        <w:rPr>
          <w:rFonts w:ascii="Times New Roman" w:hAnsi="Times New Roman"/>
          <w:sz w:val="22"/>
          <w:szCs w:val="22"/>
        </w:rPr>
        <w:t> </w:t>
      </w:r>
      <w:r w:rsidRPr="00464296">
        <w:rPr>
          <w:rFonts w:ascii="Times New Roman" w:hAnsi="Times New Roman"/>
          <w:sz w:val="22"/>
          <w:szCs w:val="22"/>
        </w:rPr>
        <w:t>841</w:t>
      </w:r>
      <w:r w:rsidR="00317CEB" w:rsidRPr="00464296">
        <w:rPr>
          <w:rFonts w:ascii="Times New Roman" w:hAnsi="Times New Roman"/>
          <w:sz w:val="22"/>
          <w:szCs w:val="22"/>
        </w:rPr>
        <w:t> </w:t>
      </w:r>
      <w:r w:rsidRPr="00464296">
        <w:rPr>
          <w:rFonts w:ascii="Times New Roman" w:hAnsi="Times New Roman"/>
          <w:sz w:val="22"/>
          <w:szCs w:val="22"/>
        </w:rPr>
        <w:t>GL nebo</w:t>
      </w:r>
      <w:r w:rsidR="00317CEB" w:rsidRPr="00464296">
        <w:rPr>
          <w:rFonts w:ascii="Times New Roman" w:hAnsi="Times New Roman"/>
          <w:sz w:val="22"/>
          <w:szCs w:val="22"/>
        </w:rPr>
        <w:t> </w:t>
      </w:r>
      <w:r w:rsidRPr="00464296">
        <w:rPr>
          <w:rFonts w:ascii="Times New Roman" w:hAnsi="Times New Roman"/>
          <w:sz w:val="22"/>
          <w:szCs w:val="22"/>
        </w:rPr>
        <w:t>obdobná barva (celková barevná definice δE ≤ 3,0 od etalonu) je umístěn po obou stranách karoserie vozidla v</w:t>
      </w:r>
      <w:r w:rsidR="00C86365" w:rsidRPr="00464296">
        <w:rPr>
          <w:rFonts w:ascii="Times New Roman" w:hAnsi="Times New Roman"/>
          <w:sz w:val="22"/>
          <w:szCs w:val="22"/>
        </w:rPr>
        <w:t> </w:t>
      </w:r>
      <w:r w:rsidRPr="00464296">
        <w:rPr>
          <w:rFonts w:ascii="Times New Roman" w:hAnsi="Times New Roman"/>
          <w:sz w:val="22"/>
          <w:szCs w:val="22"/>
        </w:rPr>
        <w:t>maximální možné délce, výška bílého zvýrazňujícího pruhu je nejméně 150</w:t>
      </w:r>
      <w:r w:rsidR="00317CEB" w:rsidRPr="00464296">
        <w:rPr>
          <w:rFonts w:ascii="Times New Roman" w:hAnsi="Times New Roman"/>
          <w:sz w:val="22"/>
          <w:szCs w:val="22"/>
        </w:rPr>
        <w:t> </w:t>
      </w:r>
      <w:r w:rsidRPr="00464296">
        <w:rPr>
          <w:rFonts w:ascii="Times New Roman" w:hAnsi="Times New Roman"/>
          <w:sz w:val="22"/>
          <w:szCs w:val="22"/>
        </w:rPr>
        <w:t xml:space="preserve">mm. </w:t>
      </w:r>
      <w:r w:rsidRPr="00464296">
        <w:rPr>
          <w:rFonts w:ascii="Times New Roman" w:hAnsi="Times New Roman"/>
          <w:b/>
          <w:sz w:val="22"/>
          <w:szCs w:val="22"/>
        </w:rPr>
        <w:t>Konkrétní provedení barevné úpravy bude upřesněno při realizaci zakázky</w:t>
      </w:r>
      <w:r w:rsidRPr="00464296">
        <w:rPr>
          <w:rFonts w:ascii="Times New Roman" w:hAnsi="Times New Roman"/>
          <w:sz w:val="22"/>
          <w:szCs w:val="22"/>
        </w:rPr>
        <w:t>.</w:t>
      </w:r>
    </w:p>
    <w:p w14:paraId="6A7F71F0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Ochranné rámy, podvozková část, vnitřní část ložné plochy a místo pro osádku může být v tmavém odstínu, případně v barvě materiálu.</w:t>
      </w:r>
    </w:p>
    <w:p w14:paraId="3642EE5D" w14:textId="77777777" w:rsidR="003120F5" w:rsidRPr="00317CEB" w:rsidRDefault="003120F5" w:rsidP="009829B6">
      <w:pPr>
        <w:pStyle w:val="Zkladntext"/>
        <w:numPr>
          <w:ilvl w:val="1"/>
          <w:numId w:val="4"/>
        </w:numPr>
        <w:spacing w:before="12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V bílém zvýrazňujícím vodorovném pruhu na obou bocích je umístěn nápis „SBOR DOBROVOLNÝCH HASIČŮ“, ve druhém řádku je uveden název obce. Nápisy jsou provedeny kolmým bezpatkovým písmem písmeny velké abecedy</w:t>
      </w:r>
      <w:r w:rsidR="00317CEB">
        <w:rPr>
          <w:rFonts w:ascii="Times New Roman" w:hAnsi="Times New Roman"/>
          <w:sz w:val="22"/>
          <w:szCs w:val="22"/>
        </w:rPr>
        <w:t>.</w:t>
      </w:r>
    </w:p>
    <w:p w14:paraId="40BF2806" w14:textId="77777777" w:rsidR="009829B6" w:rsidRPr="00317CEB" w:rsidRDefault="009829B6" w:rsidP="009829B6">
      <w:pPr>
        <w:pStyle w:val="Zkladntext"/>
        <w:numPr>
          <w:ilvl w:val="1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17CEB">
        <w:rPr>
          <w:rFonts w:ascii="Times New Roman" w:hAnsi="Times New Roman"/>
          <w:sz w:val="22"/>
          <w:szCs w:val="22"/>
        </w:rPr>
        <w:t>Na přední a zadní části vozidla je umístěn nápis „HASIČI“, výška písma je nejméně 100 mm.</w:t>
      </w:r>
    </w:p>
    <w:sectPr w:rsidR="009829B6" w:rsidRPr="00317C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6D4D1" w14:textId="77777777" w:rsidR="00C86365" w:rsidRDefault="00C86365" w:rsidP="00C86365">
      <w:r>
        <w:separator/>
      </w:r>
    </w:p>
  </w:endnote>
  <w:endnote w:type="continuationSeparator" w:id="0">
    <w:p w14:paraId="3A94EDC7" w14:textId="77777777" w:rsidR="00C86365" w:rsidRDefault="00C86365" w:rsidP="00C8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A6FC6" w14:textId="77777777" w:rsidR="00C86365" w:rsidRPr="00317CEB" w:rsidRDefault="00C86365" w:rsidP="00C86365">
    <w:pPr>
      <w:pStyle w:val="Zpat"/>
      <w:jc w:val="right"/>
      <w:rPr>
        <w:rFonts w:ascii="Times New Roman" w:hAnsi="Times New Roman" w:cs="Times New Roman"/>
      </w:rPr>
    </w:pPr>
    <w:r w:rsidRPr="00317CEB">
      <w:rPr>
        <w:rFonts w:ascii="Times New Roman" w:hAnsi="Times New Roman" w:cs="Times New Roman"/>
        <w:bCs/>
      </w:rPr>
      <w:fldChar w:fldCharType="begin"/>
    </w:r>
    <w:r w:rsidRPr="00317CEB">
      <w:rPr>
        <w:rFonts w:ascii="Times New Roman" w:hAnsi="Times New Roman" w:cs="Times New Roman"/>
        <w:bCs/>
      </w:rPr>
      <w:instrText>PAGE  \* Arabic  \* MERGEFORMAT</w:instrText>
    </w:r>
    <w:r w:rsidRPr="00317CEB">
      <w:rPr>
        <w:rFonts w:ascii="Times New Roman" w:hAnsi="Times New Roman" w:cs="Times New Roman"/>
        <w:bCs/>
      </w:rPr>
      <w:fldChar w:fldCharType="separate"/>
    </w:r>
    <w:r w:rsidRPr="00317CEB">
      <w:rPr>
        <w:rFonts w:ascii="Times New Roman" w:hAnsi="Times New Roman" w:cs="Times New Roman"/>
        <w:bCs/>
      </w:rPr>
      <w:t>1</w:t>
    </w:r>
    <w:r w:rsidRPr="00317CEB">
      <w:rPr>
        <w:rFonts w:ascii="Times New Roman" w:hAnsi="Times New Roman" w:cs="Times New Roman"/>
        <w:bCs/>
      </w:rPr>
      <w:fldChar w:fldCharType="end"/>
    </w:r>
    <w:r w:rsidRPr="00317CEB">
      <w:rPr>
        <w:rFonts w:ascii="Times New Roman" w:hAnsi="Times New Roman" w:cs="Times New Roman"/>
        <w:bCs/>
      </w:rPr>
      <w:t>/</w:t>
    </w:r>
    <w:r w:rsidRPr="00317CEB">
      <w:rPr>
        <w:rFonts w:ascii="Times New Roman" w:hAnsi="Times New Roman" w:cs="Times New Roman"/>
        <w:bCs/>
      </w:rPr>
      <w:fldChar w:fldCharType="begin"/>
    </w:r>
    <w:r w:rsidRPr="00317CEB">
      <w:rPr>
        <w:rFonts w:ascii="Times New Roman" w:hAnsi="Times New Roman" w:cs="Times New Roman"/>
        <w:bCs/>
      </w:rPr>
      <w:instrText>NUMPAGES  \* Arabic  \* MERGEFORMAT</w:instrText>
    </w:r>
    <w:r w:rsidRPr="00317CEB">
      <w:rPr>
        <w:rFonts w:ascii="Times New Roman" w:hAnsi="Times New Roman" w:cs="Times New Roman"/>
        <w:bCs/>
      </w:rPr>
      <w:fldChar w:fldCharType="separate"/>
    </w:r>
    <w:r w:rsidRPr="00317CEB">
      <w:rPr>
        <w:rFonts w:ascii="Times New Roman" w:hAnsi="Times New Roman" w:cs="Times New Roman"/>
        <w:bCs/>
      </w:rPr>
      <w:t>2</w:t>
    </w:r>
    <w:r w:rsidRPr="00317CEB">
      <w:rPr>
        <w:rFonts w:ascii="Times New Roman" w:hAnsi="Times New Roman" w:cs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F378A" w14:textId="77777777" w:rsidR="00C86365" w:rsidRDefault="00C86365" w:rsidP="00C86365">
      <w:r>
        <w:separator/>
      </w:r>
    </w:p>
  </w:footnote>
  <w:footnote w:type="continuationSeparator" w:id="0">
    <w:p w14:paraId="6597C9DA" w14:textId="77777777" w:rsidR="00C86365" w:rsidRDefault="00C86365" w:rsidP="00C8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0C8BC" w14:textId="77777777" w:rsidR="00C86365" w:rsidRPr="00317CEB" w:rsidRDefault="00C86365" w:rsidP="00C86365">
    <w:pPr>
      <w:pStyle w:val="Zhlav"/>
      <w:jc w:val="right"/>
      <w:rPr>
        <w:rFonts w:ascii="Times New Roman" w:hAnsi="Times New Roman" w:cs="Times New Roman"/>
      </w:rPr>
    </w:pPr>
    <w:r w:rsidRPr="00317CEB">
      <w:rPr>
        <w:rFonts w:ascii="Times New Roman" w:hAnsi="Times New Roman" w:cs="Times New Roman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C7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0B0859E0"/>
    <w:multiLevelType w:val="hybridMultilevel"/>
    <w:tmpl w:val="628AD224"/>
    <w:lvl w:ilvl="0" w:tplc="82F6B18A">
      <w:start w:val="1"/>
      <w:numFmt w:val="lowerLetter"/>
      <w:lvlText w:val="%1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12CC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1E642066"/>
    <w:multiLevelType w:val="hybridMultilevel"/>
    <w:tmpl w:val="3122600E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 w15:restartNumberingAfterBreak="0">
    <w:nsid w:val="1FFA6729"/>
    <w:multiLevelType w:val="hybridMultilevel"/>
    <w:tmpl w:val="21FE7A12"/>
    <w:lvl w:ilvl="0" w:tplc="F4CA72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76D2A68"/>
    <w:multiLevelType w:val="hybridMultilevel"/>
    <w:tmpl w:val="21FE7A12"/>
    <w:lvl w:ilvl="0" w:tplc="F4CA72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BD354F9"/>
    <w:multiLevelType w:val="hybridMultilevel"/>
    <w:tmpl w:val="1772C4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C67D7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8" w15:restartNumberingAfterBreak="0">
    <w:nsid w:val="470F4725"/>
    <w:multiLevelType w:val="multilevel"/>
    <w:tmpl w:val="8D742C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81921F4"/>
    <w:multiLevelType w:val="hybridMultilevel"/>
    <w:tmpl w:val="DBFE1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B1153"/>
    <w:multiLevelType w:val="hybridMultilevel"/>
    <w:tmpl w:val="1772C4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2694A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2" w15:restartNumberingAfterBreak="0">
    <w:nsid w:val="4BBC1D45"/>
    <w:multiLevelType w:val="multilevel"/>
    <w:tmpl w:val="60C01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16"/>
        <w:szCs w:val="16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3942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B95C44"/>
    <w:multiLevelType w:val="hybridMultilevel"/>
    <w:tmpl w:val="94AC3212"/>
    <w:lvl w:ilvl="0" w:tplc="82F6B18A">
      <w:start w:val="1"/>
      <w:numFmt w:val="lowerLetter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 w15:restartNumberingAfterBreak="0">
    <w:nsid w:val="6106768D"/>
    <w:multiLevelType w:val="multilevel"/>
    <w:tmpl w:val="3BFCC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DF36120"/>
    <w:multiLevelType w:val="multilevel"/>
    <w:tmpl w:val="7680A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92" w:hanging="4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70BD495A"/>
    <w:multiLevelType w:val="multilevel"/>
    <w:tmpl w:val="73BA3B4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277704"/>
    <w:multiLevelType w:val="hybridMultilevel"/>
    <w:tmpl w:val="3CF4E0EA"/>
    <w:lvl w:ilvl="0" w:tplc="2E5CE5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B62E8"/>
    <w:multiLevelType w:val="hybridMultilevel"/>
    <w:tmpl w:val="08D420B8"/>
    <w:lvl w:ilvl="0" w:tplc="085C1F8E">
      <w:numFmt w:val="bullet"/>
      <w:lvlText w:val="-"/>
      <w:lvlJc w:val="left"/>
      <w:pPr>
        <w:ind w:left="476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2F6B18A">
      <w:start w:val="1"/>
      <w:numFmt w:val="lowerLetter"/>
      <w:lvlText w:val="%2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77AC91BA">
      <w:numFmt w:val="bullet"/>
      <w:lvlText w:val="•"/>
      <w:lvlJc w:val="left"/>
      <w:pPr>
        <w:ind w:left="1780" w:hanging="360"/>
      </w:pPr>
      <w:rPr>
        <w:rFonts w:hint="default"/>
        <w:lang w:val="cs-CZ" w:eastAsia="en-US" w:bidi="ar-SA"/>
      </w:rPr>
    </w:lvl>
    <w:lvl w:ilvl="3" w:tplc="1A22FC60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 w:tplc="8E409230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 w:tplc="C98EBF5C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 w:tplc="C6FEA936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2A600DB2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 w:tplc="D5800AD6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76B1367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CC43836"/>
    <w:multiLevelType w:val="hybridMultilevel"/>
    <w:tmpl w:val="628AD224"/>
    <w:lvl w:ilvl="0" w:tplc="82F6B18A">
      <w:start w:val="1"/>
      <w:numFmt w:val="lowerLetter"/>
      <w:lvlText w:val="%1)"/>
      <w:lvlJc w:val="left"/>
      <w:pPr>
        <w:ind w:left="836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13"/>
  </w:num>
  <w:num w:numId="5">
    <w:abstractNumId w:val="1"/>
  </w:num>
  <w:num w:numId="6">
    <w:abstractNumId w:val="21"/>
  </w:num>
  <w:num w:numId="7">
    <w:abstractNumId w:val="11"/>
  </w:num>
  <w:num w:numId="8">
    <w:abstractNumId w:val="7"/>
  </w:num>
  <w:num w:numId="9">
    <w:abstractNumId w:val="14"/>
  </w:num>
  <w:num w:numId="10">
    <w:abstractNumId w:val="2"/>
  </w:num>
  <w:num w:numId="11">
    <w:abstractNumId w:val="0"/>
  </w:num>
  <w:num w:numId="12">
    <w:abstractNumId w:val="3"/>
  </w:num>
  <w:num w:numId="13">
    <w:abstractNumId w:val="17"/>
  </w:num>
  <w:num w:numId="14">
    <w:abstractNumId w:val="15"/>
  </w:num>
  <w:num w:numId="15">
    <w:abstractNumId w:val="16"/>
  </w:num>
  <w:num w:numId="16">
    <w:abstractNumId w:val="8"/>
  </w:num>
  <w:num w:numId="17">
    <w:abstractNumId w:val="20"/>
  </w:num>
  <w:num w:numId="18">
    <w:abstractNumId w:val="5"/>
  </w:num>
  <w:num w:numId="19">
    <w:abstractNumId w:val="4"/>
  </w:num>
  <w:num w:numId="20">
    <w:abstractNumId w:val="6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F8"/>
    <w:rsid w:val="00092282"/>
    <w:rsid w:val="000A54F8"/>
    <w:rsid w:val="000D18BE"/>
    <w:rsid w:val="000E2424"/>
    <w:rsid w:val="001901F2"/>
    <w:rsid w:val="001B5C21"/>
    <w:rsid w:val="002025C4"/>
    <w:rsid w:val="00254DE2"/>
    <w:rsid w:val="0030058F"/>
    <w:rsid w:val="003120F5"/>
    <w:rsid w:val="00317CEB"/>
    <w:rsid w:val="003868F4"/>
    <w:rsid w:val="003E5004"/>
    <w:rsid w:val="004406D2"/>
    <w:rsid w:val="00443FFB"/>
    <w:rsid w:val="00464296"/>
    <w:rsid w:val="0047187A"/>
    <w:rsid w:val="00516B64"/>
    <w:rsid w:val="005649F2"/>
    <w:rsid w:val="00682DCB"/>
    <w:rsid w:val="006B6DFF"/>
    <w:rsid w:val="006D0BF9"/>
    <w:rsid w:val="006D5045"/>
    <w:rsid w:val="007633C1"/>
    <w:rsid w:val="007918DE"/>
    <w:rsid w:val="00922162"/>
    <w:rsid w:val="009829B6"/>
    <w:rsid w:val="009C34ED"/>
    <w:rsid w:val="00A14FB6"/>
    <w:rsid w:val="00A21426"/>
    <w:rsid w:val="00A70CC4"/>
    <w:rsid w:val="00AD7C1C"/>
    <w:rsid w:val="00AE1CA7"/>
    <w:rsid w:val="00C3722A"/>
    <w:rsid w:val="00C86365"/>
    <w:rsid w:val="00CE096D"/>
    <w:rsid w:val="00CE1B22"/>
    <w:rsid w:val="00D65909"/>
    <w:rsid w:val="00DB22B2"/>
    <w:rsid w:val="00DE516F"/>
    <w:rsid w:val="00DF6147"/>
    <w:rsid w:val="00E21CEC"/>
    <w:rsid w:val="00E3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4ADDC1"/>
  <w15:chartTrackingRefBased/>
  <w15:docId w15:val="{A57F6F60-3764-4ADC-A53D-270C5E28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54F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1B22"/>
    <w:pPr>
      <w:spacing w:after="120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1B22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CE1B2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nhideWhenUsed/>
    <w:qFormat/>
    <w:rsid w:val="00CE1B22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E1B2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86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6365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86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636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DD93E-ACB5-4235-9CD0-BDC5830D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Petlík Vladimír</dc:creator>
  <cp:keywords/>
  <dc:description/>
  <cp:lastModifiedBy>Fučíková Martina</cp:lastModifiedBy>
  <cp:revision>2</cp:revision>
  <dcterms:created xsi:type="dcterms:W3CDTF">2025-12-03T13:43:00Z</dcterms:created>
  <dcterms:modified xsi:type="dcterms:W3CDTF">2025-12-03T13:43:00Z</dcterms:modified>
</cp:coreProperties>
</file>