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C4" w:rsidRDefault="00A82FC4"/>
    <w:p w:rsidR="008435AD" w:rsidRDefault="000479CD" w:rsidP="00913509">
      <w:pPr>
        <w:tabs>
          <w:tab w:val="left" w:pos="1350"/>
          <w:tab w:val="left" w:pos="3750"/>
        </w:tabs>
      </w:pPr>
      <w:r>
        <w:tab/>
      </w:r>
      <w:r>
        <w:tab/>
      </w:r>
    </w:p>
    <w:p w:rsidR="00F969DE" w:rsidRDefault="00F969DE" w:rsidP="00F969DE">
      <w:pPr>
        <w:pStyle w:val="Nzev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PŘEDPIS</w:t>
      </w:r>
    </w:p>
    <w:p w:rsidR="00F969DE" w:rsidRDefault="00F969DE" w:rsidP="00F969DE">
      <w:pPr>
        <w:pStyle w:val="Nzev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rady kraje</w:t>
      </w:r>
    </w:p>
    <w:p w:rsidR="00F969DE" w:rsidRDefault="00F969DE" w:rsidP="00F969DE">
      <w:pPr>
        <w:pStyle w:val="Nzev"/>
        <w:rPr>
          <w:b/>
          <w:caps/>
          <w:sz w:val="32"/>
        </w:rPr>
      </w:pPr>
    </w:p>
    <w:p w:rsidR="00F969DE" w:rsidRDefault="00F969DE" w:rsidP="00F969DE">
      <w:pPr>
        <w:pStyle w:val="Nzev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č. Pr </w:t>
      </w:r>
      <w:r w:rsidR="000447C6">
        <w:rPr>
          <w:b/>
          <w:bCs/>
          <w:caps/>
          <w:szCs w:val="28"/>
        </w:rPr>
        <w:t>02</w:t>
      </w:r>
      <w:r>
        <w:rPr>
          <w:b/>
          <w:bCs/>
          <w:caps/>
          <w:szCs w:val="28"/>
        </w:rPr>
        <w:t>/</w:t>
      </w:r>
      <w:r w:rsidR="001976E0">
        <w:rPr>
          <w:b/>
          <w:bCs/>
          <w:caps/>
          <w:szCs w:val="28"/>
        </w:rPr>
        <w:t>2025</w:t>
      </w:r>
    </w:p>
    <w:p w:rsidR="00F969DE" w:rsidRDefault="00F969DE" w:rsidP="00F969D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PRAVIDLA PRO ZADÁVÁNÍ VEŘEJNÝCH ZAKÁZEK KARLOVARSKÝM KRAJEM A JEHO PŘÍSPĚVKOVÝMI ORGANIZACEMI</w:t>
      </w:r>
    </w:p>
    <w:p w:rsidR="00F969DE" w:rsidRDefault="00F969DE" w:rsidP="00F969DE"/>
    <w:tbl>
      <w:tblPr>
        <w:tblW w:w="9270" w:type="dxa"/>
        <w:tblInd w:w="1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25"/>
        <w:gridCol w:w="2325"/>
        <w:gridCol w:w="2115"/>
        <w:gridCol w:w="2415"/>
      </w:tblGrid>
      <w:tr w:rsidR="00F7528C" w:rsidTr="004D3A23">
        <w:trPr>
          <w:trHeight w:val="493"/>
        </w:trPr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Zpracovatel:</w:t>
            </w:r>
            <w:r>
              <w:rPr>
                <w:rStyle w:val="eop"/>
              </w:rPr>
              <w:t> </w:t>
            </w:r>
          </w:p>
        </w:tc>
        <w:tc>
          <w:tcPr>
            <w:tcW w:w="685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F7528C" w:rsidRDefault="008E7E46" w:rsidP="00F7528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Mgr. Kateřina Miosgová, vedoucí oddělení veřejných zakázek</w:t>
            </w:r>
            <w:r w:rsidR="00F7528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</w:tc>
      </w:tr>
      <w:tr w:rsidR="00F7528C" w:rsidTr="00F7528C">
        <w:trPr>
          <w:trHeight w:val="388"/>
        </w:trPr>
        <w:tc>
          <w:tcPr>
            <w:tcW w:w="24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Rozsah působnosti:</w:t>
            </w:r>
            <w:r>
              <w:rPr>
                <w:rStyle w:val="eop"/>
              </w:rPr>
              <w:t> </w:t>
            </w:r>
          </w:p>
        </w:tc>
        <w:tc>
          <w:tcPr>
            <w:tcW w:w="68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krajský úřad, příspěvkové organizace kraje</w:t>
            </w:r>
          </w:p>
        </w:tc>
      </w:tr>
      <w:tr w:rsidR="00F7528C" w:rsidTr="00F7528C">
        <w:trPr>
          <w:trHeight w:val="30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Číslo jednací:</w:t>
            </w:r>
            <w:r>
              <w:rPr>
                <w:rStyle w:val="eop"/>
              </w:rPr>
              <w:t> 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Nabývá účinnosti:</w:t>
            </w:r>
            <w:r>
              <w:rPr>
                <w:rStyle w:val="eop"/>
              </w:rPr>
              <w:t> </w:t>
            </w: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Počet stran:</w:t>
            </w:r>
            <w:r>
              <w:rPr>
                <w:rStyle w:val="eop"/>
              </w:rPr>
              <w:t> 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i/>
                <w:iCs/>
              </w:rPr>
              <w:t>Počet příloh:</w:t>
            </w:r>
            <w:r>
              <w:rPr>
                <w:rStyle w:val="eop"/>
              </w:rPr>
              <w:t> </w:t>
            </w:r>
          </w:p>
        </w:tc>
      </w:tr>
      <w:tr w:rsidR="00F7528C" w:rsidTr="00F7528C">
        <w:trPr>
          <w:trHeight w:val="300"/>
        </w:trPr>
        <w:tc>
          <w:tcPr>
            <w:tcW w:w="21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Pr="00460EB6" w:rsidRDefault="0033053F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60EB6">
              <w:rPr>
                <w:b/>
              </w:rPr>
              <w:fldChar w:fldCharType="begin"/>
            </w:r>
            <w:r w:rsidRPr="00460EB6">
              <w:rPr>
                <w:b/>
              </w:rPr>
              <w:instrText xml:space="preserve"> DOCPROPERTY  CJ  \* MERGEFORMAT </w:instrText>
            </w:r>
            <w:r w:rsidRPr="00460EB6">
              <w:rPr>
                <w:b/>
              </w:rPr>
              <w:fldChar w:fldCharType="separate"/>
            </w:r>
            <w:r w:rsidR="004E6D89" w:rsidRPr="00460EB6">
              <w:rPr>
                <w:b/>
              </w:rPr>
              <w:t>KK/4120/LP/25-1</w:t>
            </w:r>
            <w:r w:rsidRPr="00460EB6">
              <w:rPr>
                <w:b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20. 10. 2025</w:t>
            </w:r>
            <w:r>
              <w:rPr>
                <w:rStyle w:val="eop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16</w:t>
            </w:r>
            <w:r>
              <w:rPr>
                <w:rStyle w:val="eop"/>
              </w:rPr>
              <w:t>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528C" w:rsidRDefault="00F7528C" w:rsidP="00F752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1 </w:t>
            </w:r>
          </w:p>
        </w:tc>
      </w:tr>
    </w:tbl>
    <w:p w:rsidR="00F969DE" w:rsidRDefault="00F969DE" w:rsidP="00F969DE">
      <w:pPr>
        <w:jc w:val="both"/>
        <w:rPr>
          <w:sz w:val="22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4637"/>
      </w:tblGrid>
      <w:tr w:rsidR="00F969DE" w:rsidTr="00F969DE">
        <w:trPr>
          <w:cantSplit/>
          <w:trHeight w:val="454"/>
          <w:jc w:val="center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969DE" w:rsidRDefault="00F969DE">
            <w:pPr>
              <w:jc w:val="both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Tímto předpisem se ruší:</w:t>
            </w:r>
          </w:p>
        </w:tc>
        <w:tc>
          <w:tcPr>
            <w:tcW w:w="46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9DE" w:rsidRPr="00D02E9C" w:rsidRDefault="000D08D1" w:rsidP="00B647EB">
            <w:pPr>
              <w:pStyle w:val="Nadpis4"/>
              <w:spacing w:before="120"/>
              <w:jc w:val="center"/>
              <w:rPr>
                <w:sz w:val="22"/>
                <w:szCs w:val="22"/>
              </w:rPr>
            </w:pPr>
            <w:r w:rsidRPr="00D02E9C">
              <w:rPr>
                <w:rFonts w:eastAsia="Calibri"/>
                <w:sz w:val="22"/>
                <w:szCs w:val="22"/>
                <w:lang w:eastAsia="en-US"/>
              </w:rPr>
              <w:t xml:space="preserve">PR </w:t>
            </w:r>
            <w:r w:rsidR="00CE6941">
              <w:rPr>
                <w:rFonts w:eastAsia="Calibri"/>
                <w:sz w:val="22"/>
                <w:szCs w:val="22"/>
                <w:lang w:eastAsia="en-US"/>
              </w:rPr>
              <w:t>02/2022</w:t>
            </w:r>
          </w:p>
        </w:tc>
      </w:tr>
    </w:tbl>
    <w:p w:rsidR="00F969DE" w:rsidRDefault="00F969DE" w:rsidP="00F969DE">
      <w:pPr>
        <w:jc w:val="both"/>
        <w:rPr>
          <w:sz w:val="22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69DE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:rsidR="00F969DE" w:rsidRDefault="00F969DE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Originál předpisu je uložen: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969DE" w:rsidRDefault="00F96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</w:t>
            </w:r>
            <w:r w:rsidR="0067627E">
              <w:rPr>
                <w:b/>
                <w:sz w:val="22"/>
              </w:rPr>
              <w:t>správních agend, stavební úřad</w:t>
            </w:r>
            <w:r>
              <w:rPr>
                <w:b/>
                <w:sz w:val="22"/>
              </w:rPr>
              <w:t xml:space="preserve"> a krajský živnostenský úřad</w:t>
            </w:r>
          </w:p>
        </w:tc>
      </w:tr>
      <w:tr w:rsidR="00F969DE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:rsidR="00F969DE" w:rsidRDefault="00F969DE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 xml:space="preserve">Elektronická podoba předpisu je uložena: 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969DE" w:rsidRDefault="00D56045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Aplikace Předpisy</w:t>
            </w:r>
          </w:p>
        </w:tc>
      </w:tr>
      <w:tr w:rsidR="00F969DE" w:rsidTr="00F969DE">
        <w:trPr>
          <w:cantSplit/>
          <w:trHeight w:val="454"/>
          <w:jc w:val="center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969DE" w:rsidRDefault="00F969DE" w:rsidP="001B58C1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Předpis je zveřejněn na internetových stránkách Karlovarského kraje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69DE" w:rsidRDefault="00F969DE">
            <w:pPr>
              <w:rPr>
                <w:b/>
                <w:sz w:val="22"/>
              </w:rPr>
            </w:pPr>
          </w:p>
        </w:tc>
      </w:tr>
    </w:tbl>
    <w:p w:rsidR="00F969DE" w:rsidRDefault="00F969DE" w:rsidP="00F969DE">
      <w:pPr>
        <w:jc w:val="both"/>
        <w:rPr>
          <w:sz w:val="22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F969DE" w:rsidTr="00F969DE">
        <w:trPr>
          <w:cantSplit/>
          <w:trHeight w:val="454"/>
          <w:jc w:val="center"/>
        </w:trPr>
        <w:tc>
          <w:tcPr>
            <w:tcW w:w="467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969DE" w:rsidRDefault="00F969DE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 xml:space="preserve">Za odbor </w:t>
            </w:r>
            <w:r w:rsidR="00E92D5B">
              <w:rPr>
                <w:b/>
                <w:i/>
                <w:iCs/>
                <w:sz w:val="22"/>
              </w:rPr>
              <w:t>správních agend, stavební úřad</w:t>
            </w:r>
            <w:r>
              <w:rPr>
                <w:b/>
                <w:i/>
                <w:iCs/>
                <w:sz w:val="22"/>
              </w:rPr>
              <w:t xml:space="preserve"> a</w:t>
            </w:r>
            <w:r w:rsidR="00EF4AFD">
              <w:rPr>
                <w:b/>
                <w:i/>
                <w:iCs/>
                <w:sz w:val="22"/>
              </w:rPr>
              <w:t> </w:t>
            </w:r>
            <w:r>
              <w:rPr>
                <w:b/>
                <w:i/>
                <w:iCs/>
                <w:sz w:val="22"/>
              </w:rPr>
              <w:t>krajský živnostenský úřad schválil:</w:t>
            </w:r>
          </w:p>
          <w:p w:rsidR="00F969DE" w:rsidRDefault="00F969DE">
            <w:pPr>
              <w:rPr>
                <w:b/>
                <w:i/>
                <w:iCs/>
                <w:sz w:val="22"/>
              </w:rPr>
            </w:pPr>
          </w:p>
        </w:tc>
        <w:tc>
          <w:tcPr>
            <w:tcW w:w="468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969DE" w:rsidRDefault="00F969DE">
            <w:pPr>
              <w:rPr>
                <w:sz w:val="22"/>
              </w:rPr>
            </w:pPr>
          </w:p>
        </w:tc>
      </w:tr>
      <w:tr w:rsidR="00F969DE" w:rsidTr="00EF4AFD">
        <w:trPr>
          <w:cantSplit/>
          <w:trHeight w:hRule="exact" w:val="1139"/>
          <w:jc w:val="center"/>
        </w:trPr>
        <w:tc>
          <w:tcPr>
            <w:tcW w:w="4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69DE" w:rsidRDefault="00F969DE">
            <w:pPr>
              <w:rPr>
                <w:b/>
                <w:bCs/>
                <w:sz w:val="22"/>
              </w:rPr>
            </w:pP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69DE" w:rsidRDefault="001976E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Mgr. Monika Havlová</w:t>
            </w:r>
            <w:r w:rsidR="00F969DE">
              <w:rPr>
                <w:b/>
                <w:bCs/>
                <w:sz w:val="22"/>
              </w:rPr>
              <w:t xml:space="preserve">, </w:t>
            </w:r>
          </w:p>
          <w:p w:rsidR="00F969DE" w:rsidRDefault="00F969DE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vedoucí odboru </w:t>
            </w:r>
            <w:r w:rsidR="00E92D5B">
              <w:rPr>
                <w:b/>
                <w:bCs/>
                <w:sz w:val="22"/>
              </w:rPr>
              <w:t>správních agend, stavební úřad</w:t>
            </w:r>
            <w:r>
              <w:rPr>
                <w:b/>
                <w:bCs/>
                <w:sz w:val="22"/>
              </w:rPr>
              <w:t xml:space="preserve"> a krajského živnostenského úřadu</w:t>
            </w:r>
          </w:p>
        </w:tc>
      </w:tr>
      <w:tr w:rsidR="00F969DE" w:rsidTr="00F969DE">
        <w:trPr>
          <w:cantSplit/>
          <w:trHeight w:val="454"/>
          <w:jc w:val="center"/>
        </w:trPr>
        <w:tc>
          <w:tcPr>
            <w:tcW w:w="4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F969DE" w:rsidRPr="009848F9" w:rsidRDefault="00F969DE" w:rsidP="009848F9">
            <w:pPr>
              <w:rPr>
                <w:b/>
                <w:bCs/>
                <w:i/>
                <w:iCs/>
                <w:sz w:val="22"/>
              </w:rPr>
            </w:pPr>
            <w:r w:rsidRPr="009848F9">
              <w:rPr>
                <w:b/>
                <w:bCs/>
                <w:i/>
                <w:iCs/>
                <w:sz w:val="22"/>
              </w:rPr>
              <w:t>Rada kraje schválila usnesením č.</w:t>
            </w:r>
            <w:r w:rsidR="009E6115" w:rsidRPr="009848F9">
              <w:rPr>
                <w:b/>
                <w:bCs/>
                <w:i/>
                <w:iCs/>
                <w:sz w:val="22"/>
              </w:rPr>
              <w:t> </w:t>
            </w:r>
            <w:r w:rsidRPr="009848F9">
              <w:rPr>
                <w:b/>
                <w:bCs/>
                <w:i/>
                <w:iCs/>
                <w:sz w:val="22"/>
              </w:rPr>
              <w:t>RK</w:t>
            </w:r>
            <w:r w:rsidR="009E6115" w:rsidRPr="009848F9">
              <w:rPr>
                <w:b/>
                <w:bCs/>
                <w:i/>
                <w:iCs/>
                <w:sz w:val="22"/>
              </w:rPr>
              <w:t> </w:t>
            </w:r>
            <w:r w:rsidR="000447C6" w:rsidRPr="000447C6">
              <w:rPr>
                <w:b/>
                <w:bCs/>
                <w:i/>
                <w:iCs/>
                <w:sz w:val="22"/>
              </w:rPr>
              <w:t>1246/10/25</w:t>
            </w:r>
            <w:r w:rsidR="001976E0" w:rsidRPr="009848F9">
              <w:rPr>
                <w:b/>
                <w:bCs/>
                <w:i/>
                <w:iCs/>
                <w:sz w:val="22"/>
              </w:rPr>
              <w:t xml:space="preserve"> </w:t>
            </w:r>
            <w:r w:rsidRPr="009848F9">
              <w:rPr>
                <w:b/>
                <w:bCs/>
                <w:i/>
                <w:iCs/>
                <w:sz w:val="22"/>
              </w:rPr>
              <w:t>ze dne</w:t>
            </w:r>
            <w:r w:rsidR="00B566D1" w:rsidRPr="009848F9">
              <w:rPr>
                <w:b/>
                <w:bCs/>
                <w:i/>
                <w:iCs/>
                <w:sz w:val="22"/>
              </w:rPr>
              <w:t xml:space="preserve"> </w:t>
            </w:r>
            <w:r w:rsidR="000447C6" w:rsidRPr="000447C6">
              <w:rPr>
                <w:b/>
                <w:bCs/>
                <w:i/>
                <w:iCs/>
                <w:sz w:val="22"/>
              </w:rPr>
              <w:t>20.</w:t>
            </w:r>
            <w:r w:rsidR="000447C6">
              <w:rPr>
                <w:b/>
                <w:bCs/>
                <w:i/>
                <w:iCs/>
                <w:sz w:val="22"/>
              </w:rPr>
              <w:t xml:space="preserve"> </w:t>
            </w:r>
            <w:r w:rsidR="000447C6" w:rsidRPr="000447C6">
              <w:rPr>
                <w:b/>
                <w:bCs/>
                <w:i/>
                <w:iCs/>
                <w:sz w:val="22"/>
              </w:rPr>
              <w:t>10.</w:t>
            </w:r>
            <w:r w:rsidR="000447C6">
              <w:rPr>
                <w:b/>
                <w:bCs/>
                <w:i/>
                <w:iCs/>
                <w:sz w:val="22"/>
              </w:rPr>
              <w:t xml:space="preserve"> </w:t>
            </w:r>
            <w:r w:rsidR="000447C6" w:rsidRPr="000447C6">
              <w:rPr>
                <w:b/>
                <w:bCs/>
                <w:i/>
                <w:iCs/>
                <w:sz w:val="22"/>
              </w:rPr>
              <w:t>2025</w:t>
            </w:r>
            <w:r w:rsidR="001976E0">
              <w:rPr>
                <w:b/>
                <w:bCs/>
                <w:i/>
                <w:iCs/>
                <w:sz w:val="22"/>
              </w:rPr>
              <w:t>.</w:t>
            </w:r>
            <w:r w:rsidR="00B566D1" w:rsidRPr="009848F9">
              <w:rPr>
                <w:b/>
                <w:bCs/>
                <w:i/>
                <w:iCs/>
                <w:sz w:val="22"/>
              </w:rPr>
              <w:t xml:space="preserve"> 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969DE" w:rsidRPr="009848F9" w:rsidRDefault="00F969DE">
            <w:pPr>
              <w:rPr>
                <w:b/>
                <w:sz w:val="22"/>
              </w:rPr>
            </w:pPr>
          </w:p>
        </w:tc>
      </w:tr>
      <w:tr w:rsidR="00F969DE" w:rsidTr="00F969DE">
        <w:trPr>
          <w:cantSplit/>
          <w:trHeight w:val="1384"/>
          <w:jc w:val="center"/>
        </w:trPr>
        <w:tc>
          <w:tcPr>
            <w:tcW w:w="4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9DE" w:rsidRDefault="00F969DE">
            <w:pPr>
              <w:rPr>
                <w:b/>
                <w:bCs/>
                <w:sz w:val="22"/>
              </w:rPr>
            </w:pPr>
          </w:p>
        </w:tc>
        <w:tc>
          <w:tcPr>
            <w:tcW w:w="46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9DE" w:rsidRDefault="00F969DE"/>
          <w:p w:rsidR="00F969DE" w:rsidRDefault="00F969DE"/>
          <w:p w:rsidR="00F969DE" w:rsidRDefault="001976E0">
            <w:pPr>
              <w:pStyle w:val="Nadpis5"/>
              <w:spacing w:before="0"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Mgr. Jana Mračková </w:t>
            </w:r>
            <w:proofErr w:type="spellStart"/>
            <w:r>
              <w:rPr>
                <w:i w:val="0"/>
                <w:sz w:val="22"/>
                <w:szCs w:val="22"/>
              </w:rPr>
              <w:t>Vildumetzová</w:t>
            </w:r>
            <w:proofErr w:type="spellEnd"/>
            <w:r w:rsidR="00F969DE">
              <w:rPr>
                <w:i w:val="0"/>
                <w:sz w:val="22"/>
                <w:szCs w:val="22"/>
              </w:rPr>
              <w:t>,</w:t>
            </w:r>
          </w:p>
          <w:p w:rsidR="00F969DE" w:rsidRDefault="00F969DE" w:rsidP="00AF33FA">
            <w:pPr>
              <w:pStyle w:val="Nadpis5"/>
              <w:spacing w:before="0"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hejtman</w:t>
            </w:r>
            <w:r w:rsidR="001976E0">
              <w:rPr>
                <w:i w:val="0"/>
                <w:sz w:val="22"/>
                <w:szCs w:val="22"/>
              </w:rPr>
              <w:t>ka</w:t>
            </w:r>
            <w:r>
              <w:rPr>
                <w:i w:val="0"/>
                <w:sz w:val="22"/>
                <w:szCs w:val="22"/>
              </w:rPr>
              <w:t xml:space="preserve"> Karlovarského kraje</w:t>
            </w:r>
          </w:p>
        </w:tc>
      </w:tr>
    </w:tbl>
    <w:p w:rsidR="00F969DE" w:rsidRDefault="00F969DE" w:rsidP="00F969DE">
      <w:pPr>
        <w:jc w:val="both"/>
        <w:rPr>
          <w:sz w:val="22"/>
        </w:rPr>
      </w:pPr>
    </w:p>
    <w:tbl>
      <w:tblPr>
        <w:tblW w:w="9360" w:type="dxa"/>
        <w:jc w:val="center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7"/>
        <w:gridCol w:w="4663"/>
      </w:tblGrid>
      <w:tr w:rsidR="00F969DE" w:rsidTr="00F969DE">
        <w:trPr>
          <w:cantSplit/>
          <w:trHeight w:val="540"/>
          <w:jc w:val="center"/>
        </w:trPr>
        <w:tc>
          <w:tcPr>
            <w:tcW w:w="4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969DE" w:rsidRDefault="00F969DE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Obdrží elektronicky:</w:t>
            </w:r>
          </w:p>
        </w:tc>
        <w:tc>
          <w:tcPr>
            <w:tcW w:w="4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9DE" w:rsidRDefault="00F96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všichni vedoucí odborů krajského úřadu a ředitelé PO</w:t>
            </w:r>
          </w:p>
        </w:tc>
      </w:tr>
    </w:tbl>
    <w:p w:rsidR="00F969DE" w:rsidRDefault="00F969DE" w:rsidP="00F969DE">
      <w:pPr>
        <w:pStyle w:val="Nzev"/>
        <w:spacing w:before="120" w:after="120"/>
        <w:rPr>
          <w:b/>
          <w:caps/>
          <w:sz w:val="12"/>
        </w:rPr>
      </w:pPr>
    </w:p>
    <w:p w:rsidR="00F969DE" w:rsidRDefault="00F969DE" w:rsidP="00F969DE">
      <w:pPr>
        <w:pStyle w:val="Nzev"/>
        <w:spacing w:before="120" w:after="120"/>
        <w:rPr>
          <w:b/>
          <w:caps/>
          <w:sz w:val="12"/>
        </w:rPr>
      </w:pPr>
    </w:p>
    <w:p w:rsidR="00F969DE" w:rsidRPr="00913509" w:rsidRDefault="00EF4AFD" w:rsidP="00913509">
      <w:pPr>
        <w:widowControl w:val="0"/>
        <w:ind w:firstLine="142"/>
        <w:rPr>
          <w:snapToGrid w:val="0"/>
          <w:sz w:val="22"/>
          <w:szCs w:val="20"/>
        </w:rPr>
      </w:pPr>
      <w:r>
        <w:rPr>
          <w:snapToGrid w:val="0"/>
          <w:sz w:val="22"/>
          <w:szCs w:val="20"/>
        </w:rPr>
        <w:br w:type="page"/>
      </w:r>
      <w:r w:rsidR="00AD480F" w:rsidRPr="00913509">
        <w:rPr>
          <w:snapToGrid w:val="0"/>
          <w:sz w:val="22"/>
          <w:szCs w:val="20"/>
        </w:rPr>
        <w:lastRenderedPageBreak/>
        <w:t>Obsah</w:t>
      </w:r>
    </w:p>
    <w:p w:rsidR="00146AE4" w:rsidRPr="00F84836" w:rsidRDefault="00142F71">
      <w:pPr>
        <w:pStyle w:val="Obsah2"/>
        <w:rPr>
          <w:rFonts w:ascii="Calibri" w:eastAsia="Times New Roman" w:hAnsi="Calibri"/>
        </w:rPr>
      </w:pPr>
      <w:r w:rsidRPr="009432AE">
        <w:fldChar w:fldCharType="begin"/>
      </w:r>
      <w:r w:rsidRPr="002B7B89">
        <w:instrText xml:space="preserve"> TOC \o "1-3" \h \z \u </w:instrText>
      </w:r>
      <w:r w:rsidRPr="009432AE">
        <w:fldChar w:fldCharType="separate"/>
      </w:r>
      <w:hyperlink w:anchor="_Toc210984947" w:history="1">
        <w:r w:rsidR="00146AE4" w:rsidRPr="00F87C07">
          <w:rPr>
            <w:rStyle w:val="Hypertextovodkaz"/>
          </w:rPr>
          <w:t>Úvodní ustanovení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_Toc210984947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3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48" w:history="1">
        <w:r w:rsidR="00146AE4" w:rsidRPr="00F87C07">
          <w:rPr>
            <w:rStyle w:val="Hypertextovodkaz"/>
            <w:snapToGrid w:val="0"/>
            <w:lang w:eastAsia="en-US"/>
          </w:rPr>
          <w:t>Vymezení pojmů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_Toc210984948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3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49" w:history="1">
        <w:r w:rsidR="00146AE4" w:rsidRPr="00F87C07">
          <w:rPr>
            <w:rStyle w:val="Hypertextovodkaz"/>
          </w:rPr>
          <w:t>Vyhlášení veřejné zakázky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_Toc210984949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0" w:history="1">
        <w:r w:rsidR="00146AE4" w:rsidRPr="00F87C07">
          <w:rPr>
            <w:rStyle w:val="Hypertextovodkaz"/>
          </w:rPr>
          <w:t>Elektronická evidence, správa a zadávání veřejných zakázek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_Toc210984950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1" w:history="1">
        <w:r w:rsidR="00146AE4" w:rsidRPr="00F87C07">
          <w:rPr>
            <w:rStyle w:val="Hypertextovodkaz"/>
          </w:rPr>
          <w:t>Příjem a otevírání nabídek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_Toc210984951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2" w:history="1">
        <w:r w:rsidR="00146AE4" w:rsidRPr="00F87C07">
          <w:rPr>
            <w:rStyle w:val="Hypertextovodkaz"/>
          </w:rPr>
          <w:t>Předpokládaná hodnota veřejné zakázky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_Toc210984952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5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3" w:history="1">
        <w:r w:rsidR="00146AE4" w:rsidRPr="00F87C07">
          <w:rPr>
            <w:rStyle w:val="Hypertextovodkaz"/>
          </w:rPr>
          <w:t>Režim veřejné zakázky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_Toc210984953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6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4" w:history="1">
        <w:r w:rsidR="00146AE4" w:rsidRPr="00F87C07">
          <w:rPr>
            <w:rStyle w:val="Hypertextovodkaz"/>
          </w:rPr>
          <w:t>Hodnocení nabídek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_Toc210984954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6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5" w:history="1">
        <w:r w:rsidR="00146AE4" w:rsidRPr="00F87C07">
          <w:rPr>
            <w:rStyle w:val="Hypertextovodkaz"/>
          </w:rPr>
          <w:t xml:space="preserve">Zadávání veřejných zakázek na dodávky a služby, </w:t>
        </w:r>
        <w:r w:rsidR="00146AE4" w:rsidRPr="00F87C07">
          <w:rPr>
            <w:rStyle w:val="Hypertextovodkaz"/>
            <w:lang w:eastAsia="en-US"/>
          </w:rPr>
          <w:t>jejichž předpokládaná hodnota nepřesáhne</w:t>
        </w:r>
        <w:r w:rsidR="00146AE4" w:rsidRPr="00F87C07">
          <w:rPr>
            <w:rStyle w:val="Hypertextovodkaz"/>
          </w:rPr>
          <w:t xml:space="preserve"> 100 tis. Kč, a na stavební práce, jejichž </w:t>
        </w:r>
        <w:r w:rsidR="00146AE4" w:rsidRPr="00F87C07">
          <w:rPr>
            <w:rStyle w:val="Hypertextovodkaz"/>
            <w:lang w:eastAsia="en-US"/>
          </w:rPr>
          <w:t>předpokládaná hodnota nepřesáhne</w:t>
        </w:r>
        <w:r w:rsidR="00146AE4" w:rsidRPr="00F87C07">
          <w:rPr>
            <w:rStyle w:val="Hypertextovodkaz"/>
          </w:rPr>
          <w:t xml:space="preserve"> 250 tis. Kč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_Toc210984955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7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6" w:history="1">
        <w:r w:rsidR="00146AE4" w:rsidRPr="00F87C07">
          <w:rPr>
            <w:rStyle w:val="Hypertextovodkaz"/>
          </w:rPr>
          <w:t xml:space="preserve">Zadávání veřejných zakázek na dodávky a služby, </w:t>
        </w:r>
        <w:r w:rsidR="00146AE4" w:rsidRPr="00F87C07">
          <w:rPr>
            <w:rStyle w:val="Hypertextovodkaz"/>
            <w:lang w:eastAsia="en-US"/>
          </w:rPr>
          <w:t>jejichž předpokládaná hodnota je vyšší než</w:t>
        </w:r>
        <w:r w:rsidR="00146AE4" w:rsidRPr="00F87C07">
          <w:rPr>
            <w:rStyle w:val="Hypertextovodkaz"/>
          </w:rPr>
          <w:t xml:space="preserve"> 100 tis. Kč a nepřesahuje 800 tis. Kč, a na stavební práce, jejichž </w:t>
        </w:r>
        <w:r w:rsidR="00146AE4" w:rsidRPr="00F87C07">
          <w:rPr>
            <w:rStyle w:val="Hypertextovodkaz"/>
            <w:lang w:eastAsia="en-US"/>
          </w:rPr>
          <w:t>předpokládaná hodnota je vyšší než</w:t>
        </w:r>
        <w:r w:rsidR="00146AE4" w:rsidRPr="00F87C07">
          <w:rPr>
            <w:rStyle w:val="Hypertextovodkaz"/>
          </w:rPr>
          <w:t xml:space="preserve"> 250 tis. Kč a nepřesahuje 1,5 mil. Kč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_Toc210984956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8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7" w:history="1">
        <w:r w:rsidR="00146AE4" w:rsidRPr="00F87C07">
          <w:rPr>
            <w:rStyle w:val="Hypertextovodkaz"/>
          </w:rPr>
          <w:t xml:space="preserve">Zadávání veřejných zakázek malého rozsahu na dodávky a služby, </w:t>
        </w:r>
        <w:r w:rsidR="00146AE4" w:rsidRPr="00F87C07">
          <w:rPr>
            <w:rStyle w:val="Hypertextovodkaz"/>
            <w:lang w:eastAsia="en-US"/>
          </w:rPr>
          <w:t xml:space="preserve">jejichž předpokládaná hodnota je vyšší než 800 tis. Kč, </w:t>
        </w:r>
        <w:r w:rsidR="00146AE4" w:rsidRPr="00F87C07">
          <w:rPr>
            <w:rStyle w:val="Hypertextovodkaz"/>
          </w:rPr>
          <w:t>a na stavební práce, jejichž předpokládaná hodnota je vyšší než 1,5 mil. Kč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_Toc210984957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8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8" w:history="1">
        <w:r w:rsidR="00146AE4" w:rsidRPr="00F87C07">
          <w:rPr>
            <w:rStyle w:val="Hypertextovodkaz"/>
          </w:rPr>
          <w:t>Zadávání podlimitních a nadlimitních veřejných zakázek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_Toc210984958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8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59" w:history="1">
        <w:r w:rsidR="00146AE4" w:rsidRPr="00F87C07">
          <w:rPr>
            <w:rStyle w:val="Hypertextovodkaz"/>
          </w:rPr>
          <w:t>Zjednodušené podlimitní řízení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_Toc210984959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9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0" w:history="1">
        <w:r w:rsidR="00146AE4" w:rsidRPr="00F87C07">
          <w:rPr>
            <w:rStyle w:val="Hypertextovodkaz"/>
          </w:rPr>
          <w:t>Otevřené řízení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_Toc210984960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11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1" w:history="1">
        <w:r w:rsidR="00146AE4" w:rsidRPr="00F87C07">
          <w:rPr>
            <w:rStyle w:val="Hypertextovodkaz"/>
          </w:rPr>
          <w:t>Dynamický nákupní systém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_Toc210984961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12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2" w:history="1">
        <w:r w:rsidR="00146AE4" w:rsidRPr="00F87C07">
          <w:rPr>
            <w:rStyle w:val="Hypertextovodkaz"/>
          </w:rPr>
          <w:t>Koncese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_Toc210984962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13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3" w:history="1">
        <w:r w:rsidR="00146AE4" w:rsidRPr="00F87C07">
          <w:rPr>
            <w:rStyle w:val="Hypertextovodkaz"/>
          </w:rPr>
          <w:t>Uveřejňování smlouvy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_Toc210984963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4" w:history="1">
        <w:r w:rsidR="00146AE4" w:rsidRPr="00F87C07">
          <w:rPr>
            <w:rStyle w:val="Hypertextovodkaz"/>
          </w:rPr>
          <w:t>Uveřejňování skutečně uhrazené ceny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_Toc210984964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5" w:history="1">
        <w:r w:rsidR="00146AE4" w:rsidRPr="00F87C07">
          <w:rPr>
            <w:rStyle w:val="Hypertextovodkaz"/>
          </w:rPr>
          <w:t>Výjimky z ustanovení pravidel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_Toc210984965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6" w:history="1">
        <w:r w:rsidR="00146AE4" w:rsidRPr="00F87C07">
          <w:rPr>
            <w:rStyle w:val="Hypertextovodkaz"/>
          </w:rPr>
          <w:t>Požadavky na obsah zadávacích podkladů a další dokumentace o průběhu zadávacího řízení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_Toc210984966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14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7" w:history="1">
        <w:r w:rsidR="00146AE4" w:rsidRPr="00F87C07">
          <w:rPr>
            <w:rStyle w:val="Hypertextovodkaz"/>
          </w:rPr>
          <w:t>Přezkoumávání námitek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_Toc210984967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15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8" w:history="1">
        <w:r w:rsidR="00146AE4" w:rsidRPr="00F87C07">
          <w:rPr>
            <w:rStyle w:val="Hypertextovodkaz"/>
          </w:rPr>
          <w:t>Uchování dokumentace o zadávacím řízení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_Toc210984968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15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69" w:history="1">
        <w:r w:rsidR="00146AE4" w:rsidRPr="00F87C07">
          <w:rPr>
            <w:rStyle w:val="Hypertextovodkaz"/>
          </w:rPr>
          <w:t>Vnitřní kontrola veřejných zakázek zadávaných krajem a financovaných z dotačních prostředků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_Toc210984969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15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70" w:history="1">
        <w:r w:rsidR="00146AE4" w:rsidRPr="00F87C07">
          <w:rPr>
            <w:rStyle w:val="Hypertextovodkaz"/>
          </w:rPr>
          <w:t>Externí administrátor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_Toc210984970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16</w:t>
        </w:r>
        <w:r w:rsidR="00146AE4">
          <w:rPr>
            <w:webHidden/>
          </w:rPr>
          <w:fldChar w:fldCharType="end"/>
        </w:r>
      </w:hyperlink>
    </w:p>
    <w:p w:rsidR="00146AE4" w:rsidRPr="00F84836" w:rsidRDefault="0033053F">
      <w:pPr>
        <w:pStyle w:val="Obsah2"/>
        <w:rPr>
          <w:rFonts w:ascii="Calibri" w:eastAsia="Times New Roman" w:hAnsi="Calibri"/>
        </w:rPr>
      </w:pPr>
      <w:hyperlink w:anchor="_Toc210984971" w:history="1">
        <w:r w:rsidR="00146AE4" w:rsidRPr="00F87C07">
          <w:rPr>
            <w:rStyle w:val="Hypertextovodkaz"/>
          </w:rPr>
          <w:t>Přechodná a závěrečná ustanovení</w:t>
        </w:r>
        <w:r w:rsidR="00146AE4">
          <w:rPr>
            <w:webHidden/>
          </w:rPr>
          <w:tab/>
        </w:r>
        <w:r w:rsidR="00146AE4">
          <w:rPr>
            <w:webHidden/>
          </w:rPr>
          <w:fldChar w:fldCharType="begin"/>
        </w:r>
        <w:r w:rsidR="00146AE4">
          <w:rPr>
            <w:webHidden/>
          </w:rPr>
          <w:instrText xml:space="preserve"> PAGEREF _Toc210984971 \h </w:instrText>
        </w:r>
        <w:r w:rsidR="00146AE4">
          <w:rPr>
            <w:webHidden/>
          </w:rPr>
        </w:r>
        <w:r w:rsidR="00146AE4">
          <w:rPr>
            <w:webHidden/>
          </w:rPr>
          <w:fldChar w:fldCharType="separate"/>
        </w:r>
        <w:r w:rsidR="00146AE4">
          <w:rPr>
            <w:webHidden/>
          </w:rPr>
          <w:t>16</w:t>
        </w:r>
        <w:r w:rsidR="00146AE4">
          <w:rPr>
            <w:webHidden/>
          </w:rPr>
          <w:fldChar w:fldCharType="end"/>
        </w:r>
      </w:hyperlink>
    </w:p>
    <w:p w:rsidR="00867E4D" w:rsidRDefault="00142F71" w:rsidP="00566635">
      <w:pPr>
        <w:rPr>
          <w:b/>
          <w:snapToGrid w:val="0"/>
          <w:sz w:val="22"/>
          <w:szCs w:val="20"/>
        </w:rPr>
      </w:pPr>
      <w:r w:rsidRPr="009432AE">
        <w:rPr>
          <w:b/>
          <w:bCs/>
          <w:sz w:val="22"/>
          <w:szCs w:val="22"/>
        </w:rPr>
        <w:fldChar w:fldCharType="end"/>
      </w:r>
    </w:p>
    <w:p w:rsidR="00867E4D" w:rsidRDefault="00867E4D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03014A" w:rsidRDefault="0003014A" w:rsidP="00F27E58">
      <w:pPr>
        <w:widowControl w:val="0"/>
        <w:jc w:val="both"/>
        <w:rPr>
          <w:b/>
          <w:snapToGrid w:val="0"/>
          <w:sz w:val="22"/>
          <w:szCs w:val="20"/>
        </w:rPr>
      </w:pPr>
    </w:p>
    <w:p w:rsidR="00F27E58" w:rsidRPr="00025088" w:rsidRDefault="00BD2457" w:rsidP="00F27E58">
      <w:pPr>
        <w:widowControl w:val="0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br w:type="page"/>
      </w:r>
      <w:r w:rsidR="00F27E58" w:rsidRPr="00025088">
        <w:rPr>
          <w:b/>
          <w:snapToGrid w:val="0"/>
          <w:sz w:val="22"/>
          <w:szCs w:val="20"/>
        </w:rPr>
        <w:lastRenderedPageBreak/>
        <w:t>Rada Karlovarského kraje (dále jen „rada“) se usnesla na těchto pravidlech (dále jen „pravidla“) pro zadávání veřejných zakázek Karlovarským krajem (dále jen „kraj“) příspěvkovými organizacemi zřízenými krajem</w:t>
      </w:r>
      <w:r w:rsidR="00C70888">
        <w:rPr>
          <w:b/>
          <w:snapToGrid w:val="0"/>
          <w:sz w:val="22"/>
          <w:szCs w:val="20"/>
        </w:rPr>
        <w:t xml:space="preserve"> a </w:t>
      </w:r>
      <w:r w:rsidR="00C70888" w:rsidRPr="00C70888">
        <w:rPr>
          <w:b/>
          <w:snapToGrid w:val="0"/>
          <w:sz w:val="22"/>
          <w:szCs w:val="20"/>
        </w:rPr>
        <w:t>Institut</w:t>
      </w:r>
      <w:r w:rsidR="00C70888">
        <w:rPr>
          <w:b/>
          <w:snapToGrid w:val="0"/>
          <w:sz w:val="22"/>
          <w:szCs w:val="20"/>
        </w:rPr>
        <w:t>em</w:t>
      </w:r>
      <w:r w:rsidR="00C70888" w:rsidRPr="00C70888">
        <w:rPr>
          <w:b/>
          <w:snapToGrid w:val="0"/>
          <w:sz w:val="22"/>
          <w:szCs w:val="20"/>
        </w:rPr>
        <w:t xml:space="preserve"> lázeňství a balneologie, v. v. i.</w:t>
      </w:r>
      <w:r w:rsidR="00F27E58" w:rsidRPr="00025088">
        <w:rPr>
          <w:b/>
          <w:snapToGrid w:val="0"/>
          <w:sz w:val="22"/>
          <w:szCs w:val="20"/>
        </w:rPr>
        <w:t xml:space="preserve"> (dále jen </w:t>
      </w:r>
      <w:r w:rsidR="00F27E58" w:rsidRPr="00025088">
        <w:rPr>
          <w:rFonts w:eastAsia="Calibri"/>
          <w:b/>
          <w:bCs/>
          <w:snapToGrid w:val="0"/>
          <w:sz w:val="22"/>
          <w:szCs w:val="22"/>
          <w:lang w:eastAsia="en-US"/>
        </w:rPr>
        <w:t>„příspěvková organizace“)</w:t>
      </w:r>
      <w:r w:rsidR="00F27E58" w:rsidRPr="00025088">
        <w:rPr>
          <w:b/>
          <w:snapToGrid w:val="0"/>
          <w:sz w:val="22"/>
          <w:szCs w:val="20"/>
        </w:rPr>
        <w:t xml:space="preserve">: </w:t>
      </w:r>
    </w:p>
    <w:p w:rsidR="00F27E58" w:rsidRDefault="00F27E58" w:rsidP="00F27E58">
      <w:pPr>
        <w:jc w:val="both"/>
        <w:rPr>
          <w:rFonts w:eastAsia="Calibri"/>
          <w:sz w:val="22"/>
          <w:szCs w:val="22"/>
          <w:lang w:eastAsia="en-US"/>
        </w:rPr>
      </w:pPr>
    </w:p>
    <w:p w:rsidR="00924C0A" w:rsidRDefault="00924C0A" w:rsidP="00F27E58">
      <w:pPr>
        <w:jc w:val="both"/>
        <w:rPr>
          <w:rFonts w:eastAsia="Calibri"/>
          <w:sz w:val="22"/>
          <w:szCs w:val="22"/>
          <w:lang w:eastAsia="en-US"/>
        </w:rPr>
      </w:pPr>
    </w:p>
    <w:p w:rsidR="00C4478D" w:rsidRPr="00025088" w:rsidRDefault="00C4478D" w:rsidP="00F27E58">
      <w:pPr>
        <w:jc w:val="both"/>
        <w:rPr>
          <w:rFonts w:eastAsia="Calibri"/>
          <w:sz w:val="22"/>
          <w:szCs w:val="22"/>
          <w:lang w:eastAsia="en-US"/>
        </w:rPr>
      </w:pPr>
    </w:p>
    <w:p w:rsidR="00D22906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0" w:name="_Toc399911806"/>
      <w:bookmarkStart w:id="1" w:name="_Toc403400620"/>
      <w:bookmarkStart w:id="2" w:name="_Toc453761067"/>
      <w:r w:rsidRPr="00DA2BC8">
        <w:rPr>
          <w:rFonts w:eastAsia="Calibri"/>
          <w:b/>
          <w:sz w:val="22"/>
          <w:szCs w:val="22"/>
        </w:rPr>
        <w:t>Čl. I</w:t>
      </w:r>
      <w:bookmarkEnd w:id="0"/>
      <w:bookmarkEnd w:id="1"/>
      <w:bookmarkEnd w:id="2"/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025088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3" w:name="_Toc453761068"/>
      <w:bookmarkStart w:id="4" w:name="_Toc210984947"/>
      <w:r w:rsidRPr="00025088">
        <w:rPr>
          <w:rFonts w:eastAsia="Calibri"/>
          <w:sz w:val="22"/>
          <w:szCs w:val="22"/>
        </w:rPr>
        <w:t>Úvodní ustanovení</w:t>
      </w:r>
      <w:bookmarkEnd w:id="3"/>
      <w:bookmarkEnd w:id="4"/>
    </w:p>
    <w:p w:rsidR="00F27E58" w:rsidRPr="00025088" w:rsidRDefault="00F27E58" w:rsidP="00257E8B">
      <w:pPr>
        <w:widowControl w:val="0"/>
        <w:numPr>
          <w:ilvl w:val="0"/>
          <w:numId w:val="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>Tato pravidla stanoví závazný postup pro zadávání veřejných zakázek</w:t>
      </w:r>
      <w:r w:rsidR="00896289">
        <w:rPr>
          <w:rFonts w:eastAsia="Calibri"/>
          <w:snapToGrid w:val="0"/>
          <w:sz w:val="22"/>
          <w:szCs w:val="22"/>
          <w:lang w:eastAsia="en-US"/>
        </w:rPr>
        <w:t xml:space="preserve"> včetně koncesí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 dle příslušného </w:t>
      </w:r>
      <w:r w:rsidRPr="00ED4ADD">
        <w:rPr>
          <w:rFonts w:eastAsia="Calibri"/>
          <w:snapToGrid w:val="0"/>
          <w:sz w:val="22"/>
          <w:szCs w:val="22"/>
          <w:lang w:eastAsia="en-US"/>
        </w:rPr>
        <w:t>zákona</w:t>
      </w:r>
      <w:r w:rsidRPr="00ED4ADD">
        <w:rPr>
          <w:rFonts w:eastAsia="Calibri"/>
          <w:snapToGrid w:val="0"/>
          <w:sz w:val="22"/>
          <w:szCs w:val="22"/>
          <w:vertAlign w:val="superscript"/>
          <w:lang w:eastAsia="en-US"/>
        </w:rPr>
        <w:footnoteReference w:id="2"/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 zadavatelem, kterým je kraj a příspěvkové organizace. </w:t>
      </w:r>
    </w:p>
    <w:p w:rsidR="00F27E58" w:rsidRDefault="00F27E58" w:rsidP="00257E8B">
      <w:pPr>
        <w:widowControl w:val="0"/>
        <w:numPr>
          <w:ilvl w:val="0"/>
          <w:numId w:val="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>Pravidla jsou závazná pro zaměstnance kraje zařazené do</w:t>
      </w:r>
      <w:r w:rsidR="005F09F0" w:rsidRPr="00025088">
        <w:rPr>
          <w:rFonts w:eastAsia="Calibri"/>
          <w:snapToGrid w:val="0"/>
          <w:sz w:val="22"/>
          <w:szCs w:val="22"/>
          <w:lang w:eastAsia="en-US"/>
        </w:rPr>
        <w:t xml:space="preserve"> Krajského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 úřadu</w:t>
      </w:r>
      <w:r w:rsidR="005F09F0" w:rsidRPr="00025088">
        <w:rPr>
          <w:rFonts w:eastAsia="Calibri"/>
          <w:snapToGrid w:val="0"/>
          <w:sz w:val="22"/>
          <w:szCs w:val="22"/>
          <w:lang w:eastAsia="en-US"/>
        </w:rPr>
        <w:t xml:space="preserve"> Karlovarského kraje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 a</w:t>
      </w:r>
      <w:r w:rsidR="002C4350">
        <w:rPr>
          <w:rFonts w:eastAsia="Calibri"/>
          <w:snapToGrid w:val="0"/>
          <w:sz w:val="22"/>
          <w:szCs w:val="22"/>
          <w:lang w:eastAsia="en-US"/>
        </w:rPr>
        <w:t> </w:t>
      </w:r>
      <w:r w:rsidRPr="00025088">
        <w:rPr>
          <w:rFonts w:eastAsia="Calibri"/>
          <w:snapToGrid w:val="0"/>
          <w:sz w:val="22"/>
          <w:szCs w:val="22"/>
          <w:lang w:eastAsia="en-US"/>
        </w:rPr>
        <w:t>zaměstnance přís</w:t>
      </w:r>
      <w:r w:rsidR="0022205A" w:rsidRPr="00025088">
        <w:rPr>
          <w:rFonts w:eastAsia="Calibri"/>
          <w:snapToGrid w:val="0"/>
          <w:sz w:val="22"/>
          <w:szCs w:val="22"/>
          <w:lang w:eastAsia="en-US"/>
        </w:rPr>
        <w:t>pěvkových organizací (dále jen „</w:t>
      </w:r>
      <w:r w:rsidRPr="00025088">
        <w:rPr>
          <w:rFonts w:eastAsia="Calibri"/>
          <w:snapToGrid w:val="0"/>
          <w:sz w:val="22"/>
          <w:szCs w:val="22"/>
          <w:lang w:eastAsia="en-US"/>
        </w:rPr>
        <w:t>zaměstnanci zadavatele</w:t>
      </w:r>
      <w:r w:rsidR="0022205A" w:rsidRPr="00025088">
        <w:rPr>
          <w:rFonts w:eastAsia="Calibri"/>
          <w:snapToGrid w:val="0"/>
          <w:sz w:val="22"/>
          <w:szCs w:val="22"/>
          <w:lang w:eastAsia="en-US"/>
        </w:rPr>
        <w:t>“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). </w:t>
      </w:r>
    </w:p>
    <w:p w:rsidR="00086105" w:rsidRDefault="00086105" w:rsidP="00257E8B">
      <w:pPr>
        <w:widowControl w:val="0"/>
        <w:numPr>
          <w:ilvl w:val="0"/>
          <w:numId w:val="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>Veřejné zakázky</w:t>
      </w:r>
      <w:r w:rsidR="00866229">
        <w:rPr>
          <w:rFonts w:eastAsia="Calibri"/>
          <w:snapToGrid w:val="0"/>
          <w:sz w:val="22"/>
          <w:szCs w:val="22"/>
          <w:lang w:eastAsia="en-US"/>
        </w:rPr>
        <w:t xml:space="preserve"> na dodávky či služby</w:t>
      </w:r>
      <w:r w:rsidR="004E160A">
        <w:rPr>
          <w:rFonts w:eastAsia="Calibri"/>
          <w:snapToGrid w:val="0"/>
          <w:sz w:val="22"/>
          <w:szCs w:val="22"/>
          <w:lang w:eastAsia="en-US"/>
        </w:rPr>
        <w:t>,</w:t>
      </w:r>
      <w:r>
        <w:rPr>
          <w:rFonts w:eastAsia="Calibri"/>
          <w:snapToGrid w:val="0"/>
          <w:sz w:val="22"/>
          <w:szCs w:val="22"/>
          <w:lang w:eastAsia="en-US"/>
        </w:rPr>
        <w:t xml:space="preserve"> jejichž předpokládaná hodnota přesahuje </w:t>
      </w:r>
      <w:r w:rsidR="003F7D53">
        <w:rPr>
          <w:rFonts w:eastAsia="Calibri"/>
          <w:snapToGrid w:val="0"/>
          <w:sz w:val="22"/>
          <w:szCs w:val="22"/>
          <w:lang w:eastAsia="en-US"/>
        </w:rPr>
        <w:t xml:space="preserve">800 </w:t>
      </w:r>
      <w:r>
        <w:rPr>
          <w:rFonts w:eastAsia="Calibri"/>
          <w:snapToGrid w:val="0"/>
          <w:sz w:val="22"/>
          <w:szCs w:val="22"/>
          <w:lang w:eastAsia="en-US"/>
        </w:rPr>
        <w:t>tis. Kč</w:t>
      </w:r>
      <w:r w:rsidR="00AD65AC">
        <w:rPr>
          <w:rFonts w:eastAsia="Calibri"/>
          <w:snapToGrid w:val="0"/>
          <w:sz w:val="22"/>
          <w:szCs w:val="22"/>
          <w:lang w:eastAsia="en-US"/>
        </w:rPr>
        <w:t>,</w:t>
      </w:r>
      <w:r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866229">
        <w:rPr>
          <w:rFonts w:eastAsia="Calibri"/>
          <w:snapToGrid w:val="0"/>
          <w:sz w:val="22"/>
          <w:szCs w:val="22"/>
          <w:lang w:eastAsia="en-US"/>
        </w:rPr>
        <w:t xml:space="preserve">veřejné zakázky na stavební práce, jejichž předpokládaná hodnota přesahuje </w:t>
      </w:r>
      <w:r w:rsidR="003F7D53">
        <w:rPr>
          <w:rFonts w:eastAsia="Calibri"/>
          <w:snapToGrid w:val="0"/>
          <w:sz w:val="22"/>
          <w:szCs w:val="22"/>
          <w:lang w:eastAsia="en-US"/>
        </w:rPr>
        <w:t xml:space="preserve">1,5 </w:t>
      </w:r>
      <w:r w:rsidR="00866229">
        <w:rPr>
          <w:rFonts w:eastAsia="Calibri"/>
          <w:snapToGrid w:val="0"/>
          <w:sz w:val="22"/>
          <w:szCs w:val="22"/>
          <w:lang w:eastAsia="en-US"/>
        </w:rPr>
        <w:t>mil. Kč</w:t>
      </w:r>
      <w:r w:rsidR="00896289">
        <w:rPr>
          <w:rFonts w:eastAsia="Calibri"/>
          <w:snapToGrid w:val="0"/>
          <w:sz w:val="22"/>
          <w:szCs w:val="22"/>
          <w:lang w:eastAsia="en-US"/>
        </w:rPr>
        <w:t xml:space="preserve"> a koncese jejichž předpokládaná hodnota přesahuje 10 mil. Kč</w:t>
      </w:r>
      <w:r w:rsidR="004E160A">
        <w:rPr>
          <w:rFonts w:eastAsia="Calibri"/>
          <w:snapToGrid w:val="0"/>
          <w:sz w:val="22"/>
          <w:szCs w:val="22"/>
          <w:lang w:eastAsia="en-US"/>
        </w:rPr>
        <w:t>,</w:t>
      </w:r>
      <w:r>
        <w:rPr>
          <w:rFonts w:eastAsia="Calibri"/>
          <w:snapToGrid w:val="0"/>
          <w:sz w:val="22"/>
          <w:szCs w:val="22"/>
          <w:lang w:eastAsia="en-US"/>
        </w:rPr>
        <w:t xml:space="preserve"> mohou být</w:t>
      </w:r>
      <w:r w:rsidR="0021341B">
        <w:rPr>
          <w:rFonts w:eastAsia="Calibri"/>
          <w:snapToGrid w:val="0"/>
          <w:sz w:val="22"/>
          <w:szCs w:val="22"/>
          <w:lang w:eastAsia="en-US"/>
        </w:rPr>
        <w:t xml:space="preserve"> </w:t>
      </w:r>
      <w:r>
        <w:rPr>
          <w:rFonts w:eastAsia="Calibri"/>
          <w:snapToGrid w:val="0"/>
          <w:sz w:val="22"/>
          <w:szCs w:val="22"/>
          <w:lang w:eastAsia="en-US"/>
        </w:rPr>
        <w:t xml:space="preserve">zadány prostřednictvím oddělení veřejných zakázek odboru </w:t>
      </w:r>
      <w:r w:rsidR="00B96316">
        <w:rPr>
          <w:rFonts w:eastAsia="Calibri"/>
          <w:snapToGrid w:val="0"/>
          <w:sz w:val="22"/>
          <w:szCs w:val="22"/>
          <w:lang w:eastAsia="en-US"/>
        </w:rPr>
        <w:t xml:space="preserve">právního </w:t>
      </w:r>
      <w:r w:rsidRPr="00025088">
        <w:rPr>
          <w:rFonts w:eastAsia="Calibri"/>
          <w:snapToGrid w:val="0"/>
          <w:sz w:val="22"/>
          <w:szCs w:val="22"/>
          <w:lang w:eastAsia="en-US"/>
        </w:rPr>
        <w:t>Krajského úřadu Karlovarského kraje (dále jen „úřad“)</w:t>
      </w:r>
      <w:r w:rsidR="003B1DBD">
        <w:rPr>
          <w:rFonts w:eastAsia="Calibri"/>
          <w:snapToGrid w:val="0"/>
          <w:sz w:val="22"/>
          <w:szCs w:val="22"/>
          <w:lang w:eastAsia="en-US"/>
        </w:rPr>
        <w:t>. Centrální zadávání upravuje zvláštní vnitřní předpis</w:t>
      </w:r>
      <w:r w:rsidR="00ED568E"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3"/>
      </w:r>
      <w:r w:rsidR="003B1DBD">
        <w:rPr>
          <w:rFonts w:eastAsia="Calibri"/>
          <w:snapToGrid w:val="0"/>
          <w:sz w:val="22"/>
          <w:szCs w:val="22"/>
          <w:lang w:eastAsia="en-US"/>
        </w:rPr>
        <w:t xml:space="preserve">, </w:t>
      </w:r>
      <w:r w:rsidR="003B1DBD" w:rsidRPr="007B3FA0">
        <w:rPr>
          <w:rFonts w:eastAsia="Calibri"/>
          <w:snapToGrid w:val="0"/>
          <w:sz w:val="22"/>
          <w:szCs w:val="22"/>
          <w:lang w:eastAsia="en-US"/>
        </w:rPr>
        <w:t xml:space="preserve">který </w:t>
      </w:r>
      <w:r w:rsidR="00984C53" w:rsidRPr="007B3FA0">
        <w:rPr>
          <w:rFonts w:eastAsia="Calibri"/>
          <w:snapToGrid w:val="0"/>
          <w:sz w:val="22"/>
          <w:szCs w:val="22"/>
          <w:lang w:eastAsia="en-US"/>
        </w:rPr>
        <w:t xml:space="preserve">představuje </w:t>
      </w:r>
      <w:r w:rsidR="003B1DBD" w:rsidRPr="007B3FA0">
        <w:rPr>
          <w:rFonts w:eastAsia="Calibri"/>
          <w:snapToGrid w:val="0"/>
          <w:sz w:val="22"/>
          <w:szCs w:val="22"/>
          <w:lang w:eastAsia="en-US"/>
        </w:rPr>
        <w:t>speciální úpravu vůči těmto pravidlům; stanoví-li zvláštní vnitřní předpis odlišný postup oproti pravidlům, má tato zvláštní úprava přednost.</w:t>
      </w:r>
      <w:r w:rsidR="00AF39B5" w:rsidRPr="007B3FA0">
        <w:rPr>
          <w:rFonts w:eastAsia="Calibri"/>
          <w:snapToGrid w:val="0"/>
          <w:sz w:val="22"/>
          <w:szCs w:val="22"/>
          <w:lang w:eastAsia="en-US"/>
        </w:rPr>
        <w:t xml:space="preserve"> V ostatních případech lze konzultovat zadání veřejné zakázky s </w:t>
      </w:r>
      <w:r w:rsidR="00AF6952" w:rsidRPr="007B3FA0">
        <w:rPr>
          <w:rFonts w:eastAsia="Calibri"/>
          <w:snapToGrid w:val="0"/>
          <w:sz w:val="22"/>
          <w:szCs w:val="22"/>
          <w:lang w:eastAsia="en-US"/>
        </w:rPr>
        <w:t>oddělením veřejných zakázek</w:t>
      </w:r>
      <w:r w:rsidR="00AF6952">
        <w:rPr>
          <w:rFonts w:eastAsia="Calibri"/>
          <w:snapToGrid w:val="0"/>
          <w:color w:val="FF0000"/>
          <w:sz w:val="22"/>
          <w:szCs w:val="22"/>
          <w:lang w:eastAsia="en-US"/>
        </w:rPr>
        <w:t xml:space="preserve"> </w:t>
      </w:r>
      <w:r w:rsidR="00AF39B5">
        <w:rPr>
          <w:rFonts w:eastAsia="Calibri"/>
          <w:snapToGrid w:val="0"/>
          <w:sz w:val="22"/>
          <w:szCs w:val="22"/>
          <w:lang w:eastAsia="en-US"/>
        </w:rPr>
        <w:t>formou metod</w:t>
      </w:r>
      <w:r w:rsidR="00DC3E0F">
        <w:rPr>
          <w:rFonts w:eastAsia="Calibri"/>
          <w:snapToGrid w:val="0"/>
          <w:sz w:val="22"/>
          <w:szCs w:val="22"/>
          <w:lang w:eastAsia="en-US"/>
        </w:rPr>
        <w:t>i</w:t>
      </w:r>
      <w:r w:rsidR="00AF39B5">
        <w:rPr>
          <w:rFonts w:eastAsia="Calibri"/>
          <w:snapToGrid w:val="0"/>
          <w:sz w:val="22"/>
          <w:szCs w:val="22"/>
          <w:lang w:eastAsia="en-US"/>
        </w:rPr>
        <w:t>cké pomoci.</w:t>
      </w:r>
    </w:p>
    <w:p w:rsidR="00924C0A" w:rsidRPr="00924C0A" w:rsidRDefault="00924C0A" w:rsidP="00924C0A">
      <w:pPr>
        <w:rPr>
          <w:rFonts w:eastAsia="Calibri"/>
          <w:sz w:val="22"/>
          <w:szCs w:val="22"/>
        </w:rPr>
      </w:pPr>
    </w:p>
    <w:p w:rsidR="00924C0A" w:rsidRPr="00924C0A" w:rsidRDefault="00924C0A" w:rsidP="00924C0A">
      <w:pPr>
        <w:rPr>
          <w:rFonts w:eastAsia="Calibri"/>
          <w:sz w:val="22"/>
          <w:szCs w:val="22"/>
        </w:rPr>
      </w:pPr>
    </w:p>
    <w:p w:rsidR="002B665A" w:rsidRPr="00DA2BC8" w:rsidRDefault="002B665A" w:rsidP="0026457D">
      <w:pPr>
        <w:jc w:val="center"/>
        <w:rPr>
          <w:rFonts w:eastAsia="Calibri"/>
          <w:b/>
          <w:snapToGrid w:val="0"/>
          <w:sz w:val="22"/>
          <w:szCs w:val="22"/>
          <w:lang w:eastAsia="en-US"/>
        </w:rPr>
      </w:pPr>
      <w:bookmarkStart w:id="5" w:name="_Toc403400622"/>
      <w:bookmarkStart w:id="6" w:name="_Toc453761069"/>
      <w:r w:rsidRPr="00DA2BC8">
        <w:rPr>
          <w:rFonts w:eastAsia="Calibri"/>
          <w:b/>
          <w:snapToGrid w:val="0"/>
          <w:sz w:val="22"/>
          <w:szCs w:val="22"/>
          <w:lang w:eastAsia="en-US"/>
        </w:rPr>
        <w:t>Čl. II</w:t>
      </w:r>
      <w:bookmarkEnd w:id="5"/>
      <w:bookmarkEnd w:id="6"/>
      <w:r w:rsidR="00D65B3A" w:rsidRPr="00DA2BC8">
        <w:rPr>
          <w:rFonts w:eastAsia="Calibri"/>
          <w:b/>
          <w:snapToGrid w:val="0"/>
          <w:sz w:val="22"/>
          <w:szCs w:val="22"/>
          <w:lang w:eastAsia="en-US"/>
        </w:rPr>
        <w:t>.</w:t>
      </w:r>
    </w:p>
    <w:p w:rsidR="002B665A" w:rsidRPr="00025088" w:rsidRDefault="002B665A" w:rsidP="002B665A">
      <w:pPr>
        <w:pStyle w:val="Nadpis2"/>
        <w:jc w:val="center"/>
        <w:rPr>
          <w:rFonts w:eastAsia="Calibri"/>
          <w:snapToGrid w:val="0"/>
          <w:sz w:val="22"/>
          <w:szCs w:val="22"/>
          <w:lang w:eastAsia="en-US"/>
        </w:rPr>
      </w:pPr>
      <w:bookmarkStart w:id="7" w:name="_Toc453761070"/>
      <w:bookmarkStart w:id="8" w:name="_Toc210984948"/>
      <w:r w:rsidRPr="00025088">
        <w:rPr>
          <w:rFonts w:eastAsia="Calibri"/>
          <w:snapToGrid w:val="0"/>
          <w:sz w:val="22"/>
          <w:szCs w:val="22"/>
          <w:lang w:eastAsia="en-US"/>
        </w:rPr>
        <w:t>Vymezení pojmů</w:t>
      </w:r>
      <w:bookmarkEnd w:id="7"/>
      <w:bookmarkEnd w:id="8"/>
    </w:p>
    <w:p w:rsidR="000F4370" w:rsidRPr="00025088" w:rsidRDefault="00DB73CF" w:rsidP="002C4350">
      <w:pPr>
        <w:widowControl w:val="0"/>
        <w:numPr>
          <w:ilvl w:val="0"/>
          <w:numId w:val="37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>Pro účely těchto pravidel</w:t>
      </w:r>
      <w:r w:rsidR="00141F03">
        <w:rPr>
          <w:rFonts w:eastAsia="Calibri"/>
          <w:snapToGrid w:val="0"/>
          <w:sz w:val="22"/>
          <w:szCs w:val="22"/>
          <w:lang w:eastAsia="en-US"/>
        </w:rPr>
        <w:t xml:space="preserve"> se rozumí</w:t>
      </w:r>
      <w:r w:rsidR="002F0E50" w:rsidRPr="00025088">
        <w:rPr>
          <w:rFonts w:eastAsia="Calibri"/>
          <w:snapToGrid w:val="0"/>
          <w:sz w:val="22"/>
          <w:szCs w:val="22"/>
          <w:lang w:eastAsia="en-US"/>
        </w:rPr>
        <w:t>:</w:t>
      </w:r>
    </w:p>
    <w:p w:rsidR="00DB73CF" w:rsidRPr="00025088" w:rsidRDefault="00DB73CF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u w:val="single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>pověřeným zaměstnancem zadavatele vedoucí příslušného odboru</w:t>
      </w:r>
      <w:r w:rsidR="00086105">
        <w:rPr>
          <w:rFonts w:eastAsia="Calibri"/>
          <w:snapToGrid w:val="0"/>
          <w:sz w:val="22"/>
          <w:szCs w:val="22"/>
          <w:lang w:eastAsia="en-US"/>
        </w:rPr>
        <w:t xml:space="preserve"> úřadu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 a ředitel příspěvkové organizace, který v souladu s těmito pravidly činí úkony zadavatele související se zadáním veřejné zakázky,</w:t>
      </w:r>
    </w:p>
    <w:p w:rsidR="00DB73CF" w:rsidRPr="00025088" w:rsidRDefault="00DB73CF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u w:val="single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zřizovatelským odborem je odbor úřadu, </w:t>
      </w:r>
      <w:r w:rsidR="0041708C">
        <w:rPr>
          <w:rFonts w:eastAsia="Calibri"/>
          <w:snapToGrid w:val="0"/>
          <w:sz w:val="22"/>
          <w:szCs w:val="22"/>
          <w:lang w:eastAsia="en-US"/>
        </w:rPr>
        <w:t>který vůči příspěvkové organizaci realizuje výkon zřizovatelské funkce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, </w:t>
      </w:r>
    </w:p>
    <w:p w:rsidR="004C5871" w:rsidRPr="002645DE" w:rsidRDefault="004C5871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2645DE">
        <w:rPr>
          <w:rFonts w:eastAsia="Calibri"/>
          <w:snapToGrid w:val="0"/>
          <w:sz w:val="22"/>
          <w:szCs w:val="22"/>
          <w:lang w:eastAsia="en-US"/>
        </w:rPr>
        <w:t>elektronickým nástrojem programové vybavení, případně jeho součásti, které jsou spojeny se sítí nebo službou elektronických komunikací a umožňují prostřednictvím této sítě nebo služby příjem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 xml:space="preserve">nabídek, 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>předběžných nabídek,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 xml:space="preserve">žádostí o účast, 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>žádost</w:t>
      </w:r>
      <w:r w:rsidR="002A7659">
        <w:rPr>
          <w:sz w:val="22"/>
          <w:szCs w:val="22"/>
        </w:rPr>
        <w:t>í</w:t>
      </w:r>
      <w:r w:rsidRPr="002645DE">
        <w:rPr>
          <w:sz w:val="22"/>
          <w:szCs w:val="22"/>
        </w:rPr>
        <w:t xml:space="preserve"> o zařazení do systému kvalifikace, 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>žádostí o účast nebo návrhů v soutěži o návrh, nebo</w:t>
      </w:r>
    </w:p>
    <w:p w:rsidR="004C5871" w:rsidRPr="002645DE" w:rsidRDefault="004C5871" w:rsidP="002C4350">
      <w:pPr>
        <w:pStyle w:val="Textbodu"/>
        <w:numPr>
          <w:ilvl w:val="2"/>
          <w:numId w:val="37"/>
        </w:numPr>
        <w:spacing w:before="60"/>
        <w:rPr>
          <w:sz w:val="22"/>
          <w:szCs w:val="22"/>
        </w:rPr>
      </w:pPr>
      <w:r w:rsidRPr="002645DE">
        <w:rPr>
          <w:sz w:val="22"/>
          <w:szCs w:val="22"/>
        </w:rPr>
        <w:t>aukčních hodnot v elektronické aukci</w:t>
      </w:r>
      <w:r w:rsidR="00501F4C">
        <w:rPr>
          <w:sz w:val="22"/>
          <w:szCs w:val="22"/>
        </w:rPr>
        <w:t>,</w:t>
      </w:r>
    </w:p>
    <w:p w:rsidR="004D001B" w:rsidRPr="004D001B" w:rsidRDefault="004D001B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4D001B">
        <w:rPr>
          <w:rFonts w:eastAsia="Calibri"/>
          <w:snapToGrid w:val="0"/>
          <w:sz w:val="22"/>
          <w:szCs w:val="22"/>
          <w:lang w:eastAsia="en-US"/>
        </w:rPr>
        <w:t>profilem zadavatele elektronický nástroj, který umožňuje neomezený dálkový přístup a na kterém zadavatel uveřejňuje informace a dokumenty ke svým veřejným zakázkám</w:t>
      </w:r>
      <w:r>
        <w:rPr>
          <w:rFonts w:eastAsia="Calibri"/>
          <w:snapToGrid w:val="0"/>
          <w:sz w:val="22"/>
          <w:szCs w:val="22"/>
          <w:lang w:eastAsia="en-US"/>
        </w:rPr>
        <w:t>,</w:t>
      </w:r>
    </w:p>
    <w:p w:rsidR="000B09C9" w:rsidRDefault="00DB73CF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93219D">
        <w:rPr>
          <w:rFonts w:eastAsia="Calibri"/>
          <w:snapToGrid w:val="0"/>
          <w:sz w:val="22"/>
          <w:szCs w:val="22"/>
          <w:lang w:eastAsia="en-US"/>
        </w:rPr>
        <w:t>nabídk</w:t>
      </w:r>
      <w:r w:rsidR="00D05F74" w:rsidRPr="0093219D">
        <w:rPr>
          <w:rFonts w:eastAsia="Calibri"/>
          <w:snapToGrid w:val="0"/>
          <w:sz w:val="22"/>
          <w:szCs w:val="22"/>
          <w:lang w:eastAsia="en-US"/>
        </w:rPr>
        <w:t xml:space="preserve">ou </w:t>
      </w:r>
      <w:r w:rsidR="0093219D" w:rsidRPr="0093219D">
        <w:rPr>
          <w:rFonts w:eastAsia="Calibri"/>
          <w:snapToGrid w:val="0"/>
          <w:sz w:val="22"/>
          <w:szCs w:val="22"/>
          <w:lang w:eastAsia="en-US"/>
        </w:rPr>
        <w:t>údaje nebo doklady, které dodavatel podal písemně zadavateli na základě zadávací dokumentace</w:t>
      </w:r>
      <w:r w:rsidR="00A138A9">
        <w:rPr>
          <w:rFonts w:eastAsia="Calibri"/>
          <w:snapToGrid w:val="0"/>
          <w:sz w:val="22"/>
          <w:szCs w:val="22"/>
          <w:lang w:eastAsia="en-US"/>
        </w:rPr>
        <w:t>,</w:t>
      </w:r>
      <w:r w:rsidR="0093219D" w:rsidRPr="0093219D">
        <w:rPr>
          <w:rFonts w:eastAsia="Calibri"/>
          <w:snapToGrid w:val="0"/>
          <w:sz w:val="22"/>
          <w:szCs w:val="22"/>
          <w:lang w:eastAsia="en-US"/>
        </w:rPr>
        <w:t xml:space="preserve"> a to v listinné podobě či </w:t>
      </w:r>
      <w:r w:rsidRPr="0093219D">
        <w:rPr>
          <w:rFonts w:eastAsia="Calibri"/>
          <w:snapToGrid w:val="0"/>
          <w:sz w:val="22"/>
          <w:szCs w:val="22"/>
          <w:lang w:eastAsia="en-US"/>
        </w:rPr>
        <w:t>prostřednictvím elektronického nástroje</w:t>
      </w:r>
      <w:r w:rsidR="000B09C9">
        <w:rPr>
          <w:rFonts w:eastAsia="Calibri"/>
          <w:snapToGrid w:val="0"/>
          <w:sz w:val="22"/>
          <w:szCs w:val="22"/>
          <w:lang w:eastAsia="en-US"/>
        </w:rPr>
        <w:t>,</w:t>
      </w:r>
    </w:p>
    <w:p w:rsidR="00691B7D" w:rsidRDefault="00691B7D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 xml:space="preserve">zadávacím řízením </w:t>
      </w:r>
      <w:r w:rsidRPr="00691B7D">
        <w:rPr>
          <w:rFonts w:eastAsia="Calibri"/>
          <w:snapToGrid w:val="0"/>
          <w:sz w:val="22"/>
          <w:szCs w:val="22"/>
          <w:lang w:eastAsia="en-US"/>
        </w:rPr>
        <w:t>formalizovaný postup</w:t>
      </w:r>
      <w:r>
        <w:rPr>
          <w:rFonts w:eastAsia="Calibri"/>
          <w:snapToGrid w:val="0"/>
          <w:sz w:val="22"/>
          <w:szCs w:val="22"/>
          <w:lang w:eastAsia="en-US"/>
        </w:rPr>
        <w:t>,</w:t>
      </w:r>
      <w:r w:rsidRPr="00691B7D">
        <w:rPr>
          <w:rFonts w:eastAsia="Calibri"/>
          <w:snapToGrid w:val="0"/>
          <w:sz w:val="22"/>
          <w:szCs w:val="22"/>
          <w:lang w:eastAsia="en-US"/>
        </w:rPr>
        <w:t xml:space="preserve"> při kterém je vybírán dodavatel veřejné zakázky</w:t>
      </w:r>
      <w:r w:rsidR="00EF39C6">
        <w:rPr>
          <w:rFonts w:eastAsia="Calibri"/>
          <w:snapToGrid w:val="0"/>
          <w:sz w:val="22"/>
          <w:szCs w:val="22"/>
          <w:lang w:eastAsia="en-US"/>
        </w:rPr>
        <w:t xml:space="preserve">, bez ohledu </w:t>
      </w:r>
      <w:r w:rsidR="00EF39C6">
        <w:rPr>
          <w:rFonts w:eastAsia="Calibri"/>
          <w:snapToGrid w:val="0"/>
          <w:sz w:val="22"/>
          <w:szCs w:val="22"/>
          <w:lang w:eastAsia="en-US"/>
        </w:rPr>
        <w:lastRenderedPageBreak/>
        <w:t>na to, zda jde o postup dle zákona</w:t>
      </w:r>
      <w:r w:rsidR="00EF39C6"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4"/>
      </w:r>
      <w:r w:rsidR="00EF39C6">
        <w:rPr>
          <w:rFonts w:eastAsia="Calibri"/>
          <w:snapToGrid w:val="0"/>
          <w:sz w:val="22"/>
          <w:szCs w:val="22"/>
          <w:lang w:eastAsia="en-US"/>
        </w:rPr>
        <w:t xml:space="preserve"> nebo o postup stanovený zadavatelem v zadávací dokumentaci veřejných zakázek malého rozsahu (výběrové řízení),</w:t>
      </w:r>
    </w:p>
    <w:p w:rsidR="00691B7D" w:rsidRDefault="000B09C9" w:rsidP="002C4350">
      <w:pPr>
        <w:widowControl w:val="0"/>
        <w:numPr>
          <w:ilvl w:val="1"/>
          <w:numId w:val="3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>dynamickým nákupním systémem plně elektronický, otevřený systém pro zadávání veřejných zakázek na pořízení běžného, obecně dostupného zboží, služeb nebo stavebních prací.</w:t>
      </w:r>
    </w:p>
    <w:p w:rsidR="00DB73CF" w:rsidRDefault="00DB73CF" w:rsidP="00913520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913520" w:rsidRPr="0093219D" w:rsidRDefault="00913520" w:rsidP="00913520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F27E58" w:rsidRPr="00DA2BC8" w:rsidRDefault="00F27E58" w:rsidP="00AD480F">
      <w:pPr>
        <w:jc w:val="center"/>
        <w:rPr>
          <w:rFonts w:eastAsia="Calibri"/>
          <w:b/>
          <w:sz w:val="22"/>
          <w:szCs w:val="22"/>
        </w:rPr>
      </w:pPr>
      <w:bookmarkStart w:id="9" w:name="_Toc399911808"/>
      <w:bookmarkStart w:id="10" w:name="_Toc403400624"/>
      <w:bookmarkStart w:id="11" w:name="_Toc453761071"/>
      <w:r w:rsidRPr="00DA2BC8">
        <w:rPr>
          <w:rFonts w:eastAsia="Calibri"/>
          <w:b/>
          <w:sz w:val="22"/>
          <w:szCs w:val="22"/>
        </w:rPr>
        <w:t>Čl. I</w:t>
      </w:r>
      <w:r w:rsidR="00A94FB6" w:rsidRPr="00DA2BC8">
        <w:rPr>
          <w:rFonts w:eastAsia="Calibri"/>
          <w:b/>
          <w:sz w:val="22"/>
          <w:szCs w:val="22"/>
        </w:rPr>
        <w:t>I</w:t>
      </w:r>
      <w:r w:rsidRPr="00DA2BC8">
        <w:rPr>
          <w:rFonts w:eastAsia="Calibri"/>
          <w:b/>
          <w:sz w:val="22"/>
          <w:szCs w:val="22"/>
        </w:rPr>
        <w:t>I</w:t>
      </w:r>
      <w:bookmarkEnd w:id="9"/>
      <w:bookmarkEnd w:id="10"/>
      <w:bookmarkEnd w:id="11"/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025088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12" w:name="_Toc453761072"/>
      <w:bookmarkStart w:id="13" w:name="_Toc210984949"/>
      <w:r w:rsidRPr="00025088">
        <w:rPr>
          <w:rFonts w:eastAsia="Calibri"/>
          <w:sz w:val="22"/>
          <w:szCs w:val="22"/>
        </w:rPr>
        <w:t>Vyhlášení veřejné zakázky</w:t>
      </w:r>
      <w:bookmarkEnd w:id="12"/>
      <w:bookmarkEnd w:id="13"/>
      <w:r w:rsidRPr="00025088">
        <w:rPr>
          <w:rFonts w:eastAsia="Calibri"/>
          <w:sz w:val="22"/>
          <w:szCs w:val="22"/>
        </w:rPr>
        <w:t xml:space="preserve"> </w:t>
      </w:r>
    </w:p>
    <w:p w:rsidR="00F27E58" w:rsidRPr="007B3FA0" w:rsidRDefault="00F27E58" w:rsidP="007D275E">
      <w:pPr>
        <w:widowControl w:val="0"/>
        <w:numPr>
          <w:ilvl w:val="0"/>
          <w:numId w:val="38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t>Veřejné zakázky se vyhlašují v souladu se schváleným rozpočtem kraje, popř. příspěvkové organizace.</w:t>
      </w:r>
      <w:r w:rsidR="00AF6952" w:rsidRPr="007B3FA0">
        <w:rPr>
          <w:rFonts w:eastAsia="Calibri"/>
          <w:snapToGrid w:val="0"/>
          <w:sz w:val="22"/>
          <w:szCs w:val="22"/>
          <w:lang w:eastAsia="en-US"/>
        </w:rPr>
        <w:t xml:space="preserve"> Vedoucí</w:t>
      </w:r>
      <w:r w:rsidR="00984C53" w:rsidRPr="007B3FA0">
        <w:rPr>
          <w:rFonts w:eastAsia="Calibri"/>
          <w:snapToGrid w:val="0"/>
          <w:sz w:val="22"/>
          <w:szCs w:val="22"/>
          <w:lang w:eastAsia="en-US"/>
        </w:rPr>
        <w:t xml:space="preserve"> příslušného</w:t>
      </w:r>
      <w:r w:rsidR="00AF6952" w:rsidRPr="007B3FA0">
        <w:rPr>
          <w:rFonts w:eastAsia="Calibri"/>
          <w:snapToGrid w:val="0"/>
          <w:sz w:val="22"/>
          <w:szCs w:val="22"/>
          <w:lang w:eastAsia="en-US"/>
        </w:rPr>
        <w:t xml:space="preserve"> odboru odpovídá za soulad se schváleným rozpočtem kraje a za realizaci finančního plnění závazku kraje.</w:t>
      </w:r>
      <w:r w:rsidR="00FA21E4">
        <w:rPr>
          <w:rFonts w:eastAsia="Calibri"/>
          <w:snapToGrid w:val="0"/>
          <w:sz w:val="22"/>
          <w:szCs w:val="22"/>
          <w:lang w:eastAsia="en-US"/>
        </w:rPr>
        <w:t xml:space="preserve"> Ředitel příspěvkové organizace odpovídá za soulad se schváleným rozpočtem příspěvkové organizace a za realizaci finančního plnění závazku příspěvkové organizace.</w:t>
      </w:r>
    </w:p>
    <w:p w:rsidR="00F27E58" w:rsidRPr="00025088" w:rsidRDefault="00F27E58" w:rsidP="007D275E">
      <w:pPr>
        <w:widowControl w:val="0"/>
        <w:numPr>
          <w:ilvl w:val="0"/>
          <w:numId w:val="38"/>
        </w:numPr>
        <w:spacing w:before="240"/>
        <w:jc w:val="both"/>
        <w:rPr>
          <w:rFonts w:eastAsia="Calibri"/>
          <w:b/>
          <w:snapToGrid w:val="0"/>
          <w:sz w:val="22"/>
          <w:szCs w:val="22"/>
          <w:lang w:eastAsia="en-US"/>
        </w:rPr>
      </w:pPr>
      <w:r w:rsidRPr="00025088">
        <w:rPr>
          <w:rFonts w:eastAsia="Calibri"/>
          <w:snapToGrid w:val="0"/>
          <w:sz w:val="22"/>
          <w:szCs w:val="22"/>
          <w:lang w:eastAsia="en-US"/>
        </w:rPr>
        <w:t>Vyhlášení veřejné zakázky v souladu s</w:t>
      </w:r>
      <w:r w:rsidR="002A7659">
        <w:rPr>
          <w:rFonts w:eastAsia="Calibri"/>
          <w:snapToGrid w:val="0"/>
          <w:sz w:val="22"/>
          <w:szCs w:val="22"/>
          <w:lang w:eastAsia="en-US"/>
        </w:rPr>
        <w:t xml:space="preserve"> těmito</w:t>
      </w:r>
      <w:r w:rsidRPr="00025088">
        <w:rPr>
          <w:rFonts w:eastAsia="Calibri"/>
          <w:snapToGrid w:val="0"/>
          <w:sz w:val="22"/>
          <w:szCs w:val="22"/>
          <w:lang w:eastAsia="en-US"/>
        </w:rPr>
        <w:t xml:space="preserve"> pravidly realizuje pověřený zaměstnanec zadavatele. </w:t>
      </w:r>
    </w:p>
    <w:p w:rsidR="000E2096" w:rsidRPr="00913520" w:rsidRDefault="000E2096" w:rsidP="00913520">
      <w:pPr>
        <w:rPr>
          <w:rFonts w:eastAsia="Calibri"/>
          <w:sz w:val="22"/>
          <w:szCs w:val="22"/>
        </w:rPr>
      </w:pPr>
      <w:bookmarkStart w:id="14" w:name="_Toc399911810"/>
      <w:bookmarkStart w:id="15" w:name="_Toc403400626"/>
      <w:bookmarkStart w:id="16" w:name="_Toc453761073"/>
    </w:p>
    <w:p w:rsidR="00AF6952" w:rsidRPr="00913520" w:rsidRDefault="00AF6952" w:rsidP="00913520">
      <w:pPr>
        <w:rPr>
          <w:rFonts w:eastAsia="Calibri"/>
          <w:sz w:val="22"/>
          <w:szCs w:val="22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 xml:space="preserve">Čl. </w:t>
      </w:r>
      <w:r w:rsidR="00A94FB6" w:rsidRPr="00DA2BC8">
        <w:rPr>
          <w:rFonts w:eastAsia="Calibri"/>
          <w:b/>
          <w:sz w:val="22"/>
          <w:szCs w:val="22"/>
        </w:rPr>
        <w:t>IV</w:t>
      </w:r>
      <w:bookmarkEnd w:id="14"/>
      <w:bookmarkEnd w:id="15"/>
      <w:bookmarkEnd w:id="16"/>
      <w:r w:rsidR="00D65B3A" w:rsidRPr="00DA2BC8">
        <w:rPr>
          <w:rFonts w:eastAsia="Calibri"/>
          <w:b/>
          <w:sz w:val="22"/>
          <w:szCs w:val="22"/>
        </w:rPr>
        <w:t>.</w:t>
      </w:r>
    </w:p>
    <w:p w:rsidR="00765B21" w:rsidRPr="002C0875" w:rsidRDefault="00765B21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17" w:name="_Toc453761074"/>
      <w:bookmarkStart w:id="18" w:name="_Toc210984950"/>
      <w:r w:rsidRPr="002C0875">
        <w:rPr>
          <w:rFonts w:eastAsia="Calibri"/>
          <w:sz w:val="22"/>
          <w:szCs w:val="22"/>
        </w:rPr>
        <w:t>Elektronická evidence, správa a zadávání veřejných zakázek</w:t>
      </w:r>
      <w:bookmarkEnd w:id="17"/>
      <w:bookmarkEnd w:id="18"/>
    </w:p>
    <w:p w:rsidR="00E508A3" w:rsidRPr="00E508A3" w:rsidRDefault="00E508A3" w:rsidP="001A07A8">
      <w:pPr>
        <w:widowControl w:val="0"/>
        <w:numPr>
          <w:ilvl w:val="0"/>
          <w:numId w:val="39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E508A3">
        <w:rPr>
          <w:rFonts w:eastAsia="Calibri"/>
          <w:snapToGrid w:val="0"/>
          <w:sz w:val="22"/>
          <w:szCs w:val="22"/>
          <w:lang w:eastAsia="en-US"/>
        </w:rPr>
        <w:t>Postup elektronické evidence, správy a zadávání bude proveden dle uživatelské příručky provozovatele elektronického nástroje</w:t>
      </w:r>
      <w:r w:rsidR="004F03D9">
        <w:rPr>
          <w:rFonts w:eastAsia="Calibri"/>
          <w:snapToGrid w:val="0"/>
          <w:sz w:val="22"/>
          <w:szCs w:val="22"/>
          <w:lang w:eastAsia="en-US"/>
        </w:rPr>
        <w:t xml:space="preserve"> společnosti QCM, s.r.o</w:t>
      </w:r>
      <w:r w:rsidRPr="00E508A3">
        <w:rPr>
          <w:rFonts w:eastAsia="Calibri"/>
          <w:snapToGrid w:val="0"/>
          <w:sz w:val="22"/>
          <w:szCs w:val="22"/>
          <w:lang w:eastAsia="en-US"/>
        </w:rPr>
        <w:t>.</w:t>
      </w:r>
    </w:p>
    <w:p w:rsidR="00064768" w:rsidRPr="00DD5D95" w:rsidRDefault="009B2F69" w:rsidP="001A07A8">
      <w:pPr>
        <w:widowControl w:val="0"/>
        <w:numPr>
          <w:ilvl w:val="0"/>
          <w:numId w:val="39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DD5D95">
        <w:rPr>
          <w:rFonts w:eastAsia="Calibri"/>
          <w:snapToGrid w:val="0"/>
          <w:sz w:val="22"/>
          <w:szCs w:val="22"/>
          <w:lang w:eastAsia="en-US"/>
        </w:rPr>
        <w:t xml:space="preserve">Pověřený zaměstnanec zadavatele má </w:t>
      </w:r>
      <w:r w:rsidR="00765B21" w:rsidRPr="00DD5D95">
        <w:rPr>
          <w:rFonts w:eastAsia="Calibri"/>
          <w:snapToGrid w:val="0"/>
          <w:sz w:val="22"/>
          <w:szCs w:val="22"/>
          <w:lang w:eastAsia="en-US"/>
        </w:rPr>
        <w:t xml:space="preserve">povinnost </w:t>
      </w:r>
      <w:r w:rsidRPr="00DD5D95">
        <w:rPr>
          <w:rFonts w:eastAsia="Calibri"/>
          <w:snapToGrid w:val="0"/>
          <w:sz w:val="22"/>
          <w:szCs w:val="22"/>
          <w:lang w:eastAsia="en-US"/>
        </w:rPr>
        <w:t xml:space="preserve">zadávat </w:t>
      </w:r>
      <w:r w:rsidR="00761144" w:rsidRPr="00DD5D95">
        <w:rPr>
          <w:rFonts w:eastAsia="Calibri"/>
          <w:snapToGrid w:val="0"/>
          <w:sz w:val="22"/>
          <w:szCs w:val="22"/>
          <w:lang w:eastAsia="en-US"/>
        </w:rPr>
        <w:t xml:space="preserve">a administrovat průběh celé </w:t>
      </w:r>
      <w:r w:rsidRPr="00DD5D95">
        <w:rPr>
          <w:rFonts w:eastAsia="Calibri"/>
          <w:snapToGrid w:val="0"/>
          <w:sz w:val="22"/>
          <w:szCs w:val="22"/>
          <w:lang w:eastAsia="en-US"/>
        </w:rPr>
        <w:t xml:space="preserve">veřejné zakázky prostřednictvím </w:t>
      </w:r>
      <w:r w:rsidR="00765B21" w:rsidRPr="00DD5D95">
        <w:rPr>
          <w:rFonts w:eastAsia="Calibri"/>
          <w:snapToGrid w:val="0"/>
          <w:sz w:val="22"/>
          <w:szCs w:val="22"/>
          <w:lang w:eastAsia="en-US"/>
        </w:rPr>
        <w:t>elektronické</w:t>
      </w:r>
      <w:r w:rsidRPr="00DD5D95">
        <w:rPr>
          <w:rFonts w:eastAsia="Calibri"/>
          <w:snapToGrid w:val="0"/>
          <w:sz w:val="22"/>
          <w:szCs w:val="22"/>
          <w:lang w:eastAsia="en-US"/>
        </w:rPr>
        <w:t>ho</w:t>
      </w:r>
      <w:r w:rsidR="00765B21" w:rsidRPr="00DD5D95">
        <w:rPr>
          <w:rFonts w:eastAsia="Calibri"/>
          <w:snapToGrid w:val="0"/>
          <w:sz w:val="22"/>
          <w:szCs w:val="22"/>
          <w:lang w:eastAsia="en-US"/>
        </w:rPr>
        <w:t xml:space="preserve"> nástroj</w:t>
      </w:r>
      <w:r w:rsidRPr="00DD5D95">
        <w:rPr>
          <w:rFonts w:eastAsia="Calibri"/>
          <w:snapToGrid w:val="0"/>
          <w:sz w:val="22"/>
          <w:szCs w:val="22"/>
          <w:lang w:eastAsia="en-US"/>
        </w:rPr>
        <w:t>e</w:t>
      </w:r>
      <w:r w:rsidR="00866229">
        <w:rPr>
          <w:rFonts w:eastAsia="Calibri"/>
          <w:snapToGrid w:val="0"/>
          <w:sz w:val="22"/>
          <w:szCs w:val="22"/>
          <w:lang w:eastAsia="en-US"/>
        </w:rPr>
        <w:t xml:space="preserve"> u veřejných zakázek na dodávky či služby s předpokládanou hodnotou nad </w:t>
      </w:r>
      <w:r w:rsidR="00ED0290">
        <w:rPr>
          <w:rFonts w:eastAsia="Calibri"/>
          <w:snapToGrid w:val="0"/>
          <w:sz w:val="22"/>
          <w:szCs w:val="22"/>
          <w:lang w:eastAsia="en-US"/>
        </w:rPr>
        <w:t xml:space="preserve">800 </w:t>
      </w:r>
      <w:r w:rsidR="00866229">
        <w:rPr>
          <w:rFonts w:eastAsia="Calibri"/>
          <w:snapToGrid w:val="0"/>
          <w:sz w:val="22"/>
          <w:szCs w:val="22"/>
          <w:lang w:eastAsia="en-US"/>
        </w:rPr>
        <w:t xml:space="preserve">tis. Kč a u veřejných zakázek na stavební práce s předpokládanou hodnotou nad </w:t>
      </w:r>
      <w:r w:rsidR="00ED0290">
        <w:rPr>
          <w:rFonts w:eastAsia="Calibri"/>
          <w:snapToGrid w:val="0"/>
          <w:sz w:val="22"/>
          <w:szCs w:val="22"/>
          <w:lang w:eastAsia="en-US"/>
        </w:rPr>
        <w:t xml:space="preserve">1,5 </w:t>
      </w:r>
      <w:r w:rsidR="00866229">
        <w:rPr>
          <w:rFonts w:eastAsia="Calibri"/>
          <w:snapToGrid w:val="0"/>
          <w:sz w:val="22"/>
          <w:szCs w:val="22"/>
          <w:lang w:eastAsia="en-US"/>
        </w:rPr>
        <w:t>mil. Kč</w:t>
      </w:r>
      <w:r w:rsidR="00765B21" w:rsidRPr="00DD5D95">
        <w:rPr>
          <w:rFonts w:eastAsia="Calibri"/>
          <w:snapToGrid w:val="0"/>
          <w:sz w:val="22"/>
          <w:szCs w:val="22"/>
          <w:lang w:eastAsia="en-US"/>
        </w:rPr>
        <w:t>.</w:t>
      </w:r>
    </w:p>
    <w:p w:rsidR="00765B21" w:rsidRPr="00DD5D95" w:rsidRDefault="00064768" w:rsidP="001A07A8">
      <w:pPr>
        <w:numPr>
          <w:ilvl w:val="0"/>
          <w:numId w:val="39"/>
        </w:numPr>
        <w:spacing w:before="240"/>
        <w:jc w:val="both"/>
        <w:rPr>
          <w:rFonts w:eastAsia="Calibri"/>
          <w:b/>
          <w:snapToGrid w:val="0"/>
          <w:sz w:val="22"/>
          <w:szCs w:val="22"/>
          <w:lang w:eastAsia="en-US"/>
        </w:rPr>
      </w:pPr>
      <w:r w:rsidRPr="00DD5D95">
        <w:rPr>
          <w:rFonts w:eastAsia="Calibri"/>
          <w:snapToGrid w:val="0"/>
          <w:sz w:val="22"/>
          <w:szCs w:val="22"/>
          <w:lang w:eastAsia="en-US"/>
        </w:rPr>
        <w:t xml:space="preserve">Administrací se rozumí </w:t>
      </w:r>
      <w:r w:rsidR="0080754C" w:rsidRPr="00DD5D95">
        <w:rPr>
          <w:rFonts w:eastAsia="Calibri"/>
          <w:snapToGrid w:val="0"/>
          <w:sz w:val="22"/>
          <w:szCs w:val="22"/>
          <w:lang w:eastAsia="en-US"/>
        </w:rPr>
        <w:t>zdokumentování</w:t>
      </w:r>
      <w:r w:rsidR="00805F99" w:rsidRPr="00DD5D95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DD5D95">
        <w:rPr>
          <w:rFonts w:eastAsia="Calibri"/>
          <w:snapToGrid w:val="0"/>
          <w:sz w:val="22"/>
          <w:szCs w:val="22"/>
          <w:lang w:eastAsia="en-US"/>
        </w:rPr>
        <w:t>celého průběhu zadávání veřejné zakázky</w:t>
      </w:r>
      <w:r w:rsidR="00C71385">
        <w:rPr>
          <w:rFonts w:eastAsia="Calibri"/>
          <w:snapToGrid w:val="0"/>
          <w:sz w:val="22"/>
          <w:szCs w:val="22"/>
          <w:lang w:eastAsia="en-US"/>
        </w:rPr>
        <w:t>,</w:t>
      </w:r>
      <w:r w:rsidR="00805F99" w:rsidRPr="00DD5D95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D87A27">
        <w:rPr>
          <w:rFonts w:eastAsia="Calibri"/>
          <w:snapToGrid w:val="0"/>
          <w:sz w:val="22"/>
          <w:szCs w:val="22"/>
          <w:lang w:eastAsia="en-US"/>
        </w:rPr>
        <w:t xml:space="preserve">tj. </w:t>
      </w:r>
      <w:r w:rsidR="0080754C" w:rsidRPr="00DD5D95">
        <w:rPr>
          <w:snapToGrid w:val="0"/>
          <w:sz w:val="22"/>
          <w:szCs w:val="22"/>
        </w:rPr>
        <w:t xml:space="preserve">provedení všech úkonů zadavatele a účastníků zadávacího řízení, vč. uchování dat a pořízení záznamů. </w:t>
      </w:r>
    </w:p>
    <w:p w:rsidR="00765B21" w:rsidRPr="002E1ACA" w:rsidRDefault="00765B21" w:rsidP="00924C0A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</w:p>
    <w:p w:rsidR="0080754C" w:rsidRPr="002E1ACA" w:rsidRDefault="0080754C" w:rsidP="00924C0A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</w:p>
    <w:p w:rsidR="007D584B" w:rsidRPr="00DA2BC8" w:rsidRDefault="00A94FB6" w:rsidP="0026457D">
      <w:pPr>
        <w:jc w:val="center"/>
        <w:rPr>
          <w:rFonts w:eastAsia="Calibri"/>
          <w:b/>
          <w:sz w:val="22"/>
          <w:szCs w:val="22"/>
        </w:rPr>
      </w:pPr>
      <w:bookmarkStart w:id="19" w:name="_Toc399911812"/>
      <w:bookmarkStart w:id="20" w:name="_Toc403400628"/>
      <w:bookmarkStart w:id="21" w:name="_Toc453761075"/>
      <w:r w:rsidRPr="00DA2BC8">
        <w:rPr>
          <w:rFonts w:eastAsia="Calibri"/>
          <w:b/>
          <w:sz w:val="22"/>
          <w:szCs w:val="22"/>
        </w:rPr>
        <w:t xml:space="preserve">Čl. </w:t>
      </w:r>
      <w:r w:rsidR="009B2F69" w:rsidRPr="00DA2BC8">
        <w:rPr>
          <w:rFonts w:eastAsia="Calibri"/>
          <w:b/>
          <w:sz w:val="22"/>
          <w:szCs w:val="22"/>
        </w:rPr>
        <w:t>V</w:t>
      </w:r>
      <w:bookmarkEnd w:id="19"/>
      <w:bookmarkEnd w:id="20"/>
      <w:bookmarkEnd w:id="21"/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BD3114" w:rsidRDefault="00E5134E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22" w:name="_Toc210984951"/>
      <w:r>
        <w:rPr>
          <w:rFonts w:eastAsia="Calibri"/>
          <w:sz w:val="22"/>
          <w:szCs w:val="22"/>
        </w:rPr>
        <w:t>Příjem a otevírání nabídek</w:t>
      </w:r>
      <w:bookmarkEnd w:id="22"/>
    </w:p>
    <w:p w:rsidR="005E11DC" w:rsidRDefault="00FB1ED5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FB1ED5">
        <w:rPr>
          <w:rFonts w:eastAsia="Calibri"/>
          <w:bCs/>
          <w:sz w:val="22"/>
          <w:szCs w:val="22"/>
          <w:lang w:eastAsia="en-US"/>
        </w:rPr>
        <w:t xml:space="preserve">Nabídky se podávají písemně, a to </w:t>
      </w:r>
      <w:r w:rsidR="004C72B3">
        <w:rPr>
          <w:rFonts w:eastAsia="Calibri"/>
          <w:bCs/>
          <w:sz w:val="22"/>
          <w:szCs w:val="22"/>
          <w:lang w:eastAsia="en-US"/>
        </w:rPr>
        <w:t xml:space="preserve">v </w:t>
      </w:r>
      <w:r w:rsidRPr="00FB1ED5">
        <w:rPr>
          <w:rFonts w:eastAsia="Calibri"/>
          <w:bCs/>
          <w:sz w:val="22"/>
          <w:szCs w:val="22"/>
          <w:lang w:eastAsia="en-US"/>
        </w:rPr>
        <w:t>elektronické podobě prostřednictvím zadavatelem stanoveného elektronického nástroje.</w:t>
      </w:r>
    </w:p>
    <w:p w:rsidR="007604AB" w:rsidRDefault="005E11DC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6C3A37">
        <w:rPr>
          <w:rFonts w:eastAsia="Calibri"/>
          <w:sz w:val="22"/>
          <w:szCs w:val="22"/>
          <w:lang w:eastAsia="en-US"/>
        </w:rPr>
        <w:t xml:space="preserve">Nabídky v elektronické podobě otevírají po uplynutí lhůty pro podání nabídek 2 zaměstnanci </w:t>
      </w:r>
      <w:r>
        <w:rPr>
          <w:rFonts w:eastAsia="Calibri"/>
          <w:sz w:val="22"/>
          <w:szCs w:val="22"/>
          <w:lang w:eastAsia="en-US"/>
        </w:rPr>
        <w:t>zadavatele</w:t>
      </w:r>
      <w:r w:rsidRPr="006C3A37">
        <w:rPr>
          <w:rFonts w:eastAsia="Calibri"/>
          <w:sz w:val="22"/>
          <w:szCs w:val="22"/>
          <w:lang w:eastAsia="en-US"/>
        </w:rPr>
        <w:t xml:space="preserve"> určen</w:t>
      </w:r>
      <w:r>
        <w:rPr>
          <w:rFonts w:eastAsia="Calibri"/>
          <w:sz w:val="22"/>
          <w:szCs w:val="22"/>
          <w:lang w:eastAsia="en-US"/>
        </w:rPr>
        <w:t>í</w:t>
      </w:r>
      <w:r w:rsidRPr="006C3A37">
        <w:rPr>
          <w:rFonts w:eastAsia="Calibri"/>
          <w:sz w:val="22"/>
          <w:szCs w:val="22"/>
          <w:lang w:eastAsia="en-US"/>
        </w:rPr>
        <w:t xml:space="preserve"> pověřeným zaměstnancem zadavatele. Otevřením nabídky v elektronické podobě se rozumí zpřístupnění jejího obsahu zadavateli. Zadavatel při otevírání nabídek v elektronické podobě</w:t>
      </w:r>
      <w:r w:rsidR="00D65B3A">
        <w:rPr>
          <w:rFonts w:eastAsia="Calibri"/>
          <w:sz w:val="22"/>
          <w:szCs w:val="22"/>
          <w:lang w:eastAsia="en-US"/>
        </w:rPr>
        <w:t xml:space="preserve"> kontroluje</w:t>
      </w:r>
      <w:r w:rsidRPr="006C3A37">
        <w:rPr>
          <w:rFonts w:eastAsia="Calibri"/>
          <w:sz w:val="22"/>
          <w:szCs w:val="22"/>
          <w:lang w:eastAsia="en-US"/>
        </w:rPr>
        <w:t xml:space="preserve">, zda nabídka byla doručena ve stanovené lhůtě, zda </w:t>
      </w:r>
      <w:r w:rsidR="00ED0290">
        <w:rPr>
          <w:rFonts w:eastAsia="Calibri"/>
          <w:sz w:val="22"/>
          <w:szCs w:val="22"/>
          <w:lang w:eastAsia="en-US"/>
        </w:rPr>
        <w:t>s ní</w:t>
      </w:r>
      <w:r w:rsidRPr="006C3A37">
        <w:rPr>
          <w:rFonts w:eastAsia="Calibri"/>
          <w:sz w:val="22"/>
          <w:szCs w:val="22"/>
          <w:lang w:eastAsia="en-US"/>
        </w:rPr>
        <w:t xml:space="preserve"> nebylo před jejím otevřením manipulováno.</w:t>
      </w:r>
      <w:r w:rsidR="007604AB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FB1ED5" w:rsidRPr="007B3FA0" w:rsidRDefault="007604AB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58620F">
        <w:rPr>
          <w:rFonts w:eastAsia="Calibri"/>
          <w:snapToGrid w:val="0"/>
          <w:sz w:val="22"/>
          <w:szCs w:val="22"/>
          <w:lang w:eastAsia="en-US"/>
        </w:rPr>
        <w:t>V </w:t>
      </w:r>
      <w:r w:rsidRPr="007B3FA0">
        <w:rPr>
          <w:rFonts w:eastAsia="Calibri"/>
          <w:snapToGrid w:val="0"/>
          <w:sz w:val="22"/>
          <w:szCs w:val="22"/>
          <w:lang w:eastAsia="en-US"/>
        </w:rPr>
        <w:t>případě, že z</w:t>
      </w:r>
      <w:r w:rsidR="00F35789">
        <w:rPr>
          <w:rFonts w:eastAsia="Calibri"/>
          <w:snapToGrid w:val="0"/>
          <w:sz w:val="22"/>
          <w:szCs w:val="22"/>
          <w:lang w:eastAsia="en-US"/>
        </w:rPr>
        <w:t> </w:t>
      </w:r>
      <w:r w:rsidRPr="007B3FA0">
        <w:rPr>
          <w:rFonts w:eastAsia="Calibri"/>
          <w:snapToGrid w:val="0"/>
          <w:sz w:val="22"/>
          <w:szCs w:val="22"/>
          <w:lang w:eastAsia="en-US"/>
        </w:rPr>
        <w:t>technického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 hlediska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nebo 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z vážných </w:t>
      </w:r>
      <w:r w:rsidRPr="007B3FA0">
        <w:rPr>
          <w:rFonts w:eastAsia="Calibri"/>
          <w:snapToGrid w:val="0"/>
          <w:sz w:val="22"/>
          <w:szCs w:val="22"/>
          <w:lang w:eastAsia="en-US"/>
        </w:rPr>
        <w:t>provozní</w:t>
      </w:r>
      <w:r w:rsidR="00F35789">
        <w:rPr>
          <w:rFonts w:eastAsia="Calibri"/>
          <w:snapToGrid w:val="0"/>
          <w:sz w:val="22"/>
          <w:szCs w:val="22"/>
          <w:lang w:eastAsia="en-US"/>
        </w:rPr>
        <w:t>c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h </w:t>
      </w:r>
      <w:r w:rsidR="00F35789">
        <w:rPr>
          <w:rFonts w:eastAsia="Calibri"/>
          <w:snapToGrid w:val="0"/>
          <w:sz w:val="22"/>
          <w:szCs w:val="22"/>
          <w:lang w:eastAsia="en-US"/>
        </w:rPr>
        <w:t>důvodů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bude pro zadavatele efektivnější přijmout nabídky v listinné formě, řídí se proces přijímání nabídek odst. </w:t>
      </w:r>
      <w:r w:rsidR="005E11DC">
        <w:rPr>
          <w:rFonts w:eastAsia="Calibri"/>
          <w:snapToGrid w:val="0"/>
          <w:sz w:val="22"/>
          <w:szCs w:val="22"/>
          <w:lang w:eastAsia="en-US"/>
        </w:rPr>
        <w:t>4</w:t>
      </w:r>
      <w:r w:rsidR="005E11DC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až </w:t>
      </w:r>
      <w:r w:rsidR="005E11DC">
        <w:rPr>
          <w:rFonts w:eastAsia="Calibri"/>
          <w:snapToGrid w:val="0"/>
          <w:sz w:val="22"/>
          <w:szCs w:val="22"/>
          <w:lang w:eastAsia="en-US"/>
        </w:rPr>
        <w:t>8</w:t>
      </w:r>
      <w:r w:rsidR="005E11DC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>tohoto článku.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042878">
        <w:rPr>
          <w:rFonts w:eastAsia="Calibri"/>
          <w:snapToGrid w:val="0"/>
          <w:sz w:val="22"/>
          <w:szCs w:val="22"/>
          <w:lang w:eastAsia="en-US"/>
        </w:rPr>
        <w:t>U</w:t>
      </w:r>
      <w:r w:rsidR="00E75D7F">
        <w:rPr>
          <w:rFonts w:eastAsia="Calibri"/>
          <w:snapToGrid w:val="0"/>
          <w:sz w:val="22"/>
          <w:szCs w:val="22"/>
          <w:lang w:eastAsia="en-US"/>
        </w:rPr>
        <w:t> </w:t>
      </w:r>
      <w:r w:rsidR="00042878">
        <w:rPr>
          <w:rFonts w:eastAsia="Calibri"/>
          <w:snapToGrid w:val="0"/>
          <w:sz w:val="22"/>
          <w:szCs w:val="22"/>
          <w:lang w:eastAsia="en-US"/>
        </w:rPr>
        <w:t>podlimitních a nadlimitních veřejných zakázek lze přijímat nabídky v listinné formě pouze za podmínek stanovených zákonem</w:t>
      </w:r>
      <w:r w:rsidR="00042878"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5"/>
      </w:r>
      <w:r w:rsidR="00042878">
        <w:rPr>
          <w:rFonts w:eastAsia="Calibri"/>
          <w:snapToGrid w:val="0"/>
          <w:sz w:val="22"/>
          <w:szCs w:val="22"/>
          <w:lang w:eastAsia="en-US"/>
        </w:rPr>
        <w:t xml:space="preserve">. </w:t>
      </w:r>
      <w:r w:rsidR="00F35789">
        <w:rPr>
          <w:rFonts w:eastAsia="Calibri"/>
          <w:snapToGrid w:val="0"/>
          <w:sz w:val="22"/>
          <w:szCs w:val="22"/>
          <w:lang w:eastAsia="en-US"/>
        </w:rPr>
        <w:t>Pro předložení vzorků či modelů, které nemohou být doručeny prostřednictvím elektronického nástroje</w:t>
      </w:r>
      <w:r w:rsidR="007E6FA0">
        <w:rPr>
          <w:rFonts w:eastAsia="Calibri"/>
          <w:snapToGrid w:val="0"/>
          <w:sz w:val="22"/>
          <w:szCs w:val="22"/>
          <w:lang w:eastAsia="en-US"/>
        </w:rPr>
        <w:t>,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 se odstavce </w:t>
      </w:r>
      <w:r w:rsidR="005E11DC">
        <w:rPr>
          <w:rFonts w:eastAsia="Calibri"/>
          <w:snapToGrid w:val="0"/>
          <w:sz w:val="22"/>
          <w:szCs w:val="22"/>
          <w:lang w:eastAsia="en-US"/>
        </w:rPr>
        <w:t>4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 až </w:t>
      </w:r>
      <w:r w:rsidR="005E11DC">
        <w:rPr>
          <w:rFonts w:eastAsia="Calibri"/>
          <w:snapToGrid w:val="0"/>
          <w:sz w:val="22"/>
          <w:szCs w:val="22"/>
          <w:lang w:eastAsia="en-US"/>
        </w:rPr>
        <w:t>8</w:t>
      </w:r>
      <w:r w:rsidR="00F35789">
        <w:rPr>
          <w:rFonts w:eastAsia="Calibri"/>
          <w:snapToGrid w:val="0"/>
          <w:sz w:val="22"/>
          <w:szCs w:val="22"/>
          <w:lang w:eastAsia="en-US"/>
        </w:rPr>
        <w:t xml:space="preserve"> použijí obdobně. </w:t>
      </w:r>
    </w:p>
    <w:p w:rsidR="00F27E58" w:rsidRPr="007B3FA0" w:rsidRDefault="00F27E58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Za rozhodující místo pro doručení nabídky </w:t>
      </w:r>
      <w:r w:rsidR="00FD4C64" w:rsidRPr="007B3FA0">
        <w:rPr>
          <w:rFonts w:eastAsia="Calibri"/>
          <w:snapToGrid w:val="0"/>
          <w:sz w:val="22"/>
          <w:szCs w:val="22"/>
          <w:lang w:eastAsia="en-US"/>
        </w:rPr>
        <w:t xml:space="preserve">v listinné podobě 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u veřejných zakázek, jejichž 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>vyhlášení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zajišťuje úřad, se považuje podatelna úřadu. Pověřený zaměstnanec zadavatele uvědomí o zahájení</w:t>
      </w:r>
      <w:r w:rsidR="00D73E84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>veřejné zakázky písemně podatelnu úřadu s uvedením názvu veřejné zakázky, přesného data a hodiny ukončení lhůty pro podání nabídek.</w:t>
      </w:r>
    </w:p>
    <w:p w:rsidR="00F27E58" w:rsidRPr="007B3FA0" w:rsidRDefault="00F27E58" w:rsidP="001A07A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lastRenderedPageBreak/>
        <w:t xml:space="preserve">Obálku s nabídkou dle odst. </w:t>
      </w:r>
      <w:r w:rsidR="005E11DC">
        <w:rPr>
          <w:rFonts w:eastAsia="Calibri"/>
          <w:snapToGrid w:val="0"/>
          <w:sz w:val="22"/>
          <w:szCs w:val="22"/>
          <w:lang w:eastAsia="en-US"/>
        </w:rPr>
        <w:t>3</w:t>
      </w:r>
      <w:r w:rsidR="005E11DC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>tohoto článku řádně označenou heslem "Veřejná zakázka – název zakázky – Neotevírat, nabídka“ podatelna neotevře, označí nabídku pořadovým číslem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 xml:space="preserve"> a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přesným časem doručen</w:t>
      </w:r>
      <w:r w:rsidR="00815D8B" w:rsidRPr="007B3FA0">
        <w:rPr>
          <w:rFonts w:eastAsia="Calibri"/>
          <w:snapToGrid w:val="0"/>
          <w:sz w:val="22"/>
          <w:szCs w:val="22"/>
          <w:lang w:eastAsia="en-US"/>
        </w:rPr>
        <w:t>í a otiskem podacího razítka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>.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>P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oté nabídku 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 xml:space="preserve">podatelna </w:t>
      </w:r>
      <w:r w:rsidRPr="007B3FA0">
        <w:rPr>
          <w:rFonts w:eastAsia="Calibri"/>
          <w:snapToGrid w:val="0"/>
          <w:sz w:val="22"/>
          <w:szCs w:val="22"/>
          <w:lang w:eastAsia="en-US"/>
        </w:rPr>
        <w:t>zapíše do evidenčního archu podaných nabídek s uvedením údajů dle předchozí věty</w:t>
      </w:r>
      <w:r w:rsidR="00D73E84" w:rsidRPr="007B3FA0">
        <w:rPr>
          <w:rFonts w:eastAsia="Calibri"/>
          <w:snapToGrid w:val="0"/>
          <w:sz w:val="22"/>
          <w:szCs w:val="22"/>
          <w:lang w:eastAsia="en-US"/>
        </w:rPr>
        <w:t>,</w:t>
      </w:r>
      <w:r w:rsidR="00BC54A6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>s uvedení</w:t>
      </w:r>
      <w:r w:rsidR="00D73E84" w:rsidRPr="007B3FA0">
        <w:rPr>
          <w:rFonts w:eastAsia="Calibri"/>
          <w:snapToGrid w:val="0"/>
          <w:sz w:val="22"/>
          <w:szCs w:val="22"/>
          <w:lang w:eastAsia="en-US"/>
        </w:rPr>
        <w:t>m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způsobu doručení</w:t>
      </w:r>
      <w:r w:rsidR="00815D8B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a identifikací odesílatele. </w:t>
      </w:r>
    </w:p>
    <w:p w:rsidR="00F27E58" w:rsidRPr="007B3FA0" w:rsidRDefault="00F27E58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Nabídky doručované osobně přijímá podatelna shodným způsobem, jak je uvedeno v odst. </w:t>
      </w:r>
      <w:r w:rsidR="005E11DC">
        <w:rPr>
          <w:rFonts w:eastAsia="Calibri"/>
          <w:snapToGrid w:val="0"/>
          <w:sz w:val="22"/>
          <w:szCs w:val="22"/>
          <w:lang w:eastAsia="en-US"/>
        </w:rPr>
        <w:t>4</w:t>
      </w:r>
      <w:r w:rsidR="005E11DC" w:rsidRPr="007B3FA0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446DD8" w:rsidRPr="007B3FA0">
        <w:rPr>
          <w:rFonts w:eastAsia="Calibri"/>
          <w:snapToGrid w:val="0"/>
          <w:sz w:val="22"/>
          <w:szCs w:val="22"/>
          <w:lang w:eastAsia="en-US"/>
        </w:rPr>
        <w:t xml:space="preserve">a </w:t>
      </w:r>
      <w:r w:rsidR="005E11DC">
        <w:rPr>
          <w:rFonts w:eastAsia="Calibri"/>
          <w:snapToGrid w:val="0"/>
          <w:sz w:val="22"/>
          <w:szCs w:val="22"/>
          <w:lang w:eastAsia="en-US"/>
        </w:rPr>
        <w:t>5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tohoto článku. U osobně doručených nabídek vydá podatelna </w:t>
      </w:r>
      <w:r w:rsidR="00187C3A" w:rsidRPr="007B3FA0">
        <w:rPr>
          <w:rFonts w:eastAsia="Calibri"/>
          <w:snapToGrid w:val="0"/>
          <w:sz w:val="22"/>
          <w:szCs w:val="22"/>
          <w:lang w:eastAsia="en-US"/>
        </w:rPr>
        <w:t xml:space="preserve">na vyžádání 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potvrzení o přijetí nabídky. </w:t>
      </w:r>
    </w:p>
    <w:p w:rsidR="00F27E58" w:rsidRDefault="00F27E58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t>Pověřený zaměstnanec zadavatele organizačně zajistí na podatelně vyzvednutí nabídek</w:t>
      </w:r>
      <w:r w:rsidR="00FD4C64" w:rsidRPr="007B3FA0">
        <w:rPr>
          <w:rFonts w:eastAsia="Calibri"/>
          <w:snapToGrid w:val="0"/>
          <w:sz w:val="22"/>
          <w:szCs w:val="22"/>
          <w:lang w:eastAsia="en-US"/>
        </w:rPr>
        <w:t xml:space="preserve"> podaných v listinné podobě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před zahájením otevírání obálek. </w:t>
      </w:r>
    </w:p>
    <w:p w:rsidR="00315E47" w:rsidRPr="007B3FA0" w:rsidRDefault="00315E47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6C3A37">
        <w:rPr>
          <w:rFonts w:eastAsia="Calibri"/>
          <w:sz w:val="22"/>
          <w:szCs w:val="22"/>
          <w:lang w:eastAsia="en-US"/>
        </w:rPr>
        <w:t xml:space="preserve">Otevírání obálek s nabídkami v listinné podobě provádějí po uplynutí lhůty pro podání nabídek 2 zaměstnanci </w:t>
      </w:r>
      <w:r w:rsidR="005E11DC">
        <w:rPr>
          <w:rFonts w:eastAsia="Calibri"/>
          <w:sz w:val="22"/>
          <w:szCs w:val="22"/>
          <w:lang w:eastAsia="en-US"/>
        </w:rPr>
        <w:t>zadavatele</w:t>
      </w:r>
      <w:r w:rsidRPr="006C3A37">
        <w:rPr>
          <w:rFonts w:eastAsia="Calibri"/>
          <w:sz w:val="22"/>
          <w:szCs w:val="22"/>
          <w:lang w:eastAsia="en-US"/>
        </w:rPr>
        <w:t xml:space="preserve"> určen</w:t>
      </w:r>
      <w:r>
        <w:rPr>
          <w:rFonts w:eastAsia="Calibri"/>
          <w:sz w:val="22"/>
          <w:szCs w:val="22"/>
          <w:lang w:eastAsia="en-US"/>
        </w:rPr>
        <w:t>í</w:t>
      </w:r>
      <w:r w:rsidRPr="006C3A37">
        <w:rPr>
          <w:rFonts w:eastAsia="Calibri"/>
          <w:sz w:val="22"/>
          <w:szCs w:val="22"/>
          <w:lang w:eastAsia="en-US"/>
        </w:rPr>
        <w:t xml:space="preserve"> pověřeným zaměstnancem zadavatele a kontrolují, zda nabídky byly doručeny ve stanovené lhůtě a v řádně uzavřené obálce s názvem veřejné zakázky. </w:t>
      </w:r>
      <w:r w:rsidRPr="006C3A37">
        <w:rPr>
          <w:rFonts w:eastAsia="Calibri"/>
          <w:bCs/>
          <w:snapToGrid w:val="0"/>
          <w:sz w:val="22"/>
          <w:szCs w:val="22"/>
          <w:lang w:eastAsia="en-US"/>
        </w:rPr>
        <w:t>V případě listinných nabídek se otevírání obálek doporučuje realizovat za účasti zástupců účastníků zadávacího řízení</w:t>
      </w:r>
      <w:r w:rsidRPr="006C3A37">
        <w:rPr>
          <w:rFonts w:eastAsia="Calibri"/>
          <w:sz w:val="22"/>
          <w:szCs w:val="22"/>
          <w:lang w:eastAsia="en-US"/>
        </w:rPr>
        <w:t>; přítomným osobám se sdělí identifi</w:t>
      </w:r>
      <w:r w:rsidRPr="00B27C42">
        <w:rPr>
          <w:rFonts w:eastAsia="Calibri"/>
          <w:sz w:val="22"/>
          <w:szCs w:val="22"/>
          <w:lang w:eastAsia="en-US"/>
        </w:rPr>
        <w:t>kační údaje účastníků zadávacího řízení a údaje z nabídek odpovídající číselně vyjádřitelným kritériím hodnocení. To neplatí ve vztahu k údajům o nabídkové ceně nebo nákladech, pokud si zadavatel v zadávací dokumentaci vyhradil, že tyto údaje musí být uvedeny v samostatné obálce, která bude zadavatelem otevřena po vyhodnocení kritérií kvality; v takovém případě se na otevírání obálek s nabídkovou cenou nebo údaji o nákladech použijí pravidla pro otevírání obálek obdobně. O otevírání obálek s</w:t>
      </w:r>
      <w:r>
        <w:rPr>
          <w:rFonts w:eastAsia="Calibri"/>
          <w:sz w:val="22"/>
          <w:szCs w:val="22"/>
          <w:lang w:eastAsia="en-US"/>
        </w:rPr>
        <w:t> </w:t>
      </w:r>
      <w:r w:rsidRPr="00B27C42">
        <w:rPr>
          <w:rFonts w:eastAsia="Calibri"/>
          <w:sz w:val="22"/>
          <w:szCs w:val="22"/>
          <w:lang w:eastAsia="en-US"/>
        </w:rPr>
        <w:t>nabídkami zajistí pověřený zaměstnanec zadavatele písemný protokol.</w:t>
      </w:r>
    </w:p>
    <w:p w:rsidR="00F27E58" w:rsidRPr="00BD3114" w:rsidRDefault="00F27E58" w:rsidP="001A07A8">
      <w:pPr>
        <w:widowControl w:val="0"/>
        <w:numPr>
          <w:ilvl w:val="0"/>
          <w:numId w:val="40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B3FA0">
        <w:rPr>
          <w:rFonts w:eastAsia="Calibri"/>
          <w:snapToGrid w:val="0"/>
          <w:sz w:val="22"/>
          <w:szCs w:val="22"/>
          <w:lang w:eastAsia="en-US"/>
        </w:rPr>
        <w:t>Příjem nabídek</w:t>
      </w:r>
      <w:r w:rsidR="005E11DC">
        <w:rPr>
          <w:rFonts w:eastAsia="Calibri"/>
          <w:snapToGrid w:val="0"/>
          <w:sz w:val="22"/>
          <w:szCs w:val="22"/>
          <w:lang w:eastAsia="en-US"/>
        </w:rPr>
        <w:t xml:space="preserve"> v listinné podobě</w:t>
      </w:r>
      <w:r w:rsidRPr="007B3FA0">
        <w:rPr>
          <w:rFonts w:eastAsia="Calibri"/>
          <w:snapToGrid w:val="0"/>
          <w:sz w:val="22"/>
          <w:szCs w:val="22"/>
          <w:lang w:eastAsia="en-US"/>
        </w:rPr>
        <w:t xml:space="preserve"> u veřejných zakázek zadávaných příspěvkovou organizací zajistí pověřený zaměstnanec</w:t>
      </w:r>
      <w:r w:rsidRPr="00BD3114">
        <w:rPr>
          <w:rFonts w:eastAsia="Calibri"/>
          <w:snapToGrid w:val="0"/>
          <w:sz w:val="22"/>
          <w:szCs w:val="22"/>
          <w:lang w:eastAsia="en-US"/>
        </w:rPr>
        <w:t xml:space="preserve"> zadavatele v místě sídla této organizace obdobně, jak je popsáno v odst. </w:t>
      </w:r>
      <w:r w:rsidR="005E11DC">
        <w:rPr>
          <w:rFonts w:eastAsia="Calibri"/>
          <w:snapToGrid w:val="0"/>
          <w:sz w:val="22"/>
          <w:szCs w:val="22"/>
          <w:lang w:eastAsia="en-US"/>
        </w:rPr>
        <w:t>4</w:t>
      </w:r>
      <w:r w:rsidR="005E11DC" w:rsidRPr="00BD3114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BD3114">
        <w:rPr>
          <w:rFonts w:eastAsia="Calibri"/>
          <w:snapToGrid w:val="0"/>
          <w:sz w:val="22"/>
          <w:szCs w:val="22"/>
          <w:lang w:eastAsia="en-US"/>
        </w:rPr>
        <w:t xml:space="preserve">až </w:t>
      </w:r>
      <w:r w:rsidR="005E11DC">
        <w:rPr>
          <w:rFonts w:eastAsia="Calibri"/>
          <w:snapToGrid w:val="0"/>
          <w:sz w:val="22"/>
          <w:szCs w:val="22"/>
          <w:lang w:eastAsia="en-US"/>
        </w:rPr>
        <w:t>8</w:t>
      </w:r>
      <w:r w:rsidR="00315E47" w:rsidRPr="00BD3114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Pr="00BD3114">
        <w:rPr>
          <w:rFonts w:eastAsia="Calibri"/>
          <w:snapToGrid w:val="0"/>
          <w:sz w:val="22"/>
          <w:szCs w:val="22"/>
          <w:lang w:eastAsia="en-US"/>
        </w:rPr>
        <w:t>tohoto článku.</w:t>
      </w:r>
    </w:p>
    <w:p w:rsidR="008C1F7A" w:rsidRDefault="008C1F7A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7B3FA0" w:rsidRPr="00924C0A" w:rsidRDefault="007B3FA0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23" w:name="_Toc399911814"/>
      <w:bookmarkStart w:id="24" w:name="_Toc403400630"/>
      <w:bookmarkStart w:id="25" w:name="_Toc453761077"/>
      <w:r w:rsidRPr="00DA2BC8">
        <w:rPr>
          <w:rFonts w:eastAsia="Calibri"/>
          <w:b/>
          <w:sz w:val="22"/>
          <w:szCs w:val="22"/>
        </w:rPr>
        <w:t>Čl. V</w:t>
      </w:r>
      <w:r w:rsidR="00A94FB6" w:rsidRPr="00DA2BC8">
        <w:rPr>
          <w:rFonts w:eastAsia="Calibri"/>
          <w:b/>
          <w:sz w:val="22"/>
          <w:szCs w:val="22"/>
        </w:rPr>
        <w:t>I</w:t>
      </w:r>
      <w:bookmarkEnd w:id="23"/>
      <w:bookmarkEnd w:id="24"/>
      <w:bookmarkEnd w:id="25"/>
      <w:r w:rsidR="00D65B3A" w:rsidRPr="00DA2BC8">
        <w:rPr>
          <w:rFonts w:eastAsia="Calibri"/>
          <w:b/>
          <w:sz w:val="22"/>
          <w:szCs w:val="22"/>
        </w:rPr>
        <w:t>.</w:t>
      </w:r>
    </w:p>
    <w:p w:rsidR="00806D8E" w:rsidRPr="004F6288" w:rsidRDefault="007C3CDA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26" w:name="_Toc210984952"/>
      <w:r w:rsidRPr="004F6288">
        <w:rPr>
          <w:rFonts w:eastAsia="Calibri"/>
          <w:sz w:val="22"/>
          <w:szCs w:val="22"/>
        </w:rPr>
        <w:t>Předpokládaná hodnota veřejné zakázky</w:t>
      </w:r>
      <w:bookmarkEnd w:id="26"/>
    </w:p>
    <w:p w:rsidR="0066363E" w:rsidRPr="0030657A" w:rsidRDefault="0066363E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4F6288">
        <w:rPr>
          <w:rFonts w:eastAsia="Calibri"/>
          <w:sz w:val="22"/>
          <w:szCs w:val="22"/>
          <w:lang w:eastAsia="en-US"/>
        </w:rPr>
        <w:t xml:space="preserve">Předpokládanou hodnotou veřejné zakázky je zadavatelem předpokládaná výše úplaty za plnění veřejné zakázky vyjádřená v penězích. </w:t>
      </w:r>
      <w:r w:rsidRPr="0030657A">
        <w:rPr>
          <w:rFonts w:eastAsia="Calibri"/>
          <w:sz w:val="22"/>
          <w:szCs w:val="22"/>
          <w:lang w:eastAsia="en-US"/>
        </w:rPr>
        <w:t xml:space="preserve">Do předpokládané hodnoty veřejné zakázky se nezahrnuje </w:t>
      </w:r>
      <w:r w:rsidR="003C373F">
        <w:rPr>
          <w:rFonts w:eastAsia="Calibri"/>
          <w:sz w:val="22"/>
          <w:szCs w:val="22"/>
          <w:lang w:eastAsia="en-US"/>
        </w:rPr>
        <w:t>daň z přidané hodnoty (dále jen „</w:t>
      </w:r>
      <w:r w:rsidR="006655B1" w:rsidRPr="0030657A">
        <w:rPr>
          <w:rFonts w:eastAsia="Calibri"/>
          <w:sz w:val="22"/>
          <w:szCs w:val="22"/>
          <w:lang w:eastAsia="en-US"/>
        </w:rPr>
        <w:t>DPH</w:t>
      </w:r>
      <w:r w:rsidR="003C373F">
        <w:rPr>
          <w:rFonts w:eastAsia="Calibri"/>
          <w:sz w:val="22"/>
          <w:szCs w:val="22"/>
          <w:lang w:eastAsia="en-US"/>
        </w:rPr>
        <w:t>“)</w:t>
      </w:r>
      <w:r w:rsidR="006655B1" w:rsidRPr="0030657A">
        <w:rPr>
          <w:rFonts w:eastAsia="Calibri"/>
          <w:sz w:val="22"/>
          <w:szCs w:val="22"/>
          <w:lang w:eastAsia="en-US"/>
        </w:rPr>
        <w:t>.</w:t>
      </w:r>
    </w:p>
    <w:p w:rsidR="005D10D7" w:rsidRDefault="0034798B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34798B">
        <w:rPr>
          <w:rFonts w:eastAsia="Calibri"/>
          <w:sz w:val="22"/>
          <w:szCs w:val="22"/>
          <w:lang w:eastAsia="en-US"/>
        </w:rPr>
        <w:t>Je-li veřejná zakázka rozdělena na části, stanoví se předpokládaná hodnota podle součtu předpokládaných hodnot všech těchto částí bez ohledu na to, zda je veřejná zakázka zadávána v jednom nebo více zadávacích řízeních</w:t>
      </w:r>
      <w:r>
        <w:rPr>
          <w:rFonts w:eastAsia="Calibri"/>
          <w:sz w:val="22"/>
          <w:szCs w:val="22"/>
          <w:lang w:eastAsia="en-US"/>
        </w:rPr>
        <w:t>.</w:t>
      </w:r>
    </w:p>
    <w:p w:rsidR="005D10D7" w:rsidRPr="005D10D7" w:rsidRDefault="005D10D7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Předpokládaná hodnota veřejné zakázky, jejímž předmětem jsou pravidelně pořizované nebo trvající dodávky nebo služby, se stanoví jako</w:t>
      </w:r>
    </w:p>
    <w:p w:rsidR="005D10D7" w:rsidRPr="005D10D7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skutečná cena uhrazená zadavatelem za dodávky nebo služby stejného druhu během předcházejících 12 měsíců nebo předchozího účetního období, které je delší než 12 měsíců, upravená o změny v</w:t>
      </w:r>
      <w:r w:rsidR="00DC2CF9">
        <w:rPr>
          <w:rFonts w:eastAsia="Calibri"/>
          <w:sz w:val="22"/>
          <w:szCs w:val="22"/>
          <w:lang w:eastAsia="en-US"/>
        </w:rPr>
        <w:t> </w:t>
      </w:r>
      <w:r w:rsidRPr="005D10D7">
        <w:rPr>
          <w:rFonts w:eastAsia="Calibri"/>
          <w:sz w:val="22"/>
          <w:szCs w:val="22"/>
          <w:lang w:eastAsia="en-US"/>
        </w:rPr>
        <w:t>množství nebo cenách, které lze očekávat během následujících 12 měsíců, nebo</w:t>
      </w:r>
    </w:p>
    <w:p w:rsidR="005D10D7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součet předpokládaných hodnot jednotlivých dodávek a služeb, které mají být zadavatelem zadány během následujících 12 měsíců nebo v účetním období, které je delší než 12 měsíců, pokud nemá k</w:t>
      </w:r>
      <w:r w:rsidR="00DC2CF9">
        <w:rPr>
          <w:rFonts w:eastAsia="Calibri"/>
          <w:sz w:val="22"/>
          <w:szCs w:val="22"/>
          <w:lang w:eastAsia="en-US"/>
        </w:rPr>
        <w:t> </w:t>
      </w:r>
      <w:r w:rsidRPr="005D10D7">
        <w:rPr>
          <w:rFonts w:eastAsia="Calibri"/>
          <w:sz w:val="22"/>
          <w:szCs w:val="22"/>
          <w:lang w:eastAsia="en-US"/>
        </w:rPr>
        <w:t>dispozici údaje podle písmene a).</w:t>
      </w:r>
    </w:p>
    <w:p w:rsidR="00D346CA" w:rsidRDefault="005D10D7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 xml:space="preserve">Za veřejné zakázky podle odstavce </w:t>
      </w:r>
      <w:r w:rsidR="00CD1802">
        <w:rPr>
          <w:rFonts w:eastAsia="Calibri"/>
          <w:sz w:val="22"/>
          <w:szCs w:val="22"/>
          <w:lang w:eastAsia="en-US"/>
        </w:rPr>
        <w:t>3</w:t>
      </w:r>
      <w:r w:rsidRPr="005D10D7">
        <w:rPr>
          <w:rFonts w:eastAsia="Calibri"/>
          <w:sz w:val="22"/>
          <w:szCs w:val="22"/>
          <w:lang w:eastAsia="en-US"/>
        </w:rPr>
        <w:t xml:space="preserve"> se nepovažují veřejné zakázky s takovým předmětem, jehož jednotková cena je v průběhu účetního období proměnlivá a zadavatel pořizuje takové dodávky či služby opakovaně podle svých aktuálních potřeb</w:t>
      </w:r>
      <w:r w:rsidR="00CE4E21">
        <w:rPr>
          <w:rFonts w:eastAsia="Calibri"/>
          <w:sz w:val="22"/>
          <w:szCs w:val="22"/>
          <w:lang w:eastAsia="en-US"/>
        </w:rPr>
        <w:t xml:space="preserve"> a jejichž předpokládaná hodnota určená postupem podle odstavce 3</w:t>
      </w:r>
      <w:r w:rsidR="00AC377C">
        <w:rPr>
          <w:rFonts w:eastAsia="Calibri"/>
          <w:sz w:val="22"/>
          <w:szCs w:val="22"/>
          <w:lang w:eastAsia="en-US"/>
        </w:rPr>
        <w:t xml:space="preserve"> nedosahuje limitu pro nadlimitní veřejné zakázky.</w:t>
      </w:r>
    </w:p>
    <w:p w:rsidR="005D10D7" w:rsidRPr="005D10D7" w:rsidRDefault="005D10D7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Pro stanovení předpokládané hodnoty veřejné zakázky na dodávky je rozhodná u smlouvy na dobu</w:t>
      </w:r>
    </w:p>
    <w:p w:rsidR="005D10D7" w:rsidRPr="005D10D7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určitou předpokládaná výše úplaty za celou dobu trvání smlouvy,</w:t>
      </w:r>
    </w:p>
    <w:p w:rsidR="005D10D7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neurčitou nebo jejíž trvání nelze přesně vymezit předpokládaná výše úplaty za 48 měsíců.</w:t>
      </w:r>
    </w:p>
    <w:p w:rsidR="005D10D7" w:rsidRPr="005D10D7" w:rsidRDefault="005D10D7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lastRenderedPageBreak/>
        <w:t xml:space="preserve">Pro stanovení předpokládané hodnoty veřejné zakázky na služby, u které se nestanoví celková smluvní cena, je rozhodná předpokládaná výše úplaty </w:t>
      </w:r>
    </w:p>
    <w:p w:rsidR="005D10D7" w:rsidRPr="005D10D7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5D10D7">
        <w:rPr>
          <w:rFonts w:eastAsia="Calibri"/>
          <w:sz w:val="22"/>
          <w:szCs w:val="22"/>
          <w:lang w:eastAsia="en-US"/>
        </w:rPr>
        <w:t>za celou dobu trvání smlouvy, je-li doba trvání smlouvy rovna 48 měsíců nebo kratší,</w:t>
      </w:r>
    </w:p>
    <w:p w:rsidR="005D10D7" w:rsidRPr="007B3FA0" w:rsidRDefault="005D10D7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 w:rsidRPr="007B3FA0">
        <w:rPr>
          <w:rFonts w:eastAsia="Calibri"/>
          <w:sz w:val="22"/>
          <w:szCs w:val="22"/>
          <w:lang w:eastAsia="en-US"/>
        </w:rPr>
        <w:t>za 48 měsíců u smlouvy na dobu neurčitou, nebo smlouvy s dobou trvání delší než 48 měsíců.</w:t>
      </w:r>
      <w:r w:rsidR="00B61865" w:rsidRPr="007B3FA0">
        <w:rPr>
          <w:rFonts w:eastAsia="Calibri"/>
          <w:sz w:val="22"/>
          <w:szCs w:val="22"/>
          <w:lang w:eastAsia="en-US"/>
        </w:rPr>
        <w:t xml:space="preserve"> </w:t>
      </w:r>
    </w:p>
    <w:p w:rsidR="00B61865" w:rsidRDefault="00B61865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7B3FA0">
        <w:rPr>
          <w:rFonts w:eastAsia="Calibri"/>
          <w:sz w:val="22"/>
          <w:szCs w:val="22"/>
          <w:lang w:eastAsia="en-US"/>
        </w:rPr>
        <w:t xml:space="preserve">Pověřený zaměstnanec zadavatele je povinen sledovat, zda ve smyslu zákona existují obdobné, </w:t>
      </w:r>
      <w:r w:rsidR="00ED0290">
        <w:rPr>
          <w:rFonts w:eastAsia="Calibri"/>
          <w:sz w:val="22"/>
          <w:szCs w:val="22"/>
          <w:lang w:eastAsia="en-US"/>
        </w:rPr>
        <w:t>pravidelně zadávané</w:t>
      </w:r>
      <w:r w:rsidRPr="007B3FA0">
        <w:rPr>
          <w:rFonts w:eastAsia="Calibri"/>
          <w:sz w:val="22"/>
          <w:szCs w:val="22"/>
          <w:lang w:eastAsia="en-US"/>
        </w:rPr>
        <w:t xml:space="preserve"> veřejné zakázky na dodávky či služby, které hodlá zadavatel pořídit. V případě, že zjistí, že takové veřejné zakázky zadavatele existují, je povinen </w:t>
      </w:r>
      <w:r w:rsidR="00B9264C">
        <w:rPr>
          <w:rFonts w:eastAsia="Calibri"/>
          <w:sz w:val="22"/>
          <w:szCs w:val="22"/>
          <w:lang w:eastAsia="en-US"/>
        </w:rPr>
        <w:t>stanovit předpokládanou hodnotu v souladu s odst. 3 tohoto článku</w:t>
      </w:r>
      <w:r w:rsidRPr="007B3FA0">
        <w:rPr>
          <w:rFonts w:eastAsia="Calibri"/>
          <w:sz w:val="22"/>
          <w:szCs w:val="22"/>
          <w:lang w:eastAsia="en-US"/>
        </w:rPr>
        <w:t xml:space="preserve"> a postupovat při zadání veřejné zakázky dle </w:t>
      </w:r>
      <w:r w:rsidR="00383E9C" w:rsidRPr="007B3FA0">
        <w:rPr>
          <w:rFonts w:eastAsia="Calibri"/>
          <w:sz w:val="22"/>
          <w:szCs w:val="22"/>
          <w:lang w:eastAsia="en-US"/>
        </w:rPr>
        <w:t xml:space="preserve">režimu </w:t>
      </w:r>
      <w:r w:rsidRPr="007B3FA0">
        <w:rPr>
          <w:rFonts w:eastAsia="Calibri"/>
          <w:sz w:val="22"/>
          <w:szCs w:val="22"/>
          <w:lang w:eastAsia="en-US"/>
        </w:rPr>
        <w:t xml:space="preserve">zákona, jež odpovídá takto stanovené předpokládané hodnotě veřejné zakázky. </w:t>
      </w:r>
    </w:p>
    <w:p w:rsidR="00493289" w:rsidRDefault="00493289" w:rsidP="00EF7495">
      <w:pPr>
        <w:numPr>
          <w:ilvl w:val="0"/>
          <w:numId w:val="27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Podle předpokládané hodnoty rozlišujeme veřejné zakázky </w:t>
      </w:r>
    </w:p>
    <w:p w:rsidR="003A1ACF" w:rsidRDefault="003A1ACF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malého rozsahu – předpokládaná hodnota je rovna nebo nižší než </w:t>
      </w:r>
      <w:r w:rsidR="00B9264C">
        <w:rPr>
          <w:rFonts w:eastAsia="Calibri"/>
          <w:sz w:val="22"/>
          <w:szCs w:val="22"/>
          <w:lang w:eastAsia="en-US"/>
        </w:rPr>
        <w:t>3</w:t>
      </w:r>
      <w:r w:rsidR="00B55F0B">
        <w:rPr>
          <w:rFonts w:eastAsia="Calibri"/>
          <w:sz w:val="22"/>
          <w:szCs w:val="22"/>
          <w:lang w:eastAsia="en-US"/>
        </w:rPr>
        <w:t xml:space="preserve"> mil.</w:t>
      </w:r>
      <w:r>
        <w:rPr>
          <w:rFonts w:eastAsia="Calibri"/>
          <w:sz w:val="22"/>
          <w:szCs w:val="22"/>
          <w:lang w:eastAsia="en-US"/>
        </w:rPr>
        <w:t xml:space="preserve"> Kč u veřejných zakázek na dodávky a služby nebo </w:t>
      </w:r>
      <w:r w:rsidR="00B9264C">
        <w:rPr>
          <w:rFonts w:eastAsia="Calibri"/>
          <w:sz w:val="22"/>
          <w:szCs w:val="22"/>
          <w:lang w:eastAsia="en-US"/>
        </w:rPr>
        <w:t>9</w:t>
      </w:r>
      <w:r w:rsidR="00B55F0B">
        <w:rPr>
          <w:rFonts w:eastAsia="Calibri"/>
          <w:sz w:val="22"/>
          <w:szCs w:val="22"/>
          <w:lang w:eastAsia="en-US"/>
        </w:rPr>
        <w:t xml:space="preserve"> mil.</w:t>
      </w:r>
      <w:r>
        <w:rPr>
          <w:rFonts w:eastAsia="Calibri"/>
          <w:sz w:val="22"/>
          <w:szCs w:val="22"/>
          <w:lang w:eastAsia="en-US"/>
        </w:rPr>
        <w:t xml:space="preserve"> Kč u veřejných zakázek na stavební práce;</w:t>
      </w:r>
    </w:p>
    <w:p w:rsidR="003A1ACF" w:rsidRDefault="003A1ACF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podlimitní</w:t>
      </w:r>
      <w:r w:rsidR="00D6511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- předpokládaná hodnota je vyšší než finanční limit pro veřejné zakázky malého rozsahu, ale nedosahuje finančního limitu pro nadlimitní zakázky;</w:t>
      </w:r>
    </w:p>
    <w:p w:rsidR="00754A66" w:rsidRPr="003A1ACF" w:rsidRDefault="003A1ACF" w:rsidP="00EF7495">
      <w:pPr>
        <w:numPr>
          <w:ilvl w:val="1"/>
          <w:numId w:val="27"/>
        </w:numPr>
        <w:spacing w:before="12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nadlimitní – předpokládaná hodnota je rovna nebo vyšší než finanční limit stanovený nařízením vlády</w:t>
      </w:r>
      <w:r>
        <w:rPr>
          <w:rStyle w:val="Znakapoznpodarou"/>
          <w:rFonts w:eastAsia="Calibri"/>
          <w:sz w:val="22"/>
          <w:szCs w:val="22"/>
          <w:lang w:eastAsia="en-US"/>
        </w:rPr>
        <w:footnoteReference w:id="6"/>
      </w:r>
      <w:r>
        <w:rPr>
          <w:rFonts w:eastAsia="Calibri"/>
          <w:sz w:val="22"/>
          <w:szCs w:val="22"/>
          <w:lang w:eastAsia="en-US"/>
        </w:rPr>
        <w:t>.</w:t>
      </w:r>
    </w:p>
    <w:p w:rsidR="008435AD" w:rsidRPr="00F312F4" w:rsidRDefault="008435AD" w:rsidP="00F312F4">
      <w:pPr>
        <w:rPr>
          <w:rFonts w:eastAsia="Calibri"/>
          <w:sz w:val="22"/>
          <w:szCs w:val="22"/>
        </w:rPr>
      </w:pPr>
    </w:p>
    <w:p w:rsidR="006C3A37" w:rsidRPr="00F312F4" w:rsidRDefault="006C3A37" w:rsidP="00913509">
      <w:pPr>
        <w:widowControl w:val="0"/>
        <w:rPr>
          <w:rFonts w:eastAsia="Calibri"/>
          <w:sz w:val="22"/>
          <w:szCs w:val="22"/>
        </w:rPr>
      </w:pPr>
      <w:bookmarkStart w:id="27" w:name="_Toc453761079"/>
    </w:p>
    <w:p w:rsidR="00FE6447" w:rsidRPr="00DA2BC8" w:rsidRDefault="00FE6447" w:rsidP="00913509">
      <w:pPr>
        <w:widowControl w:val="0"/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VII</w:t>
      </w:r>
      <w:bookmarkEnd w:id="27"/>
      <w:r w:rsidR="00D65B3A" w:rsidRPr="00DA2BC8">
        <w:rPr>
          <w:rFonts w:eastAsia="Calibri"/>
          <w:b/>
          <w:sz w:val="22"/>
          <w:szCs w:val="22"/>
        </w:rPr>
        <w:t>.</w:t>
      </w:r>
    </w:p>
    <w:p w:rsidR="00FE6447" w:rsidRPr="0031772E" w:rsidRDefault="00FE6447" w:rsidP="00913509">
      <w:pPr>
        <w:pStyle w:val="Nadpis2"/>
        <w:keepNext w:val="0"/>
        <w:widowControl w:val="0"/>
        <w:jc w:val="center"/>
        <w:rPr>
          <w:rFonts w:eastAsia="Calibri"/>
          <w:sz w:val="22"/>
          <w:szCs w:val="22"/>
        </w:rPr>
      </w:pPr>
      <w:bookmarkStart w:id="28" w:name="_Toc210984953"/>
      <w:r>
        <w:rPr>
          <w:rFonts w:eastAsia="Calibri"/>
          <w:sz w:val="22"/>
          <w:szCs w:val="22"/>
        </w:rPr>
        <w:t>Režim veřejné zakázky</w:t>
      </w:r>
      <w:bookmarkEnd w:id="28"/>
    </w:p>
    <w:p w:rsidR="00FE6447" w:rsidRPr="00913509" w:rsidRDefault="00FE6447" w:rsidP="00EF7495">
      <w:pPr>
        <w:widowControl w:val="0"/>
        <w:numPr>
          <w:ilvl w:val="0"/>
          <w:numId w:val="18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13509">
        <w:rPr>
          <w:rFonts w:eastAsia="Calibri"/>
          <w:sz w:val="22"/>
          <w:szCs w:val="22"/>
          <w:lang w:eastAsia="en-US"/>
        </w:rPr>
        <w:t>Režim veřejné zakázky se určí podle její předpokládané hodnoty, pokud nejde o zjednodušený režim</w:t>
      </w:r>
      <w:r w:rsidR="00BF0643" w:rsidRPr="00913509">
        <w:rPr>
          <w:rFonts w:eastAsia="Calibri"/>
          <w:sz w:val="22"/>
          <w:szCs w:val="22"/>
          <w:vertAlign w:val="superscript"/>
          <w:lang w:eastAsia="en-US"/>
        </w:rPr>
        <w:footnoteReference w:id="7"/>
      </w:r>
      <w:r w:rsidRPr="00913509">
        <w:rPr>
          <w:rFonts w:eastAsia="Calibri"/>
          <w:sz w:val="22"/>
          <w:szCs w:val="22"/>
          <w:lang w:eastAsia="en-US"/>
        </w:rPr>
        <w:t>. Zadavatel je povinen dodržet režim určený při zahájení zadávacího řízení, a to i v případě, že by byl oprávněn použít jiný režim.</w:t>
      </w:r>
    </w:p>
    <w:p w:rsidR="0066363E" w:rsidRDefault="007E6FA0" w:rsidP="00EF7495">
      <w:pPr>
        <w:widowControl w:val="0"/>
        <w:numPr>
          <w:ilvl w:val="0"/>
          <w:numId w:val="18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F3251">
        <w:rPr>
          <w:rFonts w:eastAsia="Calibri"/>
          <w:sz w:val="22"/>
          <w:szCs w:val="22"/>
          <w:lang w:eastAsia="en-US"/>
        </w:rPr>
        <w:t>Zadání veřejné zakázky</w:t>
      </w:r>
      <w:r>
        <w:rPr>
          <w:rFonts w:eastAsia="Calibri"/>
          <w:sz w:val="22"/>
          <w:szCs w:val="22"/>
          <w:lang w:eastAsia="en-US"/>
        </w:rPr>
        <w:t xml:space="preserve"> malého rozsahu</w:t>
      </w:r>
      <w:r w:rsidRPr="009F3251">
        <w:rPr>
          <w:rFonts w:eastAsia="Calibri"/>
          <w:sz w:val="22"/>
          <w:szCs w:val="22"/>
          <w:lang w:eastAsia="en-US"/>
        </w:rPr>
        <w:t xml:space="preserve"> je při respektování zákona</w:t>
      </w:r>
      <w:r w:rsidRPr="009F3251">
        <w:rPr>
          <w:rStyle w:val="Znakapoznpodarou"/>
          <w:rFonts w:eastAsia="Calibri"/>
          <w:sz w:val="22"/>
          <w:szCs w:val="22"/>
          <w:lang w:eastAsia="en-US"/>
        </w:rPr>
        <w:footnoteReference w:id="8"/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61366">
        <w:rPr>
          <w:rFonts w:eastAsia="Calibri"/>
          <w:sz w:val="22"/>
          <w:szCs w:val="22"/>
          <w:lang w:eastAsia="en-US"/>
        </w:rPr>
        <w:t xml:space="preserve">a </w:t>
      </w:r>
      <w:r>
        <w:rPr>
          <w:rFonts w:eastAsia="Calibri"/>
          <w:sz w:val="22"/>
          <w:szCs w:val="22"/>
          <w:lang w:eastAsia="en-US"/>
        </w:rPr>
        <w:t xml:space="preserve">tohoto předpisu </w:t>
      </w:r>
      <w:r w:rsidRPr="009F3251">
        <w:rPr>
          <w:rFonts w:eastAsia="Calibri"/>
          <w:sz w:val="22"/>
          <w:szCs w:val="22"/>
          <w:lang w:eastAsia="en-US"/>
        </w:rPr>
        <w:t>v působnosti pověřeného zaměstnance zadavatele.</w:t>
      </w:r>
    </w:p>
    <w:p w:rsidR="008F0550" w:rsidRDefault="008F0550" w:rsidP="00913520">
      <w:pPr>
        <w:rPr>
          <w:rFonts w:eastAsia="Calibri"/>
          <w:sz w:val="22"/>
          <w:szCs w:val="22"/>
        </w:rPr>
      </w:pPr>
    </w:p>
    <w:p w:rsidR="00913520" w:rsidRPr="00913520" w:rsidRDefault="00913520" w:rsidP="00913520">
      <w:pPr>
        <w:rPr>
          <w:rFonts w:eastAsia="Calibri"/>
          <w:sz w:val="22"/>
          <w:szCs w:val="22"/>
        </w:rPr>
      </w:pPr>
    </w:p>
    <w:p w:rsidR="008F0550" w:rsidRPr="00DA2BC8" w:rsidRDefault="008F0550" w:rsidP="008F0550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VIII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8F0550" w:rsidRPr="00A36875" w:rsidRDefault="008F0550" w:rsidP="008F0550">
      <w:pPr>
        <w:pStyle w:val="Nadpis2"/>
        <w:jc w:val="center"/>
        <w:rPr>
          <w:rFonts w:eastAsia="Calibri"/>
          <w:sz w:val="22"/>
          <w:szCs w:val="22"/>
        </w:rPr>
      </w:pPr>
      <w:bookmarkStart w:id="29" w:name="_Toc210984954"/>
      <w:r>
        <w:rPr>
          <w:rFonts w:eastAsia="Calibri"/>
          <w:sz w:val="22"/>
          <w:szCs w:val="22"/>
        </w:rPr>
        <w:t>Hodnocení nabídek</w:t>
      </w:r>
      <w:bookmarkEnd w:id="29"/>
    </w:p>
    <w:p w:rsidR="008F0550" w:rsidRDefault="008F0550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A36875">
        <w:rPr>
          <w:rFonts w:eastAsia="Calibri"/>
          <w:bCs/>
          <w:sz w:val="22"/>
          <w:szCs w:val="22"/>
          <w:lang w:eastAsia="en-US"/>
        </w:rPr>
        <w:t xml:space="preserve">Zadavatel </w:t>
      </w:r>
      <w:r w:rsidR="000947AE">
        <w:rPr>
          <w:rFonts w:eastAsia="Calibri"/>
          <w:bCs/>
          <w:sz w:val="22"/>
          <w:szCs w:val="22"/>
          <w:lang w:eastAsia="en-US"/>
        </w:rPr>
        <w:t>může hodnocením nabídek pověřit</w:t>
      </w:r>
      <w:r w:rsidRPr="00A36875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 xml:space="preserve">hodnotící </w:t>
      </w:r>
      <w:r w:rsidRPr="00A36875">
        <w:rPr>
          <w:rFonts w:eastAsia="Calibri"/>
          <w:bCs/>
          <w:sz w:val="22"/>
          <w:szCs w:val="22"/>
          <w:lang w:eastAsia="en-US"/>
        </w:rPr>
        <w:t>komisi</w:t>
      </w:r>
      <w:r w:rsidR="000947AE">
        <w:rPr>
          <w:rFonts w:eastAsia="Calibri"/>
          <w:bCs/>
          <w:sz w:val="22"/>
          <w:szCs w:val="22"/>
          <w:lang w:eastAsia="en-US"/>
        </w:rPr>
        <w:t>;</w:t>
      </w:r>
      <w:r w:rsidRPr="00A36875">
        <w:rPr>
          <w:rFonts w:eastAsia="Calibri"/>
          <w:bCs/>
          <w:sz w:val="22"/>
          <w:szCs w:val="22"/>
          <w:lang w:eastAsia="en-US"/>
        </w:rPr>
        <w:t xml:space="preserve"> tím nejsou dotčeny jiné právní předpisy upravující způsob rozhodování zadavatele a ani tím není dotčena jeho odpovědnost za dodržení pravidel a zákona. </w:t>
      </w:r>
    </w:p>
    <w:p w:rsidR="000947AE" w:rsidRPr="00A36875" w:rsidRDefault="000947AE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Komisi jmenuje pověřený zaměstnanec zadavatele, u podlimitních a nadlimitních veřejných zakázek po předchozím schválení </w:t>
      </w:r>
      <w:r w:rsidR="008F0B34">
        <w:rPr>
          <w:rFonts w:eastAsia="Calibri"/>
          <w:bCs/>
          <w:sz w:val="22"/>
          <w:szCs w:val="22"/>
          <w:lang w:eastAsia="en-US"/>
        </w:rPr>
        <w:t>radou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:rsidR="008F0550" w:rsidRPr="00A36875" w:rsidRDefault="008F0550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A36875">
        <w:rPr>
          <w:rFonts w:eastAsia="Calibri"/>
          <w:bCs/>
          <w:sz w:val="22"/>
          <w:szCs w:val="22"/>
          <w:lang w:eastAsia="en-US"/>
        </w:rPr>
        <w:t>Složení komise v jednotlivých formách zadávacího řízení je uvedeno v příloze č. 1. V příloze jsou uved</w:t>
      </w:r>
      <w:r w:rsidR="00234F42">
        <w:rPr>
          <w:rFonts w:eastAsia="Calibri"/>
          <w:bCs/>
          <w:sz w:val="22"/>
          <w:szCs w:val="22"/>
          <w:lang w:eastAsia="en-US"/>
        </w:rPr>
        <w:t>eny minimální počty členů komise</w:t>
      </w:r>
      <w:r w:rsidRPr="00A36875">
        <w:rPr>
          <w:rFonts w:eastAsia="Calibri"/>
          <w:bCs/>
          <w:sz w:val="22"/>
          <w:szCs w:val="22"/>
          <w:lang w:eastAsia="en-US"/>
        </w:rPr>
        <w:t xml:space="preserve">. </w:t>
      </w:r>
    </w:p>
    <w:p w:rsidR="000947AE" w:rsidRDefault="00E70A0A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Pověřený zaměstnanec zadavatele svolává členy komise na její první jednání nejméně 3 pracovní dny předem. </w:t>
      </w:r>
      <w:r w:rsidR="008F0550" w:rsidRPr="00793422">
        <w:rPr>
          <w:rFonts w:eastAsia="Calibri"/>
          <w:bCs/>
          <w:sz w:val="22"/>
          <w:szCs w:val="22"/>
          <w:lang w:eastAsia="en-US"/>
        </w:rPr>
        <w:t>Komise je usnášeníschopná, jsou-li přítomni všichni její jmenovaní členové</w:t>
      </w:r>
      <w:r>
        <w:rPr>
          <w:rFonts w:eastAsia="Calibri"/>
          <w:bCs/>
          <w:sz w:val="22"/>
          <w:szCs w:val="22"/>
          <w:lang w:eastAsia="en-US"/>
        </w:rPr>
        <w:t>,</w:t>
      </w:r>
      <w:r w:rsidR="008F0550" w:rsidRPr="00793422">
        <w:rPr>
          <w:rFonts w:eastAsia="Calibri"/>
          <w:bCs/>
          <w:sz w:val="22"/>
          <w:szCs w:val="22"/>
          <w:lang w:eastAsia="en-US"/>
        </w:rPr>
        <w:t xml:space="preserve"> případně jejich náhradníci.</w:t>
      </w:r>
    </w:p>
    <w:p w:rsidR="000947AE" w:rsidRPr="000947AE" w:rsidRDefault="000947AE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0947AE">
        <w:rPr>
          <w:rFonts w:eastAsia="Calibri"/>
          <w:bCs/>
          <w:sz w:val="22"/>
          <w:szCs w:val="22"/>
          <w:lang w:eastAsia="en-US"/>
        </w:rPr>
        <w:t xml:space="preserve">Hodnotící komise posuzuje způsobilost a kvalifikaci účastníků zadávacího řízení. Není-li v zákoně stanoveno jinak, může provést posouzení splnění podmínek účasti v zadávacím řízení před hodnocením </w:t>
      </w:r>
      <w:r w:rsidRPr="000947AE">
        <w:rPr>
          <w:rFonts w:eastAsia="Calibri"/>
          <w:bCs/>
          <w:sz w:val="22"/>
          <w:szCs w:val="22"/>
          <w:lang w:eastAsia="en-US"/>
        </w:rPr>
        <w:lastRenderedPageBreak/>
        <w:t xml:space="preserve">nabídek nebo až po hodnocení nabídek. U </w:t>
      </w:r>
      <w:r w:rsidR="002B4899">
        <w:rPr>
          <w:rFonts w:eastAsia="Calibri"/>
          <w:bCs/>
          <w:sz w:val="22"/>
          <w:szCs w:val="22"/>
          <w:lang w:eastAsia="en-US"/>
        </w:rPr>
        <w:t>v</w:t>
      </w:r>
      <w:r w:rsidRPr="000947AE">
        <w:rPr>
          <w:rFonts w:eastAsia="Calibri"/>
          <w:bCs/>
          <w:sz w:val="22"/>
          <w:szCs w:val="22"/>
          <w:lang w:eastAsia="en-US"/>
        </w:rPr>
        <w:t>ybraného dodavatele musí provést posouzení splnění podmínek účasti v zadávacím řízení a hodnocení jeho nabídky vždy. O průběhu jednání komise pořídí písemnou zprávu o hodnocení nabídek, ve které uvede</w:t>
      </w:r>
      <w:r w:rsidR="002B4899">
        <w:rPr>
          <w:rFonts w:eastAsia="Calibri"/>
          <w:bCs/>
          <w:sz w:val="22"/>
          <w:szCs w:val="22"/>
          <w:lang w:eastAsia="en-US"/>
        </w:rPr>
        <w:t xml:space="preserve"> zejména</w:t>
      </w:r>
    </w:p>
    <w:p w:rsidR="000947AE" w:rsidRPr="000947AE" w:rsidRDefault="000947AE" w:rsidP="00EF7495">
      <w:pPr>
        <w:numPr>
          <w:ilvl w:val="1"/>
          <w:numId w:val="28"/>
        </w:num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0947AE">
        <w:rPr>
          <w:rFonts w:eastAsia="Calibri"/>
          <w:bCs/>
          <w:sz w:val="22"/>
          <w:szCs w:val="22"/>
          <w:lang w:eastAsia="en-US"/>
        </w:rPr>
        <w:t xml:space="preserve">identifikaci zadávacího řízení, </w:t>
      </w:r>
    </w:p>
    <w:p w:rsidR="000947AE" w:rsidRPr="000947AE" w:rsidRDefault="000947AE" w:rsidP="00EF7495">
      <w:pPr>
        <w:numPr>
          <w:ilvl w:val="1"/>
          <w:numId w:val="28"/>
        </w:num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0947AE">
        <w:rPr>
          <w:rFonts w:eastAsia="Calibri"/>
          <w:bCs/>
          <w:sz w:val="22"/>
          <w:szCs w:val="22"/>
          <w:lang w:eastAsia="en-US"/>
        </w:rPr>
        <w:t>fyzické osoby, které se na hodnocení podílely; za tyto osoby se považují zejména osoby, které provedly hodnocení nabídek</w:t>
      </w:r>
      <w:r w:rsidR="005E1E22">
        <w:rPr>
          <w:rFonts w:eastAsia="Calibri"/>
          <w:bCs/>
          <w:sz w:val="22"/>
          <w:szCs w:val="22"/>
          <w:lang w:eastAsia="en-US"/>
        </w:rPr>
        <w:t>,</w:t>
      </w:r>
      <w:r w:rsidRPr="000947AE">
        <w:rPr>
          <w:rFonts w:eastAsia="Calibri"/>
          <w:bCs/>
          <w:sz w:val="22"/>
          <w:szCs w:val="22"/>
          <w:lang w:eastAsia="en-US"/>
        </w:rPr>
        <w:t xml:space="preserve"> včetně členů komise</w:t>
      </w:r>
      <w:r w:rsidR="0041708C">
        <w:rPr>
          <w:rFonts w:eastAsia="Calibri"/>
          <w:bCs/>
          <w:sz w:val="22"/>
          <w:szCs w:val="22"/>
          <w:lang w:eastAsia="en-US"/>
        </w:rPr>
        <w:t>,</w:t>
      </w:r>
      <w:r w:rsidRPr="000947AE">
        <w:rPr>
          <w:rFonts w:eastAsia="Calibri"/>
          <w:bCs/>
          <w:sz w:val="22"/>
          <w:szCs w:val="22"/>
          <w:lang w:eastAsia="en-US"/>
        </w:rPr>
        <w:t xml:space="preserve"> nebo přizvaných odborníků, pokud byly jejich závěry zohledněny při hodnocení,</w:t>
      </w:r>
    </w:p>
    <w:p w:rsidR="000947AE" w:rsidRPr="000947AE" w:rsidRDefault="000947AE" w:rsidP="00EF7495">
      <w:pPr>
        <w:numPr>
          <w:ilvl w:val="1"/>
          <w:numId w:val="28"/>
        </w:num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0947AE">
        <w:rPr>
          <w:rFonts w:eastAsia="Calibri"/>
          <w:bCs/>
          <w:sz w:val="22"/>
          <w:szCs w:val="22"/>
          <w:lang w:eastAsia="en-US"/>
        </w:rPr>
        <w:t>splnění podmínek účasti v zadávacím řízení,</w:t>
      </w:r>
    </w:p>
    <w:p w:rsidR="000947AE" w:rsidRPr="000947AE" w:rsidRDefault="000947AE" w:rsidP="00EF7495">
      <w:pPr>
        <w:numPr>
          <w:ilvl w:val="1"/>
          <w:numId w:val="28"/>
        </w:num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0947AE">
        <w:rPr>
          <w:rFonts w:eastAsia="Calibri"/>
          <w:bCs/>
          <w:sz w:val="22"/>
          <w:szCs w:val="22"/>
          <w:lang w:eastAsia="en-US"/>
        </w:rPr>
        <w:t>seznam hodnocených nabídek</w:t>
      </w:r>
      <w:r w:rsidR="002B4899">
        <w:rPr>
          <w:rFonts w:eastAsia="Calibri"/>
          <w:bCs/>
          <w:sz w:val="22"/>
          <w:szCs w:val="22"/>
          <w:lang w:eastAsia="en-US"/>
        </w:rPr>
        <w:t>,</w:t>
      </w:r>
      <w:r w:rsidRPr="000947AE">
        <w:rPr>
          <w:rFonts w:eastAsia="Calibri"/>
          <w:bCs/>
          <w:sz w:val="22"/>
          <w:szCs w:val="22"/>
          <w:lang w:eastAsia="en-US"/>
        </w:rPr>
        <w:t xml:space="preserve"> a</w:t>
      </w:r>
    </w:p>
    <w:p w:rsidR="002B4899" w:rsidRPr="00913509" w:rsidRDefault="002B4899" w:rsidP="00EF7495">
      <w:pPr>
        <w:numPr>
          <w:ilvl w:val="1"/>
          <w:numId w:val="28"/>
        </w:num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913509">
        <w:rPr>
          <w:rFonts w:eastAsia="Calibri"/>
          <w:bCs/>
          <w:sz w:val="22"/>
          <w:szCs w:val="22"/>
          <w:lang w:eastAsia="en-US"/>
        </w:rPr>
        <w:t>popis hodnocení, ze kterého budou zřejmé</w:t>
      </w:r>
    </w:p>
    <w:p w:rsidR="002B4899" w:rsidRPr="00BA3B2A" w:rsidRDefault="002B4899" w:rsidP="001A07A8">
      <w:pPr>
        <w:pStyle w:val="Textbodu"/>
        <w:numPr>
          <w:ilvl w:val="2"/>
          <w:numId w:val="32"/>
        </w:numPr>
        <w:spacing w:before="60"/>
        <w:rPr>
          <w:sz w:val="22"/>
          <w:szCs w:val="22"/>
        </w:rPr>
      </w:pPr>
      <w:r w:rsidRPr="00BA3B2A">
        <w:rPr>
          <w:sz w:val="22"/>
          <w:szCs w:val="22"/>
        </w:rPr>
        <w:t>hodnocené údaje z nabídek odpovídající kritériím hodnocení,</w:t>
      </w:r>
    </w:p>
    <w:p w:rsidR="002B4899" w:rsidRPr="00BA3B2A" w:rsidRDefault="002B4899" w:rsidP="001A07A8">
      <w:pPr>
        <w:pStyle w:val="Textbodu"/>
        <w:numPr>
          <w:ilvl w:val="2"/>
          <w:numId w:val="32"/>
        </w:numPr>
        <w:spacing w:before="60"/>
        <w:rPr>
          <w:sz w:val="22"/>
          <w:szCs w:val="22"/>
        </w:rPr>
      </w:pPr>
      <w:r w:rsidRPr="00BA3B2A">
        <w:rPr>
          <w:sz w:val="22"/>
          <w:szCs w:val="22"/>
        </w:rPr>
        <w:t>popis hodnocení údajů z nabídek v jednotlivých kritériích hodnocení,</w:t>
      </w:r>
    </w:p>
    <w:p w:rsidR="002B4899" w:rsidRPr="00BA3B2A" w:rsidRDefault="002B4899" w:rsidP="001A07A8">
      <w:pPr>
        <w:pStyle w:val="Textbodu"/>
        <w:numPr>
          <w:ilvl w:val="2"/>
          <w:numId w:val="32"/>
        </w:numPr>
        <w:spacing w:before="60"/>
        <w:rPr>
          <w:sz w:val="22"/>
          <w:szCs w:val="22"/>
        </w:rPr>
      </w:pPr>
      <w:r w:rsidRPr="00BA3B2A">
        <w:rPr>
          <w:sz w:val="22"/>
          <w:szCs w:val="22"/>
        </w:rPr>
        <w:t>popis srovnání hodnot získaných při hodnocení v jednotlivých kritériích hodnocení</w:t>
      </w:r>
      <w:r>
        <w:rPr>
          <w:sz w:val="22"/>
          <w:szCs w:val="22"/>
        </w:rPr>
        <w:t>,</w:t>
      </w:r>
      <w:r w:rsidRPr="00BA3B2A">
        <w:rPr>
          <w:sz w:val="22"/>
          <w:szCs w:val="22"/>
        </w:rPr>
        <w:t xml:space="preserve"> a</w:t>
      </w:r>
    </w:p>
    <w:p w:rsidR="002B4899" w:rsidRPr="00BA3B2A" w:rsidRDefault="002B4899" w:rsidP="001A07A8">
      <w:pPr>
        <w:pStyle w:val="Textbodu"/>
        <w:numPr>
          <w:ilvl w:val="2"/>
          <w:numId w:val="32"/>
        </w:numPr>
        <w:spacing w:before="60"/>
        <w:rPr>
          <w:sz w:val="22"/>
          <w:szCs w:val="22"/>
        </w:rPr>
      </w:pPr>
      <w:r w:rsidRPr="00BA3B2A">
        <w:rPr>
          <w:sz w:val="22"/>
          <w:szCs w:val="22"/>
        </w:rPr>
        <w:t>výsledek hodnocení nabídek.</w:t>
      </w:r>
    </w:p>
    <w:p w:rsidR="008F0550" w:rsidRPr="00793422" w:rsidRDefault="005A47F7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O výběru dodavatele, vyloučení účastníka nebo zrušení zadávacího řízení rozhoduje vždy zadavatel.</w:t>
      </w:r>
      <w:r w:rsidR="008F0550" w:rsidRPr="00793422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8F0550" w:rsidRPr="00A36875" w:rsidRDefault="008F0550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A36875">
        <w:rPr>
          <w:rFonts w:eastAsia="Calibri"/>
          <w:bCs/>
          <w:sz w:val="22"/>
          <w:szCs w:val="22"/>
          <w:lang w:eastAsia="en-US"/>
        </w:rPr>
        <w:t>U veřejných zakázek s předpokládanou hodnotou vyšší než 300</w:t>
      </w:r>
      <w:r w:rsidR="005A47F7">
        <w:rPr>
          <w:rFonts w:eastAsia="Calibri"/>
          <w:bCs/>
          <w:sz w:val="22"/>
          <w:szCs w:val="22"/>
          <w:lang w:eastAsia="en-US"/>
        </w:rPr>
        <w:t xml:space="preserve"> mil.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A36875">
        <w:rPr>
          <w:rFonts w:eastAsia="Calibri"/>
          <w:bCs/>
          <w:sz w:val="22"/>
          <w:szCs w:val="22"/>
          <w:lang w:eastAsia="en-US"/>
        </w:rPr>
        <w:t>Kč zadavatel zajistí, aby hodnocení nabídek provedla komise, která má minimálně 5 členů, z nichž většina má příslušnou odbornost ve vztahu k předmětu veřejné zakázky.</w:t>
      </w:r>
    </w:p>
    <w:p w:rsidR="008F0550" w:rsidRDefault="008F0550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A36875">
        <w:rPr>
          <w:rFonts w:eastAsia="Calibri"/>
          <w:bCs/>
          <w:sz w:val="22"/>
          <w:szCs w:val="22"/>
          <w:lang w:eastAsia="en-US"/>
        </w:rPr>
        <w:t xml:space="preserve">Zadavatel může pro své rozhodování použít i vyjádření přizvaných odborníků; tím není dotčena jeho odpovědnost za dodržení zákona. </w:t>
      </w:r>
    </w:p>
    <w:p w:rsidR="005A47F7" w:rsidRPr="00A36875" w:rsidRDefault="005A47F7" w:rsidP="00EF7495">
      <w:pPr>
        <w:numPr>
          <w:ilvl w:val="0"/>
          <w:numId w:val="28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U veřejných zakázek, které jsou hodnoceny pouze na základě </w:t>
      </w:r>
      <w:r w:rsidR="00AB63B8">
        <w:rPr>
          <w:rFonts w:eastAsia="Calibri"/>
          <w:bCs/>
          <w:sz w:val="22"/>
          <w:szCs w:val="22"/>
          <w:lang w:eastAsia="en-US"/>
        </w:rPr>
        <w:t>objektivních, počitatelných</w:t>
      </w:r>
      <w:r w:rsidR="00B9264C">
        <w:rPr>
          <w:rFonts w:eastAsia="Calibri"/>
          <w:bCs/>
          <w:sz w:val="22"/>
          <w:szCs w:val="22"/>
          <w:lang w:eastAsia="en-US"/>
        </w:rPr>
        <w:t xml:space="preserve"> kritérií</w:t>
      </w:r>
      <w:r w:rsidR="00AB63B8">
        <w:rPr>
          <w:rFonts w:eastAsia="Calibri"/>
          <w:bCs/>
          <w:sz w:val="22"/>
          <w:szCs w:val="22"/>
          <w:lang w:eastAsia="en-US"/>
        </w:rPr>
        <w:t xml:space="preserve"> (zejména nejnižší nabídková cena, počet realizovaných zakázek, počet hodin služby, lhůta dodání apod.)</w:t>
      </w:r>
      <w:r w:rsidR="005E1E22">
        <w:rPr>
          <w:rFonts w:eastAsia="Calibri"/>
          <w:bCs/>
          <w:sz w:val="22"/>
          <w:szCs w:val="22"/>
          <w:lang w:eastAsia="en-US"/>
        </w:rPr>
        <w:t>,</w:t>
      </w:r>
      <w:r>
        <w:rPr>
          <w:rFonts w:eastAsia="Calibri"/>
          <w:bCs/>
          <w:sz w:val="22"/>
          <w:szCs w:val="22"/>
          <w:lang w:eastAsia="en-US"/>
        </w:rPr>
        <w:t xml:space="preserve"> nebo u</w:t>
      </w:r>
      <w:r w:rsidR="00E75D7F">
        <w:rPr>
          <w:rFonts w:eastAsia="Calibri"/>
          <w:bCs/>
          <w:sz w:val="22"/>
          <w:szCs w:val="22"/>
          <w:lang w:eastAsia="en-US"/>
        </w:rPr>
        <w:t> </w:t>
      </w:r>
      <w:r>
        <w:rPr>
          <w:rFonts w:eastAsia="Calibri"/>
          <w:bCs/>
          <w:sz w:val="22"/>
          <w:szCs w:val="22"/>
          <w:lang w:eastAsia="en-US"/>
        </w:rPr>
        <w:t>veřejných zakázek, u nichž obdržel zadavatel jedinou nabídku, neprovádí hodnocení nabídek hodnotící komise</w:t>
      </w:r>
      <w:r w:rsidR="00F80ED2">
        <w:rPr>
          <w:rFonts w:eastAsia="Calibri"/>
          <w:bCs/>
          <w:sz w:val="22"/>
          <w:szCs w:val="22"/>
          <w:lang w:eastAsia="en-US"/>
        </w:rPr>
        <w:t xml:space="preserve"> vyjma veřejných zakázek s hodnotou vyšší než 300 mil. Kč</w:t>
      </w:r>
      <w:r>
        <w:rPr>
          <w:rFonts w:eastAsia="Calibri"/>
          <w:bCs/>
          <w:sz w:val="22"/>
          <w:szCs w:val="22"/>
          <w:lang w:eastAsia="en-US"/>
        </w:rPr>
        <w:t xml:space="preserve">. V těchto případech provedou hodnocení nabídek dva zaměstnanci zadavatele </w:t>
      </w:r>
      <w:r w:rsidRPr="006C3A37">
        <w:rPr>
          <w:rFonts w:eastAsia="Calibri"/>
          <w:sz w:val="22"/>
          <w:szCs w:val="22"/>
          <w:lang w:eastAsia="en-US"/>
        </w:rPr>
        <w:t>určen</w:t>
      </w:r>
      <w:r>
        <w:rPr>
          <w:rFonts w:eastAsia="Calibri"/>
          <w:sz w:val="22"/>
          <w:szCs w:val="22"/>
          <w:lang w:eastAsia="en-US"/>
        </w:rPr>
        <w:t>í</w:t>
      </w:r>
      <w:r w:rsidRPr="006C3A37">
        <w:rPr>
          <w:rFonts w:eastAsia="Calibri"/>
          <w:sz w:val="22"/>
          <w:szCs w:val="22"/>
          <w:lang w:eastAsia="en-US"/>
        </w:rPr>
        <w:t xml:space="preserve"> pověřeným zaměstnancem zadavatele</w:t>
      </w:r>
      <w:r w:rsidR="00B9264C">
        <w:rPr>
          <w:rFonts w:eastAsia="Calibri"/>
          <w:sz w:val="22"/>
          <w:szCs w:val="22"/>
          <w:lang w:eastAsia="en-US"/>
        </w:rPr>
        <w:t>, a to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234F42">
        <w:rPr>
          <w:rFonts w:eastAsia="Calibri"/>
          <w:sz w:val="22"/>
          <w:szCs w:val="22"/>
          <w:lang w:eastAsia="en-US"/>
        </w:rPr>
        <w:t xml:space="preserve">obdobným </w:t>
      </w:r>
      <w:r>
        <w:rPr>
          <w:rFonts w:eastAsia="Calibri"/>
          <w:sz w:val="22"/>
          <w:szCs w:val="22"/>
          <w:lang w:eastAsia="en-US"/>
        </w:rPr>
        <w:t>postupem dle bodu 5.</w:t>
      </w:r>
      <w:r w:rsidR="00922807">
        <w:rPr>
          <w:rFonts w:eastAsia="Calibri"/>
          <w:sz w:val="22"/>
          <w:szCs w:val="22"/>
          <w:lang w:eastAsia="en-US"/>
        </w:rPr>
        <w:t xml:space="preserve"> </w:t>
      </w:r>
    </w:p>
    <w:p w:rsidR="004D2905" w:rsidRDefault="004D2905" w:rsidP="00913509">
      <w:pPr>
        <w:widowControl w:val="0"/>
        <w:rPr>
          <w:rFonts w:eastAsia="Calibri"/>
          <w:sz w:val="22"/>
          <w:szCs w:val="22"/>
        </w:rPr>
      </w:pPr>
    </w:p>
    <w:p w:rsidR="00DA2BC8" w:rsidRPr="002E1ACA" w:rsidRDefault="00DA2BC8" w:rsidP="00913509">
      <w:pPr>
        <w:widowControl w:val="0"/>
        <w:rPr>
          <w:rFonts w:eastAsia="Calibri"/>
          <w:sz w:val="22"/>
          <w:szCs w:val="22"/>
        </w:rPr>
      </w:pPr>
    </w:p>
    <w:p w:rsidR="004D2905" w:rsidRPr="00DA2BC8" w:rsidRDefault="004D2905" w:rsidP="00913509">
      <w:pPr>
        <w:widowControl w:val="0"/>
        <w:jc w:val="center"/>
        <w:rPr>
          <w:rFonts w:eastAsia="Calibri"/>
          <w:b/>
          <w:sz w:val="22"/>
          <w:szCs w:val="22"/>
        </w:rPr>
      </w:pPr>
      <w:bookmarkStart w:id="30" w:name="_Toc399911818"/>
      <w:bookmarkStart w:id="31" w:name="_Toc403400634"/>
      <w:bookmarkStart w:id="32" w:name="_Toc453761081"/>
      <w:r w:rsidRPr="00DA2BC8">
        <w:rPr>
          <w:rFonts w:eastAsia="Calibri"/>
          <w:b/>
          <w:sz w:val="22"/>
          <w:szCs w:val="22"/>
        </w:rPr>
        <w:t xml:space="preserve">Čl. </w:t>
      </w:r>
      <w:bookmarkEnd w:id="30"/>
      <w:bookmarkEnd w:id="31"/>
      <w:bookmarkEnd w:id="32"/>
      <w:r w:rsidR="009377C1" w:rsidRPr="00DA2BC8">
        <w:rPr>
          <w:rFonts w:eastAsia="Calibri"/>
          <w:b/>
          <w:sz w:val="22"/>
          <w:szCs w:val="22"/>
        </w:rPr>
        <w:t>IX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7E6FA0" w:rsidRDefault="00F27E58" w:rsidP="00913509">
      <w:pPr>
        <w:pStyle w:val="Nadpis2"/>
        <w:keepNext w:val="0"/>
        <w:widowControl w:val="0"/>
        <w:jc w:val="center"/>
        <w:rPr>
          <w:rFonts w:eastAsia="Calibri"/>
          <w:lang w:eastAsia="en-US"/>
        </w:rPr>
      </w:pPr>
      <w:bookmarkStart w:id="33" w:name="_Toc210984955"/>
      <w:r w:rsidRPr="0031772E">
        <w:rPr>
          <w:rFonts w:eastAsia="Calibri"/>
          <w:sz w:val="22"/>
          <w:szCs w:val="22"/>
        </w:rPr>
        <w:t>Zadávání veřejných zakázek</w:t>
      </w:r>
      <w:r w:rsidR="007E6FA0">
        <w:rPr>
          <w:rFonts w:eastAsia="Calibri"/>
          <w:sz w:val="22"/>
          <w:szCs w:val="22"/>
        </w:rPr>
        <w:t xml:space="preserve"> na dodávky a služby</w:t>
      </w:r>
      <w:r w:rsidR="0023468F">
        <w:rPr>
          <w:rFonts w:eastAsia="Calibri"/>
          <w:sz w:val="22"/>
          <w:szCs w:val="22"/>
        </w:rPr>
        <w:t xml:space="preserve">, </w:t>
      </w:r>
      <w:r w:rsidR="0023468F" w:rsidRPr="00C91D19">
        <w:rPr>
          <w:rFonts w:eastAsia="Calibri"/>
          <w:sz w:val="22"/>
          <w:szCs w:val="22"/>
          <w:lang w:eastAsia="en-US"/>
        </w:rPr>
        <w:t>jej</w:t>
      </w:r>
      <w:r w:rsidR="0023468F">
        <w:rPr>
          <w:rFonts w:eastAsia="Calibri"/>
          <w:sz w:val="22"/>
          <w:szCs w:val="22"/>
          <w:lang w:eastAsia="en-US"/>
        </w:rPr>
        <w:t>ichž</w:t>
      </w:r>
      <w:r w:rsidR="0023468F" w:rsidRPr="00C91D19">
        <w:rPr>
          <w:rFonts w:eastAsia="Calibri"/>
          <w:sz w:val="22"/>
          <w:szCs w:val="22"/>
          <w:lang w:eastAsia="en-US"/>
        </w:rPr>
        <w:t xml:space="preserve"> předpokládaná hodnota nepřesáhne</w:t>
      </w:r>
      <w:r w:rsidRPr="0031772E">
        <w:rPr>
          <w:rFonts w:eastAsia="Calibri"/>
          <w:sz w:val="22"/>
          <w:szCs w:val="22"/>
        </w:rPr>
        <w:t xml:space="preserve"> </w:t>
      </w:r>
      <w:r w:rsidR="00B9264C">
        <w:rPr>
          <w:rFonts w:eastAsia="Calibri"/>
          <w:sz w:val="22"/>
          <w:szCs w:val="22"/>
        </w:rPr>
        <w:t>1</w:t>
      </w:r>
      <w:r w:rsidR="00930DA1">
        <w:rPr>
          <w:rFonts w:eastAsia="Calibri"/>
          <w:sz w:val="22"/>
          <w:szCs w:val="22"/>
        </w:rPr>
        <w:t>0</w:t>
      </w:r>
      <w:r w:rsidR="00B9264C">
        <w:rPr>
          <w:rFonts w:eastAsia="Calibri"/>
          <w:sz w:val="22"/>
          <w:szCs w:val="22"/>
        </w:rPr>
        <w:t>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Pr="0031772E">
        <w:rPr>
          <w:rFonts w:eastAsia="Calibri"/>
          <w:sz w:val="22"/>
          <w:szCs w:val="22"/>
        </w:rPr>
        <w:t xml:space="preserve">tis. </w:t>
      </w:r>
      <w:r w:rsidR="00794986">
        <w:rPr>
          <w:rFonts w:eastAsia="Calibri"/>
          <w:sz w:val="22"/>
          <w:szCs w:val="22"/>
        </w:rPr>
        <w:t>K</w:t>
      </w:r>
      <w:r w:rsidRPr="0031772E">
        <w:rPr>
          <w:rFonts w:eastAsia="Calibri"/>
          <w:sz w:val="22"/>
          <w:szCs w:val="22"/>
        </w:rPr>
        <w:t>č</w:t>
      </w:r>
      <w:r w:rsidR="005E1E22">
        <w:rPr>
          <w:rFonts w:eastAsia="Calibri"/>
          <w:sz w:val="22"/>
          <w:szCs w:val="22"/>
        </w:rPr>
        <w:t>,</w:t>
      </w:r>
      <w:r w:rsidRPr="0031772E">
        <w:rPr>
          <w:rFonts w:eastAsia="Calibri"/>
          <w:sz w:val="22"/>
          <w:szCs w:val="22"/>
        </w:rPr>
        <w:t xml:space="preserve"> </w:t>
      </w:r>
      <w:r w:rsidR="007E6FA0">
        <w:rPr>
          <w:rFonts w:eastAsia="Calibri"/>
          <w:sz w:val="22"/>
          <w:szCs w:val="22"/>
        </w:rPr>
        <w:t xml:space="preserve">a na stavební práce, jejichž </w:t>
      </w:r>
      <w:r w:rsidR="007E6FA0" w:rsidRPr="00C91D19">
        <w:rPr>
          <w:rFonts w:eastAsia="Calibri"/>
          <w:sz w:val="22"/>
          <w:szCs w:val="22"/>
          <w:lang w:eastAsia="en-US"/>
        </w:rPr>
        <w:t>předpokládaná hodnota nepřesáhne</w:t>
      </w:r>
      <w:r w:rsidR="007E6FA0" w:rsidRPr="0031772E">
        <w:rPr>
          <w:rFonts w:eastAsia="Calibri"/>
          <w:sz w:val="22"/>
          <w:szCs w:val="22"/>
        </w:rPr>
        <w:t xml:space="preserve"> </w:t>
      </w:r>
      <w:r w:rsidR="00930DA1">
        <w:rPr>
          <w:rFonts w:eastAsia="Calibri"/>
          <w:sz w:val="22"/>
          <w:szCs w:val="22"/>
        </w:rPr>
        <w:t>2</w:t>
      </w:r>
      <w:r w:rsidR="00B9264C">
        <w:rPr>
          <w:rFonts w:eastAsia="Calibri"/>
          <w:sz w:val="22"/>
          <w:szCs w:val="22"/>
        </w:rPr>
        <w:t>50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="007E6FA0" w:rsidRPr="0031772E">
        <w:rPr>
          <w:rFonts w:eastAsia="Calibri"/>
          <w:sz w:val="22"/>
          <w:szCs w:val="22"/>
        </w:rPr>
        <w:t>tis. Kč</w:t>
      </w:r>
      <w:bookmarkEnd w:id="33"/>
      <w:r w:rsidR="007E6FA0" w:rsidRPr="0031772E">
        <w:rPr>
          <w:rFonts w:eastAsia="Calibri"/>
          <w:sz w:val="22"/>
          <w:szCs w:val="22"/>
        </w:rPr>
        <w:t xml:space="preserve"> </w:t>
      </w:r>
    </w:p>
    <w:p w:rsidR="00C91D19" w:rsidRDefault="00C91D19" w:rsidP="00EF7495">
      <w:pPr>
        <w:numPr>
          <w:ilvl w:val="0"/>
          <w:numId w:val="19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F3251">
        <w:rPr>
          <w:rFonts w:eastAsia="Calibri"/>
          <w:sz w:val="22"/>
          <w:szCs w:val="22"/>
          <w:lang w:eastAsia="en-US"/>
        </w:rPr>
        <w:t>Veřejné zakázky</w:t>
      </w:r>
      <w:r w:rsidR="00794986" w:rsidRPr="00794986">
        <w:rPr>
          <w:rFonts w:eastAsia="Calibri"/>
          <w:sz w:val="22"/>
          <w:szCs w:val="22"/>
          <w:lang w:eastAsia="en-US"/>
        </w:rPr>
        <w:t xml:space="preserve"> </w:t>
      </w:r>
      <w:r w:rsidR="00794986">
        <w:rPr>
          <w:rFonts w:eastAsia="Calibri"/>
          <w:sz w:val="22"/>
          <w:szCs w:val="22"/>
          <w:lang w:eastAsia="en-US"/>
        </w:rPr>
        <w:t xml:space="preserve">na dodávky a služby, </w:t>
      </w:r>
      <w:r w:rsidR="00794986" w:rsidRPr="00C91D19">
        <w:rPr>
          <w:rFonts w:eastAsia="Calibri"/>
          <w:sz w:val="22"/>
          <w:szCs w:val="22"/>
          <w:lang w:eastAsia="en-US"/>
        </w:rPr>
        <w:t>jej</w:t>
      </w:r>
      <w:r w:rsidR="00794986">
        <w:rPr>
          <w:rFonts w:eastAsia="Calibri"/>
          <w:sz w:val="22"/>
          <w:szCs w:val="22"/>
          <w:lang w:eastAsia="en-US"/>
        </w:rPr>
        <w:t>ichž</w:t>
      </w:r>
      <w:r w:rsidR="00794986" w:rsidRPr="00C91D19">
        <w:rPr>
          <w:rFonts w:eastAsia="Calibri"/>
          <w:sz w:val="22"/>
          <w:szCs w:val="22"/>
          <w:lang w:eastAsia="en-US"/>
        </w:rPr>
        <w:t xml:space="preserve"> předpokládaná hodnota nepřesáhne</w:t>
      </w:r>
      <w:r w:rsidR="00794986" w:rsidRPr="0031772E">
        <w:rPr>
          <w:rFonts w:eastAsia="Calibri"/>
          <w:sz w:val="22"/>
          <w:szCs w:val="22"/>
          <w:lang w:eastAsia="en-US"/>
        </w:rPr>
        <w:t xml:space="preserve"> </w:t>
      </w:r>
      <w:r w:rsidR="00B9264C">
        <w:rPr>
          <w:rFonts w:eastAsia="Calibri"/>
          <w:sz w:val="22"/>
          <w:szCs w:val="22"/>
          <w:lang w:eastAsia="en-US"/>
        </w:rPr>
        <w:t>1</w:t>
      </w:r>
      <w:r w:rsidR="00930DA1">
        <w:rPr>
          <w:rFonts w:eastAsia="Calibri"/>
          <w:sz w:val="22"/>
          <w:szCs w:val="22"/>
          <w:lang w:eastAsia="en-US"/>
        </w:rPr>
        <w:t>0</w:t>
      </w:r>
      <w:r w:rsidR="00B9264C">
        <w:rPr>
          <w:rFonts w:eastAsia="Calibri"/>
          <w:sz w:val="22"/>
          <w:szCs w:val="22"/>
          <w:lang w:eastAsia="en-US"/>
        </w:rPr>
        <w:t>0</w:t>
      </w:r>
      <w:r w:rsidR="00B9264C" w:rsidRPr="0031772E">
        <w:rPr>
          <w:rFonts w:eastAsia="Calibri"/>
          <w:sz w:val="22"/>
          <w:szCs w:val="22"/>
          <w:lang w:eastAsia="en-US"/>
        </w:rPr>
        <w:t xml:space="preserve"> </w:t>
      </w:r>
      <w:r w:rsidR="00794986" w:rsidRPr="0031772E">
        <w:rPr>
          <w:rFonts w:eastAsia="Calibri"/>
          <w:sz w:val="22"/>
          <w:szCs w:val="22"/>
          <w:lang w:eastAsia="en-US"/>
        </w:rPr>
        <w:t>tis. Kč</w:t>
      </w:r>
      <w:r w:rsidR="005E1E22">
        <w:rPr>
          <w:rFonts w:eastAsia="Calibri"/>
          <w:sz w:val="22"/>
          <w:szCs w:val="22"/>
          <w:lang w:eastAsia="en-US"/>
        </w:rPr>
        <w:t>,</w:t>
      </w:r>
      <w:r w:rsidR="00794986" w:rsidRPr="0031772E">
        <w:rPr>
          <w:rFonts w:eastAsia="Calibri"/>
          <w:sz w:val="22"/>
          <w:szCs w:val="22"/>
          <w:lang w:eastAsia="en-US"/>
        </w:rPr>
        <w:t xml:space="preserve"> </w:t>
      </w:r>
      <w:r w:rsidR="00794986">
        <w:rPr>
          <w:rFonts w:eastAsia="Calibri"/>
          <w:sz w:val="22"/>
          <w:szCs w:val="22"/>
          <w:lang w:eastAsia="en-US"/>
        </w:rPr>
        <w:t xml:space="preserve">a na stavební práce, jejichž </w:t>
      </w:r>
      <w:r w:rsidR="00794986" w:rsidRPr="00C91D19">
        <w:rPr>
          <w:rFonts w:eastAsia="Calibri"/>
          <w:sz w:val="22"/>
          <w:szCs w:val="22"/>
          <w:lang w:eastAsia="en-US"/>
        </w:rPr>
        <w:t>předpokládaná hodnota nepřesáhne</w:t>
      </w:r>
      <w:r w:rsidR="00794986" w:rsidRPr="0031772E">
        <w:rPr>
          <w:rFonts w:eastAsia="Calibri"/>
          <w:sz w:val="22"/>
          <w:szCs w:val="22"/>
          <w:lang w:eastAsia="en-US"/>
        </w:rPr>
        <w:t xml:space="preserve"> </w:t>
      </w:r>
      <w:r w:rsidR="00930DA1">
        <w:rPr>
          <w:rFonts w:eastAsia="Calibri"/>
          <w:sz w:val="22"/>
          <w:szCs w:val="22"/>
          <w:lang w:eastAsia="en-US"/>
        </w:rPr>
        <w:t>2</w:t>
      </w:r>
      <w:r w:rsidR="00B9264C">
        <w:rPr>
          <w:rFonts w:eastAsia="Calibri"/>
          <w:sz w:val="22"/>
          <w:szCs w:val="22"/>
          <w:lang w:eastAsia="en-US"/>
        </w:rPr>
        <w:t>50</w:t>
      </w:r>
      <w:r w:rsidR="00B9264C" w:rsidRPr="0031772E">
        <w:rPr>
          <w:rFonts w:eastAsia="Calibri"/>
          <w:sz w:val="22"/>
          <w:szCs w:val="22"/>
          <w:lang w:eastAsia="en-US"/>
        </w:rPr>
        <w:t xml:space="preserve"> </w:t>
      </w:r>
      <w:r w:rsidR="00794986" w:rsidRPr="0031772E">
        <w:rPr>
          <w:rFonts w:eastAsia="Calibri"/>
          <w:sz w:val="22"/>
          <w:szCs w:val="22"/>
          <w:lang w:eastAsia="en-US"/>
        </w:rPr>
        <w:t>tis. Kč</w:t>
      </w:r>
      <w:r w:rsidR="00794986">
        <w:rPr>
          <w:rFonts w:eastAsia="Calibri"/>
          <w:sz w:val="22"/>
          <w:szCs w:val="22"/>
          <w:lang w:eastAsia="en-US"/>
        </w:rPr>
        <w:t>,</w:t>
      </w:r>
      <w:r w:rsidRPr="009F3251">
        <w:rPr>
          <w:rFonts w:eastAsia="Calibri"/>
          <w:sz w:val="22"/>
          <w:szCs w:val="22"/>
          <w:lang w:eastAsia="en-US"/>
        </w:rPr>
        <w:t xml:space="preserve"> </w:t>
      </w:r>
      <w:r w:rsidRPr="00913509">
        <w:rPr>
          <w:rFonts w:eastAsia="Calibri"/>
          <w:sz w:val="22"/>
          <w:szCs w:val="22"/>
          <w:lang w:eastAsia="en-US"/>
        </w:rPr>
        <w:t>mohou být</w:t>
      </w:r>
      <w:r w:rsidR="00E00A26" w:rsidRPr="00913509">
        <w:rPr>
          <w:rFonts w:eastAsia="Calibri"/>
          <w:sz w:val="22"/>
          <w:szCs w:val="22"/>
          <w:lang w:eastAsia="en-US"/>
        </w:rPr>
        <w:t xml:space="preserve"> </w:t>
      </w:r>
      <w:r w:rsidRPr="00913509">
        <w:rPr>
          <w:rFonts w:eastAsia="Calibri"/>
          <w:sz w:val="22"/>
          <w:szCs w:val="22"/>
          <w:lang w:eastAsia="en-US"/>
        </w:rPr>
        <w:t>zadány přímým zadáním oslovením jednoho dodavatele, při res</w:t>
      </w:r>
      <w:r w:rsidR="00F1675F" w:rsidRPr="00913509">
        <w:rPr>
          <w:rFonts w:eastAsia="Calibri"/>
          <w:sz w:val="22"/>
          <w:szCs w:val="22"/>
          <w:lang w:eastAsia="en-US"/>
        </w:rPr>
        <w:t>pektování obvyklých cen na trhu</w:t>
      </w:r>
      <w:r w:rsidR="0026524C">
        <w:rPr>
          <w:rFonts w:eastAsia="Calibri"/>
          <w:sz w:val="22"/>
          <w:szCs w:val="22"/>
          <w:lang w:eastAsia="en-US"/>
        </w:rPr>
        <w:t>. Obvyklou cenu na trhu zadavatel zjistí např. průzkumem trhu, popř. poptávkou; čl. X. odst. 1 tohoto předpisu platí obdobně.</w:t>
      </w:r>
      <w:r w:rsidR="00BA5718" w:rsidRPr="00913509">
        <w:rPr>
          <w:rFonts w:eastAsia="Calibri"/>
          <w:sz w:val="22"/>
          <w:szCs w:val="22"/>
          <w:lang w:eastAsia="en-US"/>
        </w:rPr>
        <w:t xml:space="preserve"> </w:t>
      </w:r>
    </w:p>
    <w:p w:rsidR="00794986" w:rsidRPr="00DA2BC8" w:rsidRDefault="00794986" w:rsidP="00EF7495">
      <w:pPr>
        <w:numPr>
          <w:ilvl w:val="0"/>
          <w:numId w:val="19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C91D19">
        <w:rPr>
          <w:rFonts w:eastAsia="Calibri"/>
          <w:snapToGrid w:val="0"/>
          <w:sz w:val="22"/>
          <w:szCs w:val="22"/>
          <w:lang w:eastAsia="en-US"/>
        </w:rPr>
        <w:t>Smlouvu</w:t>
      </w:r>
      <w:r>
        <w:rPr>
          <w:rFonts w:eastAsia="Calibri"/>
          <w:snapToGrid w:val="0"/>
          <w:sz w:val="22"/>
          <w:szCs w:val="22"/>
          <w:lang w:eastAsia="en-US"/>
        </w:rPr>
        <w:t xml:space="preserve"> (objednávku)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s</w:t>
      </w:r>
      <w:r>
        <w:rPr>
          <w:rFonts w:eastAsia="Calibri"/>
          <w:snapToGrid w:val="0"/>
          <w:sz w:val="22"/>
          <w:szCs w:val="22"/>
          <w:lang w:eastAsia="en-US"/>
        </w:rPr>
        <w:t> vybraným dodavatelem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podepisuje pověřený zaměstnanec zadavatele v souladu s vnitřním předpis</w:t>
      </w:r>
      <w:r w:rsidR="00EC2057">
        <w:rPr>
          <w:rFonts w:eastAsia="Calibri"/>
          <w:snapToGrid w:val="0"/>
          <w:sz w:val="22"/>
          <w:szCs w:val="22"/>
          <w:lang w:eastAsia="en-US"/>
        </w:rPr>
        <w:t>em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zadavatele</w:t>
      </w:r>
      <w:r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9"/>
      </w:r>
      <w:r w:rsidRPr="00C91D19">
        <w:rPr>
          <w:rFonts w:eastAsia="Calibri"/>
          <w:snapToGrid w:val="0"/>
          <w:sz w:val="22"/>
          <w:szCs w:val="22"/>
          <w:lang w:eastAsia="en-US"/>
        </w:rPr>
        <w:t>.</w:t>
      </w:r>
    </w:p>
    <w:p w:rsidR="00DA2BC8" w:rsidRDefault="00DA2BC8" w:rsidP="00DA2BC8">
      <w:pPr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2D7D0B" w:rsidRDefault="002D7D0B" w:rsidP="00DA2BC8">
      <w:pPr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794986" w:rsidRPr="00DA2BC8" w:rsidRDefault="00794986" w:rsidP="00794986">
      <w:pPr>
        <w:widowControl w:val="0"/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X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794986" w:rsidRDefault="00794986" w:rsidP="00794986">
      <w:pPr>
        <w:pStyle w:val="Nadpis2"/>
        <w:keepNext w:val="0"/>
        <w:widowControl w:val="0"/>
        <w:jc w:val="center"/>
        <w:rPr>
          <w:rFonts w:eastAsia="Calibri"/>
          <w:lang w:eastAsia="en-US"/>
        </w:rPr>
      </w:pPr>
      <w:bookmarkStart w:id="34" w:name="_Toc210984956"/>
      <w:r w:rsidRPr="0031772E">
        <w:rPr>
          <w:rFonts w:eastAsia="Calibri"/>
          <w:sz w:val="22"/>
          <w:szCs w:val="22"/>
        </w:rPr>
        <w:t>Zadávání veřejných zakázek</w:t>
      </w:r>
      <w:r>
        <w:rPr>
          <w:rFonts w:eastAsia="Calibri"/>
          <w:sz w:val="22"/>
          <w:szCs w:val="22"/>
        </w:rPr>
        <w:t xml:space="preserve"> na dodávky a služby, </w:t>
      </w:r>
      <w:r w:rsidRPr="00C91D19">
        <w:rPr>
          <w:rFonts w:eastAsia="Calibri"/>
          <w:sz w:val="22"/>
          <w:szCs w:val="22"/>
          <w:lang w:eastAsia="en-US"/>
        </w:rPr>
        <w:t>jej</w:t>
      </w:r>
      <w:r>
        <w:rPr>
          <w:rFonts w:eastAsia="Calibri"/>
          <w:sz w:val="22"/>
          <w:szCs w:val="22"/>
          <w:lang w:eastAsia="en-US"/>
        </w:rPr>
        <w:t>ichž</w:t>
      </w:r>
      <w:r w:rsidRPr="00C91D19">
        <w:rPr>
          <w:rFonts w:eastAsia="Calibri"/>
          <w:sz w:val="22"/>
          <w:szCs w:val="22"/>
          <w:lang w:eastAsia="en-US"/>
        </w:rPr>
        <w:t xml:space="preserve"> předpokládaná hodnota </w:t>
      </w:r>
      <w:r>
        <w:rPr>
          <w:rFonts w:eastAsia="Calibri"/>
          <w:sz w:val="22"/>
          <w:szCs w:val="22"/>
          <w:lang w:eastAsia="en-US"/>
        </w:rPr>
        <w:t>je vyšší než</w:t>
      </w:r>
      <w:r w:rsidRPr="0031772E">
        <w:rPr>
          <w:rFonts w:eastAsia="Calibri"/>
          <w:sz w:val="22"/>
          <w:szCs w:val="22"/>
        </w:rPr>
        <w:t xml:space="preserve"> </w:t>
      </w:r>
      <w:r w:rsidR="00B9264C">
        <w:rPr>
          <w:rFonts w:eastAsia="Calibri"/>
          <w:sz w:val="22"/>
          <w:szCs w:val="22"/>
        </w:rPr>
        <w:t>1</w:t>
      </w:r>
      <w:r w:rsidR="00930DA1">
        <w:rPr>
          <w:rFonts w:eastAsia="Calibri"/>
          <w:sz w:val="22"/>
          <w:szCs w:val="22"/>
        </w:rPr>
        <w:t>0</w:t>
      </w:r>
      <w:r w:rsidR="00B9264C">
        <w:rPr>
          <w:rFonts w:eastAsia="Calibri"/>
          <w:sz w:val="22"/>
          <w:szCs w:val="22"/>
        </w:rPr>
        <w:t>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Pr="0031772E">
        <w:rPr>
          <w:rFonts w:eastAsia="Calibri"/>
          <w:sz w:val="22"/>
          <w:szCs w:val="22"/>
        </w:rPr>
        <w:t xml:space="preserve">tis. Kč </w:t>
      </w:r>
      <w:r>
        <w:rPr>
          <w:rFonts w:eastAsia="Calibri"/>
          <w:sz w:val="22"/>
          <w:szCs w:val="22"/>
        </w:rPr>
        <w:t xml:space="preserve">a nepřesahuje </w:t>
      </w:r>
      <w:r w:rsidR="00B9264C">
        <w:rPr>
          <w:rFonts w:eastAsia="Calibri"/>
          <w:sz w:val="22"/>
          <w:szCs w:val="22"/>
        </w:rPr>
        <w:t xml:space="preserve">800 </w:t>
      </w:r>
      <w:r>
        <w:rPr>
          <w:rFonts w:eastAsia="Calibri"/>
          <w:sz w:val="22"/>
          <w:szCs w:val="22"/>
        </w:rPr>
        <w:t>tis. Kč</w:t>
      </w:r>
      <w:r w:rsidR="005E1E22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a na stavební práce, jejichž </w:t>
      </w:r>
      <w:r w:rsidRPr="00C91D19">
        <w:rPr>
          <w:rFonts w:eastAsia="Calibri"/>
          <w:sz w:val="22"/>
          <w:szCs w:val="22"/>
          <w:lang w:eastAsia="en-US"/>
        </w:rPr>
        <w:t xml:space="preserve">předpokládaná hodnota </w:t>
      </w:r>
      <w:r>
        <w:rPr>
          <w:rFonts w:eastAsia="Calibri"/>
          <w:sz w:val="22"/>
          <w:szCs w:val="22"/>
          <w:lang w:eastAsia="en-US"/>
        </w:rPr>
        <w:t>je vyšší než</w:t>
      </w:r>
      <w:r w:rsidRPr="0031772E">
        <w:rPr>
          <w:rFonts w:eastAsia="Calibri"/>
          <w:sz w:val="22"/>
          <w:szCs w:val="22"/>
        </w:rPr>
        <w:t xml:space="preserve"> </w:t>
      </w:r>
      <w:r w:rsidR="00930DA1">
        <w:rPr>
          <w:rFonts w:eastAsia="Calibri"/>
          <w:sz w:val="22"/>
          <w:szCs w:val="22"/>
        </w:rPr>
        <w:t>2</w:t>
      </w:r>
      <w:r w:rsidR="00B9264C">
        <w:rPr>
          <w:rFonts w:eastAsia="Calibri"/>
          <w:sz w:val="22"/>
          <w:szCs w:val="22"/>
        </w:rPr>
        <w:t>50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Pr="0031772E">
        <w:rPr>
          <w:rFonts w:eastAsia="Calibri"/>
          <w:sz w:val="22"/>
          <w:szCs w:val="22"/>
        </w:rPr>
        <w:t xml:space="preserve">tis. Kč </w:t>
      </w:r>
      <w:r>
        <w:rPr>
          <w:rFonts w:eastAsia="Calibri"/>
          <w:sz w:val="22"/>
          <w:szCs w:val="22"/>
        </w:rPr>
        <w:t xml:space="preserve">a nepřesahuje </w:t>
      </w:r>
      <w:r w:rsidR="00B9264C">
        <w:rPr>
          <w:rFonts w:eastAsia="Calibri"/>
          <w:sz w:val="22"/>
          <w:szCs w:val="22"/>
        </w:rPr>
        <w:t xml:space="preserve">1,5 </w:t>
      </w:r>
      <w:r>
        <w:rPr>
          <w:rFonts w:eastAsia="Calibri"/>
          <w:sz w:val="22"/>
          <w:szCs w:val="22"/>
        </w:rPr>
        <w:t>mil. Kč</w:t>
      </w:r>
      <w:bookmarkEnd w:id="34"/>
      <w:r>
        <w:rPr>
          <w:rFonts w:eastAsia="Calibri"/>
          <w:sz w:val="22"/>
          <w:szCs w:val="22"/>
        </w:rPr>
        <w:t xml:space="preserve"> </w:t>
      </w:r>
    </w:p>
    <w:p w:rsidR="00C91D19" w:rsidRPr="009F3251" w:rsidRDefault="00C91D19" w:rsidP="00EF749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F3251">
        <w:rPr>
          <w:rFonts w:eastAsia="Calibri"/>
          <w:sz w:val="22"/>
          <w:szCs w:val="22"/>
          <w:lang w:eastAsia="en-US"/>
        </w:rPr>
        <w:t>V případě veřejných zakázek</w:t>
      </w:r>
      <w:r w:rsidR="00794986" w:rsidRPr="00794986">
        <w:rPr>
          <w:rFonts w:eastAsia="Calibri"/>
          <w:sz w:val="22"/>
          <w:szCs w:val="22"/>
        </w:rPr>
        <w:t xml:space="preserve"> </w:t>
      </w:r>
      <w:r w:rsidR="00794986">
        <w:rPr>
          <w:rFonts w:eastAsia="Calibri"/>
          <w:sz w:val="22"/>
          <w:szCs w:val="22"/>
        </w:rPr>
        <w:t xml:space="preserve">na dodávky a služby, </w:t>
      </w:r>
      <w:r w:rsidR="00794986" w:rsidRPr="00C91D19">
        <w:rPr>
          <w:rFonts w:eastAsia="Calibri"/>
          <w:sz w:val="22"/>
          <w:szCs w:val="22"/>
          <w:lang w:eastAsia="en-US"/>
        </w:rPr>
        <w:t>jej</w:t>
      </w:r>
      <w:r w:rsidR="00794986">
        <w:rPr>
          <w:rFonts w:eastAsia="Calibri"/>
          <w:sz w:val="22"/>
          <w:szCs w:val="22"/>
          <w:lang w:eastAsia="en-US"/>
        </w:rPr>
        <w:t>ichž</w:t>
      </w:r>
      <w:r w:rsidR="00794986" w:rsidRPr="00C91D19">
        <w:rPr>
          <w:rFonts w:eastAsia="Calibri"/>
          <w:sz w:val="22"/>
          <w:szCs w:val="22"/>
          <w:lang w:eastAsia="en-US"/>
        </w:rPr>
        <w:t xml:space="preserve"> předpokládaná hodnota </w:t>
      </w:r>
      <w:r w:rsidR="00794986">
        <w:rPr>
          <w:rFonts w:eastAsia="Calibri"/>
          <w:sz w:val="22"/>
          <w:szCs w:val="22"/>
          <w:lang w:eastAsia="en-US"/>
        </w:rPr>
        <w:t>je vyšší než</w:t>
      </w:r>
      <w:r w:rsidR="00794986" w:rsidRPr="0031772E">
        <w:rPr>
          <w:rFonts w:eastAsia="Calibri"/>
          <w:sz w:val="22"/>
          <w:szCs w:val="22"/>
        </w:rPr>
        <w:t xml:space="preserve"> </w:t>
      </w:r>
      <w:r w:rsidR="00B9264C">
        <w:rPr>
          <w:rFonts w:eastAsia="Calibri"/>
          <w:sz w:val="22"/>
          <w:szCs w:val="22"/>
        </w:rPr>
        <w:t>1</w:t>
      </w:r>
      <w:r w:rsidR="00930DA1">
        <w:rPr>
          <w:rFonts w:eastAsia="Calibri"/>
          <w:sz w:val="22"/>
          <w:szCs w:val="22"/>
        </w:rPr>
        <w:t>0</w:t>
      </w:r>
      <w:r w:rsidR="00B9264C">
        <w:rPr>
          <w:rFonts w:eastAsia="Calibri"/>
          <w:sz w:val="22"/>
          <w:szCs w:val="22"/>
        </w:rPr>
        <w:t>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="00794986" w:rsidRPr="0031772E">
        <w:rPr>
          <w:rFonts w:eastAsia="Calibri"/>
          <w:sz w:val="22"/>
          <w:szCs w:val="22"/>
        </w:rPr>
        <w:t xml:space="preserve">tis. Kč </w:t>
      </w:r>
      <w:r w:rsidR="00794986">
        <w:rPr>
          <w:rFonts w:eastAsia="Calibri"/>
          <w:sz w:val="22"/>
          <w:szCs w:val="22"/>
        </w:rPr>
        <w:lastRenderedPageBreak/>
        <w:t xml:space="preserve">a nepřesahuje </w:t>
      </w:r>
      <w:r w:rsidR="00B9264C">
        <w:rPr>
          <w:rFonts w:eastAsia="Calibri"/>
          <w:sz w:val="22"/>
          <w:szCs w:val="22"/>
        </w:rPr>
        <w:t xml:space="preserve">800 </w:t>
      </w:r>
      <w:r w:rsidR="00794986">
        <w:rPr>
          <w:rFonts w:eastAsia="Calibri"/>
          <w:sz w:val="22"/>
          <w:szCs w:val="22"/>
        </w:rPr>
        <w:t>tis. Kč</w:t>
      </w:r>
      <w:r w:rsidR="005E1E22">
        <w:rPr>
          <w:rFonts w:eastAsia="Calibri"/>
          <w:sz w:val="22"/>
          <w:szCs w:val="22"/>
        </w:rPr>
        <w:t>,</w:t>
      </w:r>
      <w:r w:rsidR="00794986">
        <w:rPr>
          <w:rFonts w:eastAsia="Calibri"/>
          <w:sz w:val="22"/>
          <w:szCs w:val="22"/>
        </w:rPr>
        <w:t xml:space="preserve"> a na stavební práce, jejichž </w:t>
      </w:r>
      <w:r w:rsidR="00794986" w:rsidRPr="00C91D19">
        <w:rPr>
          <w:rFonts w:eastAsia="Calibri"/>
          <w:sz w:val="22"/>
          <w:szCs w:val="22"/>
          <w:lang w:eastAsia="en-US"/>
        </w:rPr>
        <w:t xml:space="preserve">předpokládaná hodnota </w:t>
      </w:r>
      <w:r w:rsidR="00794986">
        <w:rPr>
          <w:rFonts w:eastAsia="Calibri"/>
          <w:sz w:val="22"/>
          <w:szCs w:val="22"/>
          <w:lang w:eastAsia="en-US"/>
        </w:rPr>
        <w:t>je vyšší než</w:t>
      </w:r>
      <w:r w:rsidR="00794986" w:rsidRPr="0031772E">
        <w:rPr>
          <w:rFonts w:eastAsia="Calibri"/>
          <w:sz w:val="22"/>
          <w:szCs w:val="22"/>
        </w:rPr>
        <w:t xml:space="preserve"> </w:t>
      </w:r>
      <w:r w:rsidR="00930DA1">
        <w:rPr>
          <w:rFonts w:eastAsia="Calibri"/>
          <w:sz w:val="22"/>
          <w:szCs w:val="22"/>
        </w:rPr>
        <w:t>2</w:t>
      </w:r>
      <w:r w:rsidR="00B9264C">
        <w:rPr>
          <w:rFonts w:eastAsia="Calibri"/>
          <w:sz w:val="22"/>
          <w:szCs w:val="22"/>
        </w:rPr>
        <w:t>50</w:t>
      </w:r>
      <w:r w:rsidR="00B9264C" w:rsidRPr="0031772E">
        <w:rPr>
          <w:rFonts w:eastAsia="Calibri"/>
          <w:sz w:val="22"/>
          <w:szCs w:val="22"/>
        </w:rPr>
        <w:t xml:space="preserve"> </w:t>
      </w:r>
      <w:r w:rsidR="00794986" w:rsidRPr="0031772E">
        <w:rPr>
          <w:rFonts w:eastAsia="Calibri"/>
          <w:sz w:val="22"/>
          <w:szCs w:val="22"/>
        </w:rPr>
        <w:t xml:space="preserve">tis. Kč </w:t>
      </w:r>
      <w:r w:rsidR="00794986">
        <w:rPr>
          <w:rFonts w:eastAsia="Calibri"/>
          <w:sz w:val="22"/>
          <w:szCs w:val="22"/>
        </w:rPr>
        <w:t>a</w:t>
      </w:r>
      <w:r w:rsidR="002D7D0B">
        <w:rPr>
          <w:rFonts w:eastAsia="Calibri"/>
          <w:sz w:val="22"/>
          <w:szCs w:val="22"/>
        </w:rPr>
        <w:t> </w:t>
      </w:r>
      <w:r w:rsidR="00794986">
        <w:rPr>
          <w:rFonts w:eastAsia="Calibri"/>
          <w:sz w:val="22"/>
          <w:szCs w:val="22"/>
        </w:rPr>
        <w:t xml:space="preserve">nepřesahuje </w:t>
      </w:r>
      <w:r w:rsidR="00B9264C">
        <w:rPr>
          <w:rFonts w:eastAsia="Calibri"/>
          <w:sz w:val="22"/>
          <w:szCs w:val="22"/>
        </w:rPr>
        <w:t xml:space="preserve">1,5 </w:t>
      </w:r>
      <w:r w:rsidR="00794986">
        <w:rPr>
          <w:rFonts w:eastAsia="Calibri"/>
          <w:sz w:val="22"/>
          <w:szCs w:val="22"/>
        </w:rPr>
        <w:t>mil. Kč</w:t>
      </w:r>
      <w:r w:rsidR="005E1E22">
        <w:rPr>
          <w:rFonts w:eastAsia="Calibri"/>
          <w:sz w:val="22"/>
          <w:szCs w:val="22"/>
        </w:rPr>
        <w:t>,</w:t>
      </w:r>
      <w:r w:rsidRPr="009F3251">
        <w:rPr>
          <w:rFonts w:eastAsia="Calibri"/>
          <w:sz w:val="22"/>
          <w:szCs w:val="22"/>
          <w:lang w:eastAsia="en-US"/>
        </w:rPr>
        <w:t xml:space="preserve"> je pověřený zaměstnanec zadavatele povinen prokazatelně doložit průzkum trhu</w:t>
      </w:r>
      <w:r w:rsidR="00794986">
        <w:rPr>
          <w:rFonts w:eastAsia="Calibri"/>
          <w:sz w:val="22"/>
          <w:szCs w:val="22"/>
          <w:lang w:eastAsia="en-US"/>
        </w:rPr>
        <w:t xml:space="preserve"> či poptávku</w:t>
      </w:r>
      <w:r w:rsidRPr="009F3251">
        <w:rPr>
          <w:rFonts w:eastAsia="Calibri"/>
          <w:sz w:val="22"/>
          <w:szCs w:val="22"/>
          <w:lang w:eastAsia="en-US"/>
        </w:rPr>
        <w:t xml:space="preserve"> minimálně u 3 dodavatelů.  </w:t>
      </w:r>
    </w:p>
    <w:p w:rsidR="00C91D19" w:rsidRPr="00C91D19" w:rsidRDefault="00C91D19" w:rsidP="00EF7495">
      <w:pPr>
        <w:widowControl w:val="0"/>
        <w:numPr>
          <w:ilvl w:val="0"/>
          <w:numId w:val="2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C91D19">
        <w:rPr>
          <w:rFonts w:eastAsia="Calibri"/>
          <w:sz w:val="22"/>
          <w:szCs w:val="22"/>
          <w:lang w:eastAsia="en-US"/>
        </w:rPr>
        <w:t>O nejv</w:t>
      </w:r>
      <w:r w:rsidR="00794986">
        <w:rPr>
          <w:rFonts w:eastAsia="Calibri"/>
          <w:sz w:val="22"/>
          <w:szCs w:val="22"/>
          <w:lang w:eastAsia="en-US"/>
        </w:rPr>
        <w:t>ý</w:t>
      </w:r>
      <w:r w:rsidRPr="00C91D19">
        <w:rPr>
          <w:rFonts w:eastAsia="Calibri"/>
          <w:sz w:val="22"/>
          <w:szCs w:val="22"/>
          <w:lang w:eastAsia="en-US"/>
        </w:rPr>
        <w:t>hodnější nabídce</w:t>
      </w:r>
      <w:r w:rsidR="00BD49A0">
        <w:rPr>
          <w:rFonts w:eastAsia="Calibri"/>
          <w:sz w:val="22"/>
          <w:szCs w:val="22"/>
          <w:lang w:eastAsia="en-US"/>
        </w:rPr>
        <w:t xml:space="preserve"> splňující kritéria</w:t>
      </w:r>
      <w:r w:rsidRPr="00C91D19">
        <w:rPr>
          <w:rFonts w:eastAsia="Calibri"/>
          <w:sz w:val="22"/>
          <w:szCs w:val="22"/>
          <w:lang w:eastAsia="en-US"/>
        </w:rPr>
        <w:t xml:space="preserve"> rozhoduje pověřený zaměstnanec zadavatele. </w:t>
      </w:r>
      <w:r w:rsidRPr="00C91D19">
        <w:rPr>
          <w:rFonts w:eastAsia="Calibri"/>
          <w:snapToGrid w:val="0"/>
          <w:sz w:val="22"/>
          <w:szCs w:val="22"/>
          <w:lang w:eastAsia="en-US"/>
        </w:rPr>
        <w:t>Smlouvu</w:t>
      </w:r>
      <w:r w:rsidR="00774F40">
        <w:rPr>
          <w:rFonts w:eastAsia="Calibri"/>
          <w:snapToGrid w:val="0"/>
          <w:sz w:val="22"/>
          <w:szCs w:val="22"/>
          <w:lang w:eastAsia="en-US"/>
        </w:rPr>
        <w:t xml:space="preserve"> (objednávku)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s</w:t>
      </w:r>
      <w:r>
        <w:rPr>
          <w:rFonts w:eastAsia="Calibri"/>
          <w:snapToGrid w:val="0"/>
          <w:sz w:val="22"/>
          <w:szCs w:val="22"/>
          <w:lang w:eastAsia="en-US"/>
        </w:rPr>
        <w:t> vybraným dodavatelem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podepisuje pověřený zaměstnanec zadavatele v souladu s vnitřním předpis</w:t>
      </w:r>
      <w:r w:rsidR="006D59B2">
        <w:rPr>
          <w:rFonts w:eastAsia="Calibri"/>
          <w:snapToGrid w:val="0"/>
          <w:sz w:val="22"/>
          <w:szCs w:val="22"/>
          <w:lang w:eastAsia="en-US"/>
        </w:rPr>
        <w:t>em</w:t>
      </w:r>
      <w:r w:rsidRPr="00C91D19">
        <w:rPr>
          <w:rFonts w:eastAsia="Calibri"/>
          <w:snapToGrid w:val="0"/>
          <w:sz w:val="22"/>
          <w:szCs w:val="22"/>
          <w:lang w:eastAsia="en-US"/>
        </w:rPr>
        <w:t xml:space="preserve"> zadavatele</w:t>
      </w:r>
      <w:r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10"/>
      </w:r>
      <w:r w:rsidRPr="00C91D19">
        <w:rPr>
          <w:rFonts w:eastAsia="Calibri"/>
          <w:snapToGrid w:val="0"/>
          <w:sz w:val="22"/>
          <w:szCs w:val="22"/>
          <w:lang w:eastAsia="en-US"/>
        </w:rPr>
        <w:t>.</w:t>
      </w:r>
    </w:p>
    <w:p w:rsidR="005E33AB" w:rsidRPr="00924C0A" w:rsidRDefault="005E33AB" w:rsidP="00913509">
      <w:pPr>
        <w:widowControl w:val="0"/>
        <w:jc w:val="both"/>
        <w:rPr>
          <w:rFonts w:eastAsia="Calibri"/>
          <w:sz w:val="22"/>
          <w:szCs w:val="22"/>
          <w:lang w:eastAsia="en-US"/>
        </w:rPr>
      </w:pPr>
    </w:p>
    <w:p w:rsidR="00BB49E7" w:rsidRPr="00924C0A" w:rsidRDefault="00BB49E7" w:rsidP="002E1ACA">
      <w:pPr>
        <w:jc w:val="both"/>
        <w:rPr>
          <w:rFonts w:eastAsia="Calibri"/>
          <w:sz w:val="22"/>
          <w:szCs w:val="22"/>
          <w:lang w:eastAsia="en-US"/>
        </w:rPr>
      </w:pPr>
    </w:p>
    <w:p w:rsidR="00F27E58" w:rsidRPr="00DA2BC8" w:rsidRDefault="00F27E58" w:rsidP="00913509">
      <w:pPr>
        <w:widowControl w:val="0"/>
        <w:jc w:val="center"/>
        <w:rPr>
          <w:rFonts w:eastAsia="Calibri"/>
          <w:b/>
          <w:sz w:val="22"/>
          <w:szCs w:val="22"/>
        </w:rPr>
      </w:pPr>
      <w:bookmarkStart w:id="35" w:name="_Toc399911820"/>
      <w:bookmarkStart w:id="36" w:name="_Toc403400636"/>
      <w:bookmarkStart w:id="37" w:name="_Toc453761083"/>
      <w:r w:rsidRPr="00DA2BC8">
        <w:rPr>
          <w:rFonts w:eastAsia="Calibri"/>
          <w:b/>
          <w:sz w:val="22"/>
          <w:szCs w:val="22"/>
        </w:rPr>
        <w:t xml:space="preserve">Čl. </w:t>
      </w:r>
      <w:r w:rsidR="00A94FB6" w:rsidRPr="00DA2BC8">
        <w:rPr>
          <w:rFonts w:eastAsia="Calibri"/>
          <w:b/>
          <w:sz w:val="22"/>
          <w:szCs w:val="22"/>
        </w:rPr>
        <w:t>X</w:t>
      </w:r>
      <w:bookmarkEnd w:id="35"/>
      <w:bookmarkEnd w:id="36"/>
      <w:bookmarkEnd w:id="37"/>
      <w:r w:rsidR="009377C1" w:rsidRPr="00DA2BC8">
        <w:rPr>
          <w:rFonts w:eastAsia="Calibri"/>
          <w:b/>
          <w:sz w:val="22"/>
          <w:szCs w:val="22"/>
        </w:rPr>
        <w:t>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D74BDE" w:rsidRDefault="00F27E58" w:rsidP="00913509">
      <w:pPr>
        <w:pStyle w:val="Nadpis2"/>
        <w:keepNext w:val="0"/>
        <w:widowControl w:val="0"/>
        <w:jc w:val="center"/>
        <w:rPr>
          <w:rFonts w:eastAsia="Calibri"/>
          <w:sz w:val="22"/>
          <w:szCs w:val="22"/>
        </w:rPr>
      </w:pPr>
      <w:bookmarkStart w:id="38" w:name="_Toc210984957"/>
      <w:r w:rsidRPr="0058620F">
        <w:rPr>
          <w:rFonts w:eastAsia="Calibri"/>
          <w:sz w:val="22"/>
          <w:szCs w:val="22"/>
        </w:rPr>
        <w:t>Zadávání veřejných zakázek</w:t>
      </w:r>
      <w:r w:rsidR="00315E47">
        <w:rPr>
          <w:rFonts w:eastAsia="Calibri"/>
          <w:sz w:val="22"/>
          <w:szCs w:val="22"/>
        </w:rPr>
        <w:t xml:space="preserve"> malého rozsahu na dodávky a služby</w:t>
      </w:r>
      <w:r w:rsidR="00C055AB" w:rsidRPr="0058620F">
        <w:rPr>
          <w:rFonts w:eastAsia="Calibri"/>
          <w:sz w:val="22"/>
          <w:szCs w:val="22"/>
        </w:rPr>
        <w:t>,</w:t>
      </w:r>
      <w:r w:rsidRPr="0058620F">
        <w:rPr>
          <w:rFonts w:eastAsia="Calibri"/>
          <w:sz w:val="22"/>
          <w:szCs w:val="22"/>
        </w:rPr>
        <w:t xml:space="preserve"> </w:t>
      </w:r>
      <w:r w:rsidR="00C055AB" w:rsidRPr="0058620F">
        <w:rPr>
          <w:rFonts w:eastAsia="Calibri"/>
          <w:sz w:val="22"/>
          <w:szCs w:val="22"/>
          <w:lang w:eastAsia="en-US"/>
        </w:rPr>
        <w:t xml:space="preserve">jejichž předpokládaná hodnota </w:t>
      </w:r>
      <w:r w:rsidR="00315E47">
        <w:rPr>
          <w:rFonts w:eastAsia="Calibri"/>
          <w:sz w:val="22"/>
          <w:szCs w:val="22"/>
          <w:lang w:eastAsia="en-US"/>
        </w:rPr>
        <w:t>je vyšší</w:t>
      </w:r>
      <w:r w:rsidR="00C055AB" w:rsidRPr="0058620F">
        <w:rPr>
          <w:rFonts w:eastAsia="Calibri"/>
          <w:sz w:val="22"/>
          <w:szCs w:val="22"/>
          <w:lang w:eastAsia="en-US"/>
        </w:rPr>
        <w:t xml:space="preserve"> než</w:t>
      </w:r>
      <w:r w:rsidR="00731374" w:rsidRPr="0058620F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B9264C">
        <w:rPr>
          <w:rFonts w:eastAsia="Calibri"/>
          <w:sz w:val="22"/>
          <w:szCs w:val="22"/>
          <w:lang w:eastAsia="en-US"/>
        </w:rPr>
        <w:t>800</w:t>
      </w:r>
      <w:r w:rsidR="00B9264C" w:rsidRPr="0058620F">
        <w:rPr>
          <w:rFonts w:eastAsia="Calibri"/>
          <w:sz w:val="22"/>
          <w:szCs w:val="22"/>
          <w:lang w:eastAsia="en-US"/>
        </w:rPr>
        <w:t xml:space="preserve"> </w:t>
      </w:r>
      <w:r w:rsidR="00C055AB" w:rsidRPr="0058620F">
        <w:rPr>
          <w:rFonts w:eastAsia="Calibri"/>
          <w:sz w:val="22"/>
          <w:szCs w:val="22"/>
          <w:lang w:eastAsia="en-US"/>
        </w:rPr>
        <w:t>tis. Kč</w:t>
      </w:r>
      <w:r w:rsidR="005E1E22">
        <w:rPr>
          <w:rFonts w:eastAsia="Calibri"/>
          <w:sz w:val="22"/>
          <w:szCs w:val="22"/>
          <w:lang w:eastAsia="en-US"/>
        </w:rPr>
        <w:t>,</w:t>
      </w:r>
      <w:r w:rsidR="00C055AB" w:rsidRPr="0058620F">
        <w:rPr>
          <w:rFonts w:eastAsia="Calibri"/>
          <w:sz w:val="22"/>
          <w:szCs w:val="22"/>
          <w:lang w:eastAsia="en-US"/>
        </w:rPr>
        <w:t xml:space="preserve"> </w:t>
      </w:r>
      <w:r w:rsidR="00315E47">
        <w:rPr>
          <w:rFonts w:eastAsia="Calibri"/>
          <w:sz w:val="22"/>
          <w:szCs w:val="22"/>
        </w:rPr>
        <w:t xml:space="preserve">a na stavební práce, jejichž </w:t>
      </w:r>
      <w:r w:rsidR="0041708C">
        <w:rPr>
          <w:rFonts w:eastAsia="Calibri"/>
          <w:sz w:val="22"/>
          <w:szCs w:val="22"/>
        </w:rPr>
        <w:t xml:space="preserve">předpokládaná </w:t>
      </w:r>
      <w:r w:rsidR="00315E47">
        <w:rPr>
          <w:rFonts w:eastAsia="Calibri"/>
          <w:sz w:val="22"/>
          <w:szCs w:val="22"/>
        </w:rPr>
        <w:t xml:space="preserve">hodnota je vyšší než </w:t>
      </w:r>
      <w:r w:rsidR="00B9264C">
        <w:rPr>
          <w:rFonts w:eastAsia="Calibri"/>
          <w:sz w:val="22"/>
          <w:szCs w:val="22"/>
        </w:rPr>
        <w:t xml:space="preserve">1,5 </w:t>
      </w:r>
      <w:r w:rsidR="00315E47">
        <w:rPr>
          <w:rFonts w:eastAsia="Calibri"/>
          <w:sz w:val="22"/>
          <w:szCs w:val="22"/>
        </w:rPr>
        <w:t>mil. Kč</w:t>
      </w:r>
      <w:bookmarkEnd w:id="38"/>
    </w:p>
    <w:p w:rsidR="00F27E58" w:rsidRPr="00D74BDE" w:rsidRDefault="00F27E58" w:rsidP="001A07A8">
      <w:pPr>
        <w:widowControl w:val="0"/>
        <w:numPr>
          <w:ilvl w:val="0"/>
          <w:numId w:val="41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D74BDE">
        <w:rPr>
          <w:rFonts w:eastAsia="Calibri"/>
          <w:sz w:val="22"/>
          <w:szCs w:val="22"/>
          <w:lang w:eastAsia="en-US"/>
        </w:rPr>
        <w:t>Zadá</w:t>
      </w:r>
      <w:r w:rsidR="00D74BDE" w:rsidRPr="00D74BDE">
        <w:rPr>
          <w:rFonts w:eastAsia="Calibri"/>
          <w:sz w:val="22"/>
          <w:szCs w:val="22"/>
          <w:lang w:eastAsia="en-US"/>
        </w:rPr>
        <w:t>vá</w:t>
      </w:r>
      <w:r w:rsidRPr="00D74BDE">
        <w:rPr>
          <w:rFonts w:eastAsia="Calibri"/>
          <w:sz w:val="22"/>
          <w:szCs w:val="22"/>
          <w:lang w:eastAsia="en-US"/>
        </w:rPr>
        <w:t xml:space="preserve">ní veřejné zakázky </w:t>
      </w:r>
      <w:r w:rsidR="00315E47">
        <w:rPr>
          <w:rFonts w:eastAsia="Calibri"/>
          <w:sz w:val="22"/>
          <w:szCs w:val="22"/>
        </w:rPr>
        <w:t>malého rozsahu na dodávky a služby</w:t>
      </w:r>
      <w:r w:rsidR="00315E47" w:rsidRPr="0058620F">
        <w:rPr>
          <w:rFonts w:eastAsia="Calibri"/>
          <w:sz w:val="22"/>
          <w:szCs w:val="22"/>
        </w:rPr>
        <w:t xml:space="preserve">, </w:t>
      </w:r>
      <w:r w:rsidR="00315E47" w:rsidRPr="0058620F">
        <w:rPr>
          <w:rFonts w:eastAsia="Calibri"/>
          <w:sz w:val="22"/>
          <w:szCs w:val="22"/>
          <w:lang w:eastAsia="en-US"/>
        </w:rPr>
        <w:t>jej</w:t>
      </w:r>
      <w:r w:rsidR="00315E47">
        <w:rPr>
          <w:rFonts w:eastAsia="Calibri"/>
          <w:sz w:val="22"/>
          <w:szCs w:val="22"/>
          <w:lang w:eastAsia="en-US"/>
        </w:rPr>
        <w:t>íž</w:t>
      </w:r>
      <w:r w:rsidR="00315E47" w:rsidRPr="0058620F">
        <w:rPr>
          <w:rFonts w:eastAsia="Calibri"/>
          <w:sz w:val="22"/>
          <w:szCs w:val="22"/>
          <w:lang w:eastAsia="en-US"/>
        </w:rPr>
        <w:t xml:space="preserve"> předpokládaná hodnota </w:t>
      </w:r>
      <w:r w:rsidR="00315E47">
        <w:rPr>
          <w:rFonts w:eastAsia="Calibri"/>
          <w:sz w:val="22"/>
          <w:szCs w:val="22"/>
          <w:lang w:eastAsia="en-US"/>
        </w:rPr>
        <w:t>je vyšší</w:t>
      </w:r>
      <w:r w:rsidR="00315E47" w:rsidRPr="0058620F">
        <w:rPr>
          <w:rFonts w:eastAsia="Calibri"/>
          <w:sz w:val="22"/>
          <w:szCs w:val="22"/>
          <w:lang w:eastAsia="en-US"/>
        </w:rPr>
        <w:t xml:space="preserve"> než</w:t>
      </w:r>
      <w:r w:rsidR="00315E47" w:rsidRPr="0058620F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B9264C">
        <w:rPr>
          <w:rFonts w:eastAsia="Calibri"/>
          <w:sz w:val="22"/>
          <w:szCs w:val="22"/>
          <w:lang w:eastAsia="en-US"/>
        </w:rPr>
        <w:t>800</w:t>
      </w:r>
      <w:r w:rsidR="00B9264C" w:rsidRPr="0058620F">
        <w:rPr>
          <w:rFonts w:eastAsia="Calibri"/>
          <w:sz w:val="22"/>
          <w:szCs w:val="22"/>
          <w:lang w:eastAsia="en-US"/>
        </w:rPr>
        <w:t xml:space="preserve"> </w:t>
      </w:r>
      <w:r w:rsidR="00315E47" w:rsidRPr="0058620F">
        <w:rPr>
          <w:rFonts w:eastAsia="Calibri"/>
          <w:sz w:val="22"/>
          <w:szCs w:val="22"/>
          <w:lang w:eastAsia="en-US"/>
        </w:rPr>
        <w:t>tis. Kč</w:t>
      </w:r>
      <w:r w:rsidR="005E1E22">
        <w:rPr>
          <w:rFonts w:eastAsia="Calibri"/>
          <w:sz w:val="22"/>
          <w:szCs w:val="22"/>
          <w:lang w:eastAsia="en-US"/>
        </w:rPr>
        <w:t>,</w:t>
      </w:r>
      <w:r w:rsidR="00315E47" w:rsidRPr="0058620F">
        <w:rPr>
          <w:rFonts w:eastAsia="Calibri"/>
          <w:sz w:val="22"/>
          <w:szCs w:val="22"/>
          <w:lang w:eastAsia="en-US"/>
        </w:rPr>
        <w:t xml:space="preserve"> </w:t>
      </w:r>
      <w:r w:rsidR="00315E47">
        <w:rPr>
          <w:rFonts w:eastAsia="Calibri"/>
          <w:sz w:val="22"/>
          <w:szCs w:val="22"/>
        </w:rPr>
        <w:t xml:space="preserve">a na stavební práce, jejíž </w:t>
      </w:r>
      <w:r w:rsidR="0041708C">
        <w:rPr>
          <w:rFonts w:eastAsia="Calibri"/>
          <w:sz w:val="22"/>
          <w:szCs w:val="22"/>
        </w:rPr>
        <w:t xml:space="preserve">předpokládaná </w:t>
      </w:r>
      <w:r w:rsidR="00315E47">
        <w:rPr>
          <w:rFonts w:eastAsia="Calibri"/>
          <w:sz w:val="22"/>
          <w:szCs w:val="22"/>
        </w:rPr>
        <w:t xml:space="preserve">hodnota je vyšší než </w:t>
      </w:r>
      <w:r w:rsidR="00B9264C">
        <w:rPr>
          <w:rFonts w:eastAsia="Calibri"/>
          <w:sz w:val="22"/>
          <w:szCs w:val="22"/>
        </w:rPr>
        <w:t xml:space="preserve">1,5 </w:t>
      </w:r>
      <w:r w:rsidR="00315E47">
        <w:rPr>
          <w:rFonts w:eastAsia="Calibri"/>
          <w:sz w:val="22"/>
          <w:szCs w:val="22"/>
        </w:rPr>
        <w:t>mil. Kč</w:t>
      </w:r>
      <w:r w:rsidRPr="00D74BDE">
        <w:rPr>
          <w:rFonts w:eastAsia="Calibri"/>
          <w:sz w:val="22"/>
          <w:szCs w:val="22"/>
          <w:lang w:eastAsia="en-US"/>
        </w:rPr>
        <w:t>, probíhá při respektování zákona</w:t>
      </w:r>
      <w:r w:rsidRPr="00D74BDE">
        <w:rPr>
          <w:rFonts w:eastAsia="Calibri"/>
          <w:sz w:val="22"/>
          <w:szCs w:val="22"/>
          <w:vertAlign w:val="superscript"/>
          <w:lang w:eastAsia="en-US"/>
        </w:rPr>
        <w:footnoteReference w:id="11"/>
      </w:r>
      <w:r w:rsidRPr="00D74BDE">
        <w:rPr>
          <w:rFonts w:eastAsia="Calibri"/>
          <w:sz w:val="22"/>
          <w:szCs w:val="22"/>
          <w:lang w:eastAsia="en-US"/>
        </w:rPr>
        <w:t xml:space="preserve"> následujícím způsobem:  </w:t>
      </w:r>
    </w:p>
    <w:p w:rsidR="00F27E58" w:rsidRPr="006C3A37" w:rsidRDefault="00271E27" w:rsidP="001A07A8">
      <w:pPr>
        <w:numPr>
          <w:ilvl w:val="1"/>
          <w:numId w:val="41"/>
        </w:numPr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A360BA">
        <w:rPr>
          <w:rFonts w:eastAsia="Calibri"/>
          <w:sz w:val="22"/>
          <w:szCs w:val="22"/>
          <w:lang w:eastAsia="en-US"/>
        </w:rPr>
        <w:t xml:space="preserve">Pověřený zaměstnanec zadavatele </w:t>
      </w:r>
      <w:r w:rsidR="00315E47" w:rsidRPr="006C3A37">
        <w:rPr>
          <w:rFonts w:eastAsia="Calibri"/>
          <w:sz w:val="22"/>
          <w:szCs w:val="22"/>
          <w:lang w:eastAsia="en-US"/>
        </w:rPr>
        <w:t xml:space="preserve">zahájí </w:t>
      </w:r>
      <w:r w:rsidR="008C73F9">
        <w:rPr>
          <w:rFonts w:eastAsia="Calibri"/>
          <w:sz w:val="22"/>
          <w:szCs w:val="22"/>
          <w:lang w:eastAsia="en-US"/>
        </w:rPr>
        <w:t xml:space="preserve">zadávací </w:t>
      </w:r>
      <w:r w:rsidR="00315E47" w:rsidRPr="006C3A37">
        <w:rPr>
          <w:rFonts w:eastAsia="Calibri"/>
          <w:sz w:val="22"/>
          <w:szCs w:val="22"/>
          <w:lang w:eastAsia="en-US"/>
        </w:rPr>
        <w:t>řízení</w:t>
      </w:r>
      <w:r w:rsidR="00315E47" w:rsidRPr="00A360BA">
        <w:rPr>
          <w:rFonts w:eastAsia="Calibri"/>
          <w:sz w:val="22"/>
          <w:szCs w:val="22"/>
          <w:lang w:eastAsia="en-US"/>
        </w:rPr>
        <w:t xml:space="preserve"> otevřené s výzvou na profilu zadavatele</w:t>
      </w:r>
      <w:r w:rsidR="00315E47">
        <w:rPr>
          <w:rFonts w:eastAsia="Calibri"/>
          <w:sz w:val="22"/>
          <w:szCs w:val="22"/>
          <w:lang w:eastAsia="en-US"/>
        </w:rPr>
        <w:t xml:space="preserve">, </w:t>
      </w:r>
      <w:r w:rsidR="00315E47" w:rsidRPr="006C3A37">
        <w:rPr>
          <w:rFonts w:eastAsia="Calibri"/>
          <w:sz w:val="22"/>
          <w:szCs w:val="22"/>
          <w:lang w:eastAsia="en-US"/>
        </w:rPr>
        <w:t>postupem pro zakázky malého</w:t>
      </w:r>
      <w:r w:rsidR="00315E47">
        <w:rPr>
          <w:rFonts w:eastAsia="Calibri"/>
          <w:sz w:val="22"/>
          <w:szCs w:val="22"/>
          <w:lang w:eastAsia="en-US"/>
        </w:rPr>
        <w:t xml:space="preserve"> rozsahu</w:t>
      </w:r>
      <w:r w:rsidR="00315E47" w:rsidRPr="00A360BA">
        <w:rPr>
          <w:rFonts w:eastAsia="Calibri"/>
          <w:sz w:val="22"/>
          <w:szCs w:val="22"/>
          <w:lang w:eastAsia="en-US"/>
        </w:rPr>
        <w:t xml:space="preserve"> a zároveň</w:t>
      </w:r>
      <w:r w:rsidR="00315E47">
        <w:rPr>
          <w:rFonts w:eastAsia="Calibri"/>
          <w:sz w:val="22"/>
          <w:szCs w:val="22"/>
          <w:lang w:eastAsia="en-US"/>
        </w:rPr>
        <w:t xml:space="preserve"> prostřednictvím prof</w:t>
      </w:r>
      <w:r w:rsidR="004E1521">
        <w:rPr>
          <w:rFonts w:eastAsia="Calibri"/>
          <w:sz w:val="22"/>
          <w:szCs w:val="22"/>
          <w:lang w:eastAsia="en-US"/>
        </w:rPr>
        <w:t>3</w:t>
      </w:r>
      <w:r w:rsidR="00315E47">
        <w:rPr>
          <w:rFonts w:eastAsia="Calibri"/>
          <w:sz w:val="22"/>
          <w:szCs w:val="22"/>
          <w:lang w:eastAsia="en-US"/>
        </w:rPr>
        <w:t xml:space="preserve">ilu zadavatele </w:t>
      </w:r>
      <w:r w:rsidRPr="00A360BA">
        <w:rPr>
          <w:rFonts w:eastAsia="Calibri"/>
          <w:sz w:val="22"/>
          <w:szCs w:val="22"/>
          <w:lang w:eastAsia="en-US"/>
        </w:rPr>
        <w:t>vyzve nejméně tři dodavatele k podání nabídky</w:t>
      </w:r>
      <w:r w:rsidRPr="006C3A37">
        <w:rPr>
          <w:rFonts w:eastAsia="Calibri"/>
          <w:sz w:val="22"/>
          <w:szCs w:val="22"/>
          <w:lang w:eastAsia="en-US"/>
        </w:rPr>
        <w:t>.</w:t>
      </w:r>
      <w:r w:rsidR="00315E47">
        <w:rPr>
          <w:rFonts w:eastAsia="Calibri"/>
          <w:sz w:val="22"/>
          <w:szCs w:val="22"/>
          <w:lang w:eastAsia="en-US"/>
        </w:rPr>
        <w:t xml:space="preserve"> U veřejné zakázky na stavební práce s předpokládanou hodnotou vyšší než </w:t>
      </w:r>
      <w:r w:rsidR="00B9264C">
        <w:rPr>
          <w:rFonts w:eastAsia="Calibri"/>
          <w:sz w:val="22"/>
          <w:szCs w:val="22"/>
          <w:lang w:eastAsia="en-US"/>
        </w:rPr>
        <w:t xml:space="preserve">3 </w:t>
      </w:r>
      <w:r w:rsidR="00315E47">
        <w:rPr>
          <w:rFonts w:eastAsia="Calibri"/>
          <w:sz w:val="22"/>
          <w:szCs w:val="22"/>
          <w:lang w:eastAsia="en-US"/>
        </w:rPr>
        <w:t>mil. Kč vyzve k podání nabídky nejméně 5 dodavatelů.</w:t>
      </w:r>
      <w:r w:rsidR="00704DC9">
        <w:rPr>
          <w:rFonts w:eastAsia="Calibri"/>
          <w:sz w:val="22"/>
          <w:szCs w:val="22"/>
          <w:lang w:eastAsia="en-US"/>
        </w:rPr>
        <w:t xml:space="preserve"> </w:t>
      </w:r>
      <w:r w:rsidR="009377C1">
        <w:rPr>
          <w:rFonts w:eastAsia="Calibri"/>
          <w:sz w:val="22"/>
          <w:szCs w:val="22"/>
          <w:lang w:eastAsia="en-US"/>
        </w:rPr>
        <w:t xml:space="preserve">Pověřený zaměstnanec je v odůvodněných případech oprávněn zadávat veřejnou zakázku i v jiném druhu </w:t>
      </w:r>
      <w:r w:rsidR="008C73F9">
        <w:rPr>
          <w:rFonts w:eastAsia="Calibri"/>
          <w:sz w:val="22"/>
          <w:szCs w:val="22"/>
          <w:lang w:eastAsia="en-US"/>
        </w:rPr>
        <w:t xml:space="preserve">zadávacího </w:t>
      </w:r>
      <w:r w:rsidR="009377C1">
        <w:rPr>
          <w:rFonts w:eastAsia="Calibri"/>
          <w:sz w:val="22"/>
          <w:szCs w:val="22"/>
          <w:lang w:eastAsia="en-US"/>
        </w:rPr>
        <w:t>řízení (např. jednací řízení s uveřejněním apod.) za předpokladu, že takový druh řízení bude otevřen všem potenciálním dodavatelům.</w:t>
      </w:r>
    </w:p>
    <w:p w:rsidR="00704DC9" w:rsidRPr="00913509" w:rsidRDefault="00257E8B" w:rsidP="001A07A8">
      <w:pPr>
        <w:numPr>
          <w:ilvl w:val="1"/>
          <w:numId w:val="41"/>
        </w:numPr>
        <w:spacing w:before="12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C3A37">
        <w:rPr>
          <w:rFonts w:eastAsia="Calibri"/>
          <w:sz w:val="22"/>
          <w:szCs w:val="22"/>
          <w:lang w:eastAsia="en-US"/>
        </w:rPr>
        <w:t>P</w:t>
      </w:r>
      <w:r w:rsidR="00F27E58" w:rsidRPr="006C3A37">
        <w:rPr>
          <w:rFonts w:eastAsia="Calibri"/>
          <w:sz w:val="22"/>
          <w:szCs w:val="22"/>
          <w:lang w:eastAsia="en-US"/>
        </w:rPr>
        <w:t xml:space="preserve">ověřený zaměstnanec zadavatele </w:t>
      </w:r>
      <w:r w:rsidR="009377C1">
        <w:rPr>
          <w:rFonts w:eastAsia="Calibri"/>
          <w:sz w:val="22"/>
          <w:szCs w:val="22"/>
          <w:lang w:eastAsia="en-US"/>
        </w:rPr>
        <w:t>v zadávací dokumentaci definuje předmět plnění</w:t>
      </w:r>
      <w:r w:rsidR="00EF39C6">
        <w:rPr>
          <w:rFonts w:eastAsia="Calibri"/>
          <w:sz w:val="22"/>
          <w:szCs w:val="22"/>
          <w:lang w:eastAsia="en-US"/>
        </w:rPr>
        <w:t xml:space="preserve">, dobu plnění </w:t>
      </w:r>
      <w:r w:rsidR="00EF39C6" w:rsidRPr="006C3A37">
        <w:rPr>
          <w:rFonts w:eastAsia="Calibri"/>
          <w:sz w:val="22"/>
          <w:szCs w:val="22"/>
          <w:lang w:eastAsia="en-US"/>
        </w:rPr>
        <w:t>a další podmínky plnění veřejné zakázk</w:t>
      </w:r>
      <w:r w:rsidR="00EF39C6">
        <w:rPr>
          <w:rFonts w:eastAsia="Calibri"/>
          <w:sz w:val="22"/>
          <w:szCs w:val="22"/>
          <w:lang w:eastAsia="en-US"/>
        </w:rPr>
        <w:t>y</w:t>
      </w:r>
      <w:r w:rsidR="00042878">
        <w:rPr>
          <w:rFonts w:eastAsia="Calibri"/>
          <w:sz w:val="22"/>
          <w:szCs w:val="22"/>
          <w:lang w:eastAsia="en-US"/>
        </w:rPr>
        <w:t xml:space="preserve"> a popíše postup procesu výběru dodavatele, zejména</w:t>
      </w:r>
      <w:r w:rsidR="00F27E58" w:rsidRPr="006C3A37">
        <w:rPr>
          <w:rFonts w:eastAsia="Calibri"/>
          <w:sz w:val="22"/>
          <w:szCs w:val="22"/>
          <w:lang w:eastAsia="en-US"/>
        </w:rPr>
        <w:t xml:space="preserve"> stanoví požadav</w:t>
      </w:r>
      <w:r w:rsidR="009377C1">
        <w:rPr>
          <w:rFonts w:eastAsia="Calibri"/>
          <w:sz w:val="22"/>
          <w:szCs w:val="22"/>
          <w:lang w:eastAsia="en-US"/>
        </w:rPr>
        <w:t>ky</w:t>
      </w:r>
      <w:r w:rsidR="00F27E58" w:rsidRPr="006C3A37">
        <w:rPr>
          <w:rFonts w:eastAsia="Calibri"/>
          <w:sz w:val="22"/>
          <w:szCs w:val="22"/>
          <w:lang w:eastAsia="en-US"/>
        </w:rPr>
        <w:t xml:space="preserve"> na způsob zpracování nabídkové ceny veřejné zakázky, </w:t>
      </w:r>
      <w:r w:rsidR="009377C1">
        <w:rPr>
          <w:rFonts w:eastAsia="Calibri"/>
          <w:sz w:val="22"/>
          <w:szCs w:val="22"/>
          <w:lang w:eastAsia="en-US"/>
        </w:rPr>
        <w:t>lhůtu k podání nabídek</w:t>
      </w:r>
      <w:r w:rsidR="00EF39C6">
        <w:rPr>
          <w:rFonts w:eastAsia="Calibri"/>
          <w:sz w:val="22"/>
          <w:szCs w:val="22"/>
          <w:lang w:eastAsia="en-US"/>
        </w:rPr>
        <w:t>,</w:t>
      </w:r>
      <w:r w:rsidR="00421C34">
        <w:rPr>
          <w:rFonts w:eastAsia="Calibri"/>
          <w:sz w:val="22"/>
          <w:szCs w:val="22"/>
          <w:lang w:eastAsia="en-US"/>
        </w:rPr>
        <w:t xml:space="preserve"> podmínky účasti v </w:t>
      </w:r>
      <w:r w:rsidR="008C73F9">
        <w:rPr>
          <w:rFonts w:eastAsia="Calibri"/>
          <w:sz w:val="22"/>
          <w:szCs w:val="22"/>
          <w:lang w:eastAsia="en-US"/>
        </w:rPr>
        <w:t>zadávacím</w:t>
      </w:r>
      <w:r w:rsidR="00421C34">
        <w:rPr>
          <w:rFonts w:eastAsia="Calibri"/>
          <w:sz w:val="22"/>
          <w:szCs w:val="22"/>
          <w:lang w:eastAsia="en-US"/>
        </w:rPr>
        <w:t xml:space="preserve"> řízení</w:t>
      </w:r>
      <w:r w:rsidR="00EF39C6">
        <w:rPr>
          <w:rFonts w:eastAsia="Calibri"/>
          <w:sz w:val="22"/>
          <w:szCs w:val="22"/>
          <w:lang w:eastAsia="en-US"/>
        </w:rPr>
        <w:t xml:space="preserve"> a způsob hodnocení nabídek</w:t>
      </w:r>
      <w:r w:rsidR="00421C34">
        <w:rPr>
          <w:rFonts w:eastAsia="Calibri"/>
          <w:sz w:val="22"/>
          <w:szCs w:val="22"/>
          <w:lang w:eastAsia="en-US"/>
        </w:rPr>
        <w:t xml:space="preserve">. </w:t>
      </w:r>
    </w:p>
    <w:p w:rsidR="00731374" w:rsidRPr="00E5134E" w:rsidRDefault="00704DC9" w:rsidP="001A07A8">
      <w:pPr>
        <w:numPr>
          <w:ilvl w:val="1"/>
          <w:numId w:val="41"/>
        </w:numPr>
        <w:spacing w:before="120"/>
        <w:jc w:val="both"/>
        <w:rPr>
          <w:rFonts w:eastAsia="Calibri"/>
          <w:bCs/>
          <w:snapToGrid w:val="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 výběru dodavatele, vyloučení dodavatele či zrušení </w:t>
      </w:r>
      <w:r w:rsidR="008C73F9">
        <w:rPr>
          <w:rFonts w:eastAsia="Calibri"/>
          <w:sz w:val="22"/>
          <w:szCs w:val="22"/>
          <w:lang w:eastAsia="en-US"/>
        </w:rPr>
        <w:t>zadávacího</w:t>
      </w:r>
      <w:r>
        <w:rPr>
          <w:rFonts w:eastAsia="Calibri"/>
          <w:sz w:val="22"/>
          <w:szCs w:val="22"/>
          <w:lang w:eastAsia="en-US"/>
        </w:rPr>
        <w:t xml:space="preserve"> řízení rozhoduje při respektování tohoto předpisu</w:t>
      </w:r>
      <w:r w:rsidR="00B742A3">
        <w:rPr>
          <w:rFonts w:eastAsia="Calibri"/>
          <w:sz w:val="22"/>
          <w:szCs w:val="22"/>
          <w:lang w:eastAsia="en-US"/>
        </w:rPr>
        <w:t xml:space="preserve"> a za podmínek stanovených v zadávací dokumentaci</w:t>
      </w:r>
      <w:r>
        <w:rPr>
          <w:rFonts w:eastAsia="Calibri"/>
          <w:sz w:val="22"/>
          <w:szCs w:val="22"/>
          <w:lang w:eastAsia="en-US"/>
        </w:rPr>
        <w:t xml:space="preserve"> pověřený zaměstnanec zadavatele.</w:t>
      </w:r>
    </w:p>
    <w:p w:rsidR="00F27E58" w:rsidRPr="00AD78C8" w:rsidRDefault="00F27E58" w:rsidP="001A07A8">
      <w:pPr>
        <w:numPr>
          <w:ilvl w:val="0"/>
          <w:numId w:val="41"/>
        </w:numPr>
        <w:spacing w:before="240"/>
        <w:jc w:val="both"/>
        <w:rPr>
          <w:rFonts w:eastAsia="Calibri"/>
          <w:bCs/>
          <w:sz w:val="22"/>
          <w:szCs w:val="22"/>
          <w:lang w:eastAsia="en-US"/>
        </w:rPr>
      </w:pPr>
      <w:r w:rsidRPr="00B70CB1">
        <w:rPr>
          <w:rFonts w:eastAsia="Calibri"/>
          <w:sz w:val="22"/>
          <w:szCs w:val="22"/>
          <w:lang w:eastAsia="en-US"/>
        </w:rPr>
        <w:t>Smlouvu s</w:t>
      </w:r>
      <w:r w:rsidR="005A2A2E" w:rsidRPr="00B70CB1">
        <w:rPr>
          <w:rFonts w:eastAsia="Calibri"/>
          <w:sz w:val="22"/>
          <w:szCs w:val="22"/>
          <w:lang w:eastAsia="en-US"/>
        </w:rPr>
        <w:t> vybraným dodavatelem</w:t>
      </w:r>
      <w:r w:rsidRPr="00B70CB1">
        <w:rPr>
          <w:rFonts w:eastAsia="Calibri"/>
          <w:sz w:val="22"/>
          <w:szCs w:val="22"/>
          <w:lang w:eastAsia="en-US"/>
        </w:rPr>
        <w:t xml:space="preserve"> </w:t>
      </w:r>
      <w:r w:rsidRPr="00B70CB1">
        <w:rPr>
          <w:rFonts w:eastAsia="Calibri"/>
          <w:snapToGrid w:val="0"/>
          <w:sz w:val="22"/>
          <w:szCs w:val="22"/>
          <w:lang w:eastAsia="en-US"/>
        </w:rPr>
        <w:t>podepisuje pověřený zaměstnanec zadavatele v souladu s vnitřním předpis</w:t>
      </w:r>
      <w:r w:rsidR="006D59B2">
        <w:rPr>
          <w:rFonts w:eastAsia="Calibri"/>
          <w:snapToGrid w:val="0"/>
          <w:sz w:val="22"/>
          <w:szCs w:val="22"/>
          <w:lang w:eastAsia="en-US"/>
        </w:rPr>
        <w:t>em</w:t>
      </w:r>
      <w:r w:rsidRPr="00025088">
        <w:rPr>
          <w:rFonts w:eastAsia="Calibri"/>
          <w:snapToGrid w:val="0"/>
          <w:color w:val="FF0000"/>
          <w:sz w:val="22"/>
          <w:szCs w:val="22"/>
          <w:lang w:eastAsia="en-US"/>
        </w:rPr>
        <w:t xml:space="preserve"> </w:t>
      </w:r>
      <w:r w:rsidRPr="005F5763">
        <w:rPr>
          <w:rFonts w:eastAsia="Calibri"/>
          <w:snapToGrid w:val="0"/>
          <w:sz w:val="22"/>
          <w:szCs w:val="22"/>
          <w:lang w:eastAsia="en-US"/>
        </w:rPr>
        <w:t>zadavatele</w:t>
      </w:r>
      <w:r w:rsidRPr="005F5763">
        <w:rPr>
          <w:rFonts w:eastAsia="Calibri"/>
          <w:snapToGrid w:val="0"/>
          <w:sz w:val="22"/>
          <w:szCs w:val="22"/>
          <w:vertAlign w:val="superscript"/>
          <w:lang w:eastAsia="en-US"/>
        </w:rPr>
        <w:footnoteReference w:id="12"/>
      </w:r>
      <w:r w:rsidRPr="005F5763">
        <w:rPr>
          <w:rFonts w:eastAsia="Calibri"/>
          <w:snapToGrid w:val="0"/>
          <w:sz w:val="22"/>
          <w:szCs w:val="22"/>
          <w:lang w:eastAsia="en-US"/>
        </w:rPr>
        <w:t>.</w:t>
      </w:r>
    </w:p>
    <w:p w:rsidR="00AD78C8" w:rsidRDefault="00AD78C8" w:rsidP="006C3A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DA2BC8" w:rsidRPr="005F5763" w:rsidRDefault="00DA2BC8" w:rsidP="006C3A37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F27E58" w:rsidRPr="00DA2BC8" w:rsidRDefault="00F27E58" w:rsidP="006C3A37">
      <w:pPr>
        <w:jc w:val="center"/>
        <w:rPr>
          <w:rFonts w:eastAsia="Calibri"/>
          <w:b/>
          <w:sz w:val="22"/>
          <w:szCs w:val="22"/>
        </w:rPr>
      </w:pPr>
      <w:bookmarkStart w:id="39" w:name="_Toc399911822"/>
      <w:bookmarkStart w:id="40" w:name="_Toc403400638"/>
      <w:bookmarkStart w:id="41" w:name="_Toc453761085"/>
      <w:r w:rsidRPr="00DA2BC8">
        <w:rPr>
          <w:rFonts w:eastAsia="Calibri"/>
          <w:b/>
          <w:sz w:val="22"/>
          <w:szCs w:val="22"/>
        </w:rPr>
        <w:t xml:space="preserve">Čl. </w:t>
      </w:r>
      <w:r w:rsidR="004D2905" w:rsidRPr="00DA2BC8">
        <w:rPr>
          <w:rFonts w:eastAsia="Calibri"/>
          <w:b/>
          <w:sz w:val="22"/>
          <w:szCs w:val="22"/>
        </w:rPr>
        <w:t>X</w:t>
      </w:r>
      <w:bookmarkEnd w:id="39"/>
      <w:bookmarkEnd w:id="40"/>
      <w:bookmarkEnd w:id="41"/>
      <w:r w:rsidR="008F0B34" w:rsidRPr="00DA2BC8">
        <w:rPr>
          <w:rFonts w:eastAsia="Calibri"/>
          <w:b/>
          <w:sz w:val="22"/>
          <w:szCs w:val="22"/>
        </w:rPr>
        <w:t>II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B36FD1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42" w:name="_Toc210984958"/>
      <w:r w:rsidRPr="00B36FD1">
        <w:rPr>
          <w:rFonts w:eastAsia="Calibri"/>
          <w:sz w:val="22"/>
          <w:szCs w:val="22"/>
        </w:rPr>
        <w:t xml:space="preserve">Zadávání </w:t>
      </w:r>
      <w:r w:rsidR="008F0B34">
        <w:rPr>
          <w:rFonts w:eastAsia="Calibri"/>
          <w:sz w:val="22"/>
          <w:szCs w:val="22"/>
        </w:rPr>
        <w:t xml:space="preserve">podlimitních a nadlimitních </w:t>
      </w:r>
      <w:r w:rsidRPr="00B36FD1">
        <w:rPr>
          <w:rFonts w:eastAsia="Calibri"/>
          <w:sz w:val="22"/>
          <w:szCs w:val="22"/>
        </w:rPr>
        <w:t>veřejných zakázek</w:t>
      </w:r>
      <w:bookmarkEnd w:id="42"/>
      <w:r w:rsidR="00F945A6" w:rsidRPr="00B36FD1">
        <w:rPr>
          <w:rFonts w:eastAsia="Calibri"/>
          <w:sz w:val="22"/>
          <w:szCs w:val="22"/>
        </w:rPr>
        <w:t xml:space="preserve"> </w:t>
      </w:r>
    </w:p>
    <w:p w:rsidR="00F27E58" w:rsidRPr="00A926A0" w:rsidRDefault="00F27E58" w:rsidP="00E855AF">
      <w:pPr>
        <w:widowControl w:val="0"/>
        <w:numPr>
          <w:ilvl w:val="0"/>
          <w:numId w:val="42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Zadávání veřejných zakázek na dodávky a služby, jejichž </w:t>
      </w:r>
      <w:r w:rsidR="00D65B3A">
        <w:rPr>
          <w:rFonts w:eastAsia="Calibri"/>
          <w:snapToGrid w:val="0"/>
          <w:sz w:val="22"/>
          <w:szCs w:val="22"/>
          <w:lang w:eastAsia="en-US"/>
        </w:rPr>
        <w:t xml:space="preserve">předpokládaná 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hodnota činí </w:t>
      </w:r>
      <w:r w:rsidR="00FD6726" w:rsidRPr="009873A7">
        <w:rPr>
          <w:rFonts w:eastAsia="Calibri"/>
          <w:snapToGrid w:val="0"/>
          <w:sz w:val="22"/>
          <w:szCs w:val="22"/>
          <w:lang w:eastAsia="en-US"/>
        </w:rPr>
        <w:t>více než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B742A3">
        <w:rPr>
          <w:rFonts w:eastAsia="Calibri"/>
          <w:snapToGrid w:val="0"/>
          <w:sz w:val="22"/>
          <w:szCs w:val="22"/>
          <w:lang w:eastAsia="en-US"/>
        </w:rPr>
        <w:t xml:space="preserve">3 </w:t>
      </w:r>
      <w:r w:rsidR="00B83D09">
        <w:rPr>
          <w:rFonts w:eastAsia="Calibri"/>
          <w:snapToGrid w:val="0"/>
          <w:sz w:val="22"/>
          <w:szCs w:val="22"/>
          <w:lang w:eastAsia="en-US"/>
        </w:rPr>
        <w:t>mil.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Kč</w:t>
      </w:r>
      <w:r w:rsidR="005E1E22">
        <w:rPr>
          <w:rFonts w:eastAsia="Calibri"/>
          <w:snapToGrid w:val="0"/>
          <w:sz w:val="22"/>
          <w:szCs w:val="22"/>
          <w:lang w:eastAsia="en-US"/>
        </w:rPr>
        <w:t>,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nebo na stavební práce, jejichž </w:t>
      </w:r>
      <w:r w:rsidR="00D65B3A">
        <w:rPr>
          <w:rFonts w:eastAsia="Calibri"/>
          <w:snapToGrid w:val="0"/>
          <w:sz w:val="22"/>
          <w:szCs w:val="22"/>
          <w:lang w:eastAsia="en-US"/>
        </w:rPr>
        <w:t xml:space="preserve">předpokládaná 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hodnota činí </w:t>
      </w:r>
      <w:r w:rsidR="00FD6726" w:rsidRPr="009873A7">
        <w:rPr>
          <w:rFonts w:eastAsia="Calibri"/>
          <w:snapToGrid w:val="0"/>
          <w:sz w:val="22"/>
          <w:szCs w:val="22"/>
          <w:lang w:eastAsia="en-US"/>
        </w:rPr>
        <w:t xml:space="preserve">více než </w:t>
      </w:r>
      <w:r w:rsidR="00B742A3">
        <w:rPr>
          <w:rFonts w:eastAsia="Calibri"/>
          <w:snapToGrid w:val="0"/>
          <w:sz w:val="22"/>
          <w:szCs w:val="22"/>
          <w:lang w:eastAsia="en-US"/>
        </w:rPr>
        <w:t xml:space="preserve">9 </w:t>
      </w:r>
      <w:r w:rsidR="00B83D09">
        <w:rPr>
          <w:rFonts w:eastAsia="Calibri"/>
          <w:snapToGrid w:val="0"/>
          <w:sz w:val="22"/>
          <w:szCs w:val="22"/>
          <w:lang w:eastAsia="en-US"/>
        </w:rPr>
        <w:t>mil.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Kč</w:t>
      </w:r>
      <w:r w:rsidR="005E1E22">
        <w:rPr>
          <w:rFonts w:eastAsia="Calibri"/>
          <w:snapToGrid w:val="0"/>
          <w:sz w:val="22"/>
          <w:szCs w:val="22"/>
          <w:lang w:eastAsia="en-US"/>
        </w:rPr>
        <w:t>,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je v působnosti rady a</w:t>
      </w:r>
      <w:r w:rsidR="008D590A" w:rsidRPr="009873A7">
        <w:rPr>
          <w:rFonts w:eastAsia="Calibri"/>
          <w:snapToGrid w:val="0"/>
          <w:sz w:val="22"/>
          <w:szCs w:val="22"/>
          <w:lang w:eastAsia="en-US"/>
        </w:rPr>
        <w:t> </w:t>
      </w:r>
      <w:r w:rsidRPr="009873A7">
        <w:rPr>
          <w:rFonts w:eastAsia="Calibri"/>
          <w:snapToGrid w:val="0"/>
          <w:sz w:val="22"/>
          <w:szCs w:val="22"/>
          <w:lang w:eastAsia="en-US"/>
        </w:rPr>
        <w:t>pověřený zaměstnanec zadavatele je povinen provést zadá</w:t>
      </w:r>
      <w:r w:rsidR="008F0B34">
        <w:rPr>
          <w:rFonts w:eastAsia="Calibri"/>
          <w:snapToGrid w:val="0"/>
          <w:sz w:val="22"/>
          <w:szCs w:val="22"/>
          <w:lang w:eastAsia="en-US"/>
        </w:rPr>
        <w:t>vá</w:t>
      </w:r>
      <w:r w:rsidRPr="009873A7">
        <w:rPr>
          <w:rFonts w:eastAsia="Calibri"/>
          <w:snapToGrid w:val="0"/>
          <w:sz w:val="22"/>
          <w:szCs w:val="22"/>
          <w:lang w:eastAsia="en-US"/>
        </w:rPr>
        <w:t>ní jedním z dále uvedených postupů. Volbu postupu (</w:t>
      </w:r>
      <w:r w:rsidR="00A926A0" w:rsidRPr="009873A7">
        <w:rPr>
          <w:rFonts w:eastAsia="Calibri"/>
          <w:snapToGrid w:val="0"/>
          <w:sz w:val="22"/>
          <w:szCs w:val="22"/>
          <w:lang w:eastAsia="en-US"/>
        </w:rPr>
        <w:t>druhu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zadávacího řízení), kterým bude zakázka</w:t>
      </w:r>
      <w:r w:rsidRPr="00A926A0">
        <w:rPr>
          <w:rFonts w:eastAsia="Calibri"/>
          <w:snapToGrid w:val="0"/>
          <w:sz w:val="22"/>
          <w:szCs w:val="22"/>
          <w:lang w:eastAsia="en-US"/>
        </w:rPr>
        <w:t xml:space="preserve"> zadána, stanoví rada na základě návrhu pověřeného zaměstnance zadavatele. Při návrhu postupu přihlíží pověřený zaměstnanec zadavatele ke konkrétním podmínkám předmětné veřejné zakázky. </w:t>
      </w:r>
    </w:p>
    <w:p w:rsidR="00A926A0" w:rsidRPr="00A926A0" w:rsidRDefault="00A926A0" w:rsidP="00E855AF">
      <w:pPr>
        <w:widowControl w:val="0"/>
        <w:numPr>
          <w:ilvl w:val="0"/>
          <w:numId w:val="42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926A0">
        <w:rPr>
          <w:rFonts w:eastAsia="Calibri"/>
          <w:snapToGrid w:val="0"/>
          <w:sz w:val="22"/>
          <w:szCs w:val="22"/>
          <w:lang w:eastAsia="en-US"/>
        </w:rPr>
        <w:t>Zadávacím řízením se rozumí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 xml:space="preserve">zjednodušené podlimitní řízení, 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otevřené řízení,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užší řízení,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lastRenderedPageBreak/>
        <w:t xml:space="preserve">jednací řízení s uveřejněním, 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jednací řízení bez uveřejnění,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řízení se soutěžním dialogem,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řízení o inovačním partnerství,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 xml:space="preserve">koncesní řízení, </w:t>
      </w:r>
    </w:p>
    <w:p w:rsidR="00A926A0" w:rsidRPr="00A926A0" w:rsidRDefault="00A926A0" w:rsidP="00E855AF">
      <w:pPr>
        <w:pStyle w:val="Textpsmene"/>
        <w:numPr>
          <w:ilvl w:val="1"/>
          <w:numId w:val="42"/>
        </w:numPr>
        <w:spacing w:before="120"/>
        <w:rPr>
          <w:sz w:val="22"/>
          <w:szCs w:val="22"/>
        </w:rPr>
      </w:pPr>
      <w:r w:rsidRPr="00A926A0">
        <w:rPr>
          <w:sz w:val="22"/>
          <w:szCs w:val="22"/>
        </w:rPr>
        <w:t>řízení pro zadání veřejné zakázky ve zjednodušeném režimu.</w:t>
      </w:r>
    </w:p>
    <w:p w:rsidR="00F27E58" w:rsidRDefault="00F27E58" w:rsidP="00E855AF">
      <w:pPr>
        <w:widowControl w:val="0"/>
        <w:numPr>
          <w:ilvl w:val="0"/>
          <w:numId w:val="42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926A0">
        <w:rPr>
          <w:rFonts w:eastAsia="Calibri"/>
          <w:snapToGrid w:val="0"/>
          <w:sz w:val="22"/>
          <w:szCs w:val="22"/>
          <w:lang w:eastAsia="en-US"/>
        </w:rPr>
        <w:t xml:space="preserve">Doporučený průběh realizace zadání veřejné zakázky </w:t>
      </w:r>
      <w:r w:rsidR="003538DB">
        <w:rPr>
          <w:rFonts w:eastAsia="Calibri"/>
          <w:snapToGrid w:val="0"/>
          <w:sz w:val="22"/>
          <w:szCs w:val="22"/>
          <w:lang w:eastAsia="en-US"/>
        </w:rPr>
        <w:t xml:space="preserve">v zadávacím řízení </w:t>
      </w:r>
      <w:r w:rsidRPr="00A926A0">
        <w:rPr>
          <w:rFonts w:eastAsia="Calibri"/>
          <w:snapToGrid w:val="0"/>
          <w:sz w:val="22"/>
          <w:szCs w:val="22"/>
          <w:lang w:eastAsia="en-US"/>
        </w:rPr>
        <w:t xml:space="preserve">dle odst. 2 </w:t>
      </w:r>
      <w:r w:rsidR="00A926A0" w:rsidRPr="00A926A0">
        <w:rPr>
          <w:rFonts w:eastAsia="Calibri"/>
          <w:snapToGrid w:val="0"/>
          <w:sz w:val="22"/>
          <w:szCs w:val="22"/>
          <w:lang w:eastAsia="en-US"/>
        </w:rPr>
        <w:t xml:space="preserve">písm. a) a písm. </w:t>
      </w:r>
      <w:r w:rsidR="000E2E9E">
        <w:rPr>
          <w:rFonts w:eastAsia="Calibri"/>
          <w:snapToGrid w:val="0"/>
          <w:sz w:val="22"/>
          <w:szCs w:val="22"/>
          <w:lang w:eastAsia="en-US"/>
        </w:rPr>
        <w:t>b</w:t>
      </w:r>
      <w:r w:rsidR="00A926A0" w:rsidRPr="00A926A0">
        <w:rPr>
          <w:rFonts w:eastAsia="Calibri"/>
          <w:snapToGrid w:val="0"/>
          <w:sz w:val="22"/>
          <w:szCs w:val="22"/>
          <w:lang w:eastAsia="en-US"/>
        </w:rPr>
        <w:t xml:space="preserve">) </w:t>
      </w:r>
      <w:r w:rsidR="001E6DDC">
        <w:rPr>
          <w:rFonts w:eastAsia="Calibri"/>
          <w:snapToGrid w:val="0"/>
          <w:sz w:val="22"/>
          <w:szCs w:val="22"/>
          <w:lang w:eastAsia="en-US"/>
        </w:rPr>
        <w:t>upravuje</w:t>
      </w:r>
      <w:r w:rsidRPr="00A926A0">
        <w:rPr>
          <w:rFonts w:eastAsia="Calibri"/>
          <w:snapToGrid w:val="0"/>
          <w:sz w:val="22"/>
          <w:szCs w:val="22"/>
          <w:lang w:eastAsia="en-US"/>
        </w:rPr>
        <w:t xml:space="preserve"> čl. </w:t>
      </w:r>
      <w:r w:rsidR="00BF2C2A" w:rsidRPr="00ED29BE">
        <w:rPr>
          <w:rFonts w:eastAsia="Calibri"/>
          <w:snapToGrid w:val="0"/>
          <w:sz w:val="22"/>
          <w:szCs w:val="22"/>
          <w:lang w:eastAsia="en-US"/>
        </w:rPr>
        <w:t>XI</w:t>
      </w:r>
      <w:r w:rsidR="003538DB">
        <w:rPr>
          <w:rFonts w:eastAsia="Calibri"/>
          <w:snapToGrid w:val="0"/>
          <w:sz w:val="22"/>
          <w:szCs w:val="22"/>
          <w:lang w:eastAsia="en-US"/>
        </w:rPr>
        <w:t>I</w:t>
      </w:r>
      <w:r w:rsidR="00BF2C2A" w:rsidRPr="00ED29BE">
        <w:rPr>
          <w:rFonts w:eastAsia="Calibri"/>
          <w:snapToGrid w:val="0"/>
          <w:sz w:val="22"/>
          <w:szCs w:val="22"/>
          <w:lang w:eastAsia="en-US"/>
        </w:rPr>
        <w:t>I</w:t>
      </w:r>
      <w:r w:rsidR="000E2E9E" w:rsidRPr="00ED29BE">
        <w:rPr>
          <w:rFonts w:eastAsia="Calibri"/>
          <w:snapToGrid w:val="0"/>
          <w:sz w:val="22"/>
          <w:szCs w:val="22"/>
          <w:lang w:eastAsia="en-US"/>
        </w:rPr>
        <w:t xml:space="preserve"> a </w:t>
      </w:r>
      <w:r w:rsidR="00BF2C2A" w:rsidRPr="00ED29BE">
        <w:rPr>
          <w:rFonts w:eastAsia="Calibri"/>
          <w:snapToGrid w:val="0"/>
          <w:sz w:val="22"/>
          <w:szCs w:val="22"/>
          <w:lang w:eastAsia="en-US"/>
        </w:rPr>
        <w:t>XI</w:t>
      </w:r>
      <w:r w:rsidR="003538DB">
        <w:rPr>
          <w:rFonts w:eastAsia="Calibri"/>
          <w:snapToGrid w:val="0"/>
          <w:sz w:val="22"/>
          <w:szCs w:val="22"/>
          <w:lang w:eastAsia="en-US"/>
        </w:rPr>
        <w:t>V</w:t>
      </w:r>
      <w:r w:rsidR="00BF2C2A" w:rsidRPr="00ED29BE">
        <w:rPr>
          <w:rFonts w:eastAsia="Calibri"/>
          <w:snapToGrid w:val="0"/>
          <w:sz w:val="22"/>
          <w:szCs w:val="22"/>
          <w:lang w:eastAsia="en-US"/>
        </w:rPr>
        <w:t xml:space="preserve"> těchto</w:t>
      </w:r>
      <w:r w:rsidRPr="00ED29BE">
        <w:rPr>
          <w:rFonts w:eastAsia="Calibri"/>
          <w:snapToGrid w:val="0"/>
          <w:sz w:val="22"/>
          <w:szCs w:val="22"/>
          <w:lang w:eastAsia="en-US"/>
        </w:rPr>
        <w:t xml:space="preserve"> pravidel</w:t>
      </w:r>
      <w:r w:rsidRPr="00A926A0">
        <w:rPr>
          <w:rFonts w:eastAsia="Calibri"/>
          <w:snapToGrid w:val="0"/>
          <w:sz w:val="22"/>
          <w:szCs w:val="22"/>
          <w:lang w:eastAsia="en-US"/>
        </w:rPr>
        <w:t>.</w:t>
      </w:r>
      <w:r w:rsidR="003538DB">
        <w:rPr>
          <w:rFonts w:eastAsia="Calibri"/>
          <w:snapToGrid w:val="0"/>
          <w:sz w:val="22"/>
          <w:szCs w:val="22"/>
          <w:lang w:eastAsia="en-US"/>
        </w:rPr>
        <w:t xml:space="preserve"> Při zadávání veřejné zakázky v jiném druhu zadávacího řízení se tyto </w:t>
      </w:r>
      <w:r w:rsidR="003E63F0">
        <w:rPr>
          <w:rFonts w:eastAsia="Calibri"/>
          <w:snapToGrid w:val="0"/>
          <w:sz w:val="22"/>
          <w:szCs w:val="22"/>
          <w:lang w:eastAsia="en-US"/>
        </w:rPr>
        <w:t>postupy použijí při</w:t>
      </w:r>
      <w:r w:rsidR="003538DB">
        <w:rPr>
          <w:rFonts w:eastAsia="Calibri"/>
          <w:snapToGrid w:val="0"/>
          <w:sz w:val="22"/>
          <w:szCs w:val="22"/>
          <w:lang w:eastAsia="en-US"/>
        </w:rPr>
        <w:t>měřeně.</w:t>
      </w:r>
    </w:p>
    <w:p w:rsidR="00F27E58" w:rsidRDefault="00F27E5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F27E58" w:rsidRPr="00924C0A" w:rsidRDefault="00F27E58" w:rsidP="00F27E58">
      <w:pPr>
        <w:jc w:val="both"/>
        <w:rPr>
          <w:rFonts w:eastAsia="Calibri"/>
          <w:sz w:val="22"/>
          <w:szCs w:val="22"/>
          <w:lang w:eastAsia="en-US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43" w:name="_Toc399911830"/>
      <w:bookmarkStart w:id="44" w:name="_Toc403400646"/>
      <w:bookmarkStart w:id="45" w:name="_Toc453761089"/>
      <w:r w:rsidRPr="00DA2BC8">
        <w:rPr>
          <w:rFonts w:eastAsia="Calibri"/>
          <w:b/>
          <w:sz w:val="22"/>
          <w:szCs w:val="22"/>
        </w:rPr>
        <w:t xml:space="preserve">Čl. </w:t>
      </w:r>
      <w:bookmarkEnd w:id="43"/>
      <w:bookmarkEnd w:id="44"/>
      <w:r w:rsidR="00B5211E" w:rsidRPr="00DA2BC8">
        <w:rPr>
          <w:rFonts w:eastAsia="Calibri"/>
          <w:b/>
          <w:sz w:val="22"/>
          <w:szCs w:val="22"/>
        </w:rPr>
        <w:t>XII</w:t>
      </w:r>
      <w:bookmarkEnd w:id="45"/>
      <w:r w:rsidR="008F0B34" w:rsidRPr="00DA2BC8">
        <w:rPr>
          <w:rFonts w:eastAsia="Calibri"/>
          <w:b/>
          <w:sz w:val="22"/>
          <w:szCs w:val="22"/>
        </w:rPr>
        <w:t>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46" w:name="_Toc210984959"/>
      <w:r w:rsidRPr="007E28DF">
        <w:rPr>
          <w:rFonts w:eastAsia="Calibri"/>
          <w:sz w:val="22"/>
          <w:szCs w:val="22"/>
        </w:rPr>
        <w:t>Zjednodušené podlimitní řízení</w:t>
      </w:r>
      <w:bookmarkEnd w:id="46"/>
    </w:p>
    <w:p w:rsidR="00F27E58" w:rsidRDefault="00F27E58" w:rsidP="00E855AF">
      <w:pPr>
        <w:widowControl w:val="0"/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E28DF">
        <w:rPr>
          <w:rFonts w:eastAsia="Calibri"/>
          <w:snapToGrid w:val="0"/>
          <w:sz w:val="22"/>
          <w:szCs w:val="22"/>
          <w:lang w:eastAsia="en-US"/>
        </w:rPr>
        <w:t>Zjednodušené podlimitní řízení lze použít pro zadání</w:t>
      </w:r>
    </w:p>
    <w:p w:rsidR="00F27E58" w:rsidRPr="007E28DF" w:rsidRDefault="00F27E58" w:rsidP="00E855AF">
      <w:pPr>
        <w:widowControl w:val="0"/>
        <w:numPr>
          <w:ilvl w:val="1"/>
          <w:numId w:val="43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E28DF">
        <w:rPr>
          <w:rFonts w:eastAsia="Calibri"/>
          <w:snapToGrid w:val="0"/>
          <w:sz w:val="22"/>
          <w:szCs w:val="22"/>
          <w:lang w:eastAsia="en-US"/>
        </w:rPr>
        <w:t>podlimitní veřejné zakázky na dodávky nebo podlimitní veřejné zakázky na služby, nebo</w:t>
      </w:r>
    </w:p>
    <w:p w:rsidR="00F27E58" w:rsidRPr="00B529D8" w:rsidRDefault="00F27E58" w:rsidP="00E855AF">
      <w:pPr>
        <w:widowControl w:val="0"/>
        <w:numPr>
          <w:ilvl w:val="1"/>
          <w:numId w:val="43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7E28DF">
        <w:rPr>
          <w:rFonts w:eastAsia="Calibri"/>
          <w:snapToGrid w:val="0"/>
          <w:sz w:val="22"/>
          <w:szCs w:val="22"/>
          <w:lang w:eastAsia="en-US"/>
        </w:rPr>
        <w:t xml:space="preserve">podlimitní veřejné zakázky na stavební práce, jejíž předpokládaná hodnota nepřesáhne </w:t>
      </w:r>
      <w:r w:rsidR="007E28DF">
        <w:rPr>
          <w:rFonts w:eastAsia="Calibri"/>
          <w:snapToGrid w:val="0"/>
          <w:sz w:val="22"/>
          <w:szCs w:val="22"/>
          <w:lang w:eastAsia="en-US"/>
        </w:rPr>
        <w:t>5</w:t>
      </w:r>
      <w:r w:rsidRPr="007E28DF">
        <w:rPr>
          <w:rFonts w:eastAsia="Calibri"/>
          <w:snapToGrid w:val="0"/>
          <w:sz w:val="22"/>
          <w:szCs w:val="22"/>
          <w:lang w:eastAsia="en-US"/>
        </w:rPr>
        <w:t>0</w:t>
      </w:r>
      <w:r w:rsidR="008F0B34">
        <w:rPr>
          <w:rFonts w:eastAsia="Calibri"/>
          <w:snapToGrid w:val="0"/>
          <w:sz w:val="22"/>
          <w:szCs w:val="22"/>
          <w:lang w:eastAsia="en-US"/>
        </w:rPr>
        <w:t xml:space="preserve"> mil.</w:t>
      </w:r>
      <w:r w:rsidRPr="007E28DF">
        <w:rPr>
          <w:rFonts w:eastAsia="Calibri"/>
          <w:snapToGrid w:val="0"/>
          <w:sz w:val="22"/>
          <w:szCs w:val="22"/>
          <w:lang w:eastAsia="en-US"/>
        </w:rPr>
        <w:t xml:space="preserve"> Kč</w:t>
      </w:r>
      <w:r w:rsidRPr="00B529D8">
        <w:rPr>
          <w:rFonts w:eastAsia="Calibri"/>
          <w:snapToGrid w:val="0"/>
          <w:sz w:val="22"/>
          <w:szCs w:val="22"/>
          <w:lang w:eastAsia="en-US"/>
        </w:rPr>
        <w:t>.</w:t>
      </w:r>
    </w:p>
    <w:p w:rsidR="00A94962" w:rsidRPr="00A94962" w:rsidRDefault="00A416AE" w:rsidP="00E855AF">
      <w:pPr>
        <w:widowControl w:val="0"/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94962">
        <w:rPr>
          <w:rFonts w:eastAsia="Calibri"/>
          <w:sz w:val="22"/>
          <w:szCs w:val="22"/>
          <w:lang w:eastAsia="en-US"/>
        </w:rPr>
        <w:t>Rada na základě návrhu pověřeného zaměstnance zadavatele v rámci přípravy zadávacího řízení schvaluje zadávací dokumentaci, formu zadávacího řízení, nejméně 5 dodavatelů</w:t>
      </w:r>
      <w:r w:rsidR="003538DB">
        <w:rPr>
          <w:rFonts w:eastAsia="Calibri"/>
          <w:sz w:val="22"/>
          <w:szCs w:val="22"/>
          <w:lang w:eastAsia="en-US"/>
        </w:rPr>
        <w:t xml:space="preserve"> k oslovení výzvou</w:t>
      </w:r>
      <w:r w:rsidRPr="00A94962">
        <w:rPr>
          <w:rFonts w:eastAsia="Calibri"/>
          <w:sz w:val="22"/>
          <w:szCs w:val="22"/>
          <w:lang w:eastAsia="en-US"/>
        </w:rPr>
        <w:t>, hodnotící kritéria a váhu hodnotících kritérií</w:t>
      </w:r>
      <w:r w:rsidR="003538DB">
        <w:rPr>
          <w:rFonts w:eastAsia="Calibri"/>
          <w:sz w:val="22"/>
          <w:szCs w:val="22"/>
          <w:lang w:eastAsia="en-US"/>
        </w:rPr>
        <w:t xml:space="preserve"> a výši maximální a nepřekročitelné nabídkové ceny, pokud je stanovena</w:t>
      </w:r>
      <w:r w:rsidRPr="00A94962">
        <w:rPr>
          <w:rFonts w:eastAsia="Calibri"/>
          <w:sz w:val="22"/>
          <w:szCs w:val="22"/>
          <w:lang w:eastAsia="en-US"/>
        </w:rPr>
        <w:t xml:space="preserve">. </w:t>
      </w:r>
    </w:p>
    <w:p w:rsidR="007E28DF" w:rsidRPr="00A94962" w:rsidRDefault="001E6528" w:rsidP="00E855AF">
      <w:pPr>
        <w:widowControl w:val="0"/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94962">
        <w:rPr>
          <w:rFonts w:eastAsia="Calibri"/>
          <w:snapToGrid w:val="0"/>
          <w:sz w:val="22"/>
          <w:szCs w:val="22"/>
          <w:lang w:eastAsia="en-US"/>
        </w:rPr>
        <w:t xml:space="preserve">Pověřený zaměstnanec </w:t>
      </w:r>
      <w:r w:rsidR="007E28DF" w:rsidRPr="00A94962">
        <w:rPr>
          <w:rFonts w:eastAsia="Calibri"/>
          <w:snapToGrid w:val="0"/>
          <w:sz w:val="22"/>
          <w:szCs w:val="22"/>
          <w:lang w:eastAsia="en-US"/>
        </w:rPr>
        <w:t>zahajuje zjednodušené podlimitní řízení uveřejněním výzvy k podání nabídek na profilu zadavatele</w:t>
      </w:r>
      <w:r w:rsidR="00ED29BE">
        <w:rPr>
          <w:rStyle w:val="Znakapoznpodarou"/>
          <w:rFonts w:eastAsia="Calibri"/>
          <w:snapToGrid w:val="0"/>
          <w:sz w:val="22"/>
          <w:szCs w:val="22"/>
          <w:lang w:eastAsia="en-US"/>
        </w:rPr>
        <w:footnoteReference w:id="13"/>
      </w:r>
      <w:r w:rsidR="007E28DF" w:rsidRPr="00A94962">
        <w:rPr>
          <w:rFonts w:eastAsia="Calibri"/>
          <w:snapToGrid w:val="0"/>
          <w:sz w:val="22"/>
          <w:szCs w:val="22"/>
          <w:lang w:eastAsia="en-US"/>
        </w:rPr>
        <w:t xml:space="preserve">, kterou vyzývá neomezený počet dodavatelů k podání nabídky. </w:t>
      </w:r>
      <w:r w:rsidR="00A416AE" w:rsidRPr="00A94962">
        <w:rPr>
          <w:rFonts w:eastAsia="Calibri"/>
          <w:snapToGrid w:val="0"/>
          <w:sz w:val="22"/>
          <w:szCs w:val="22"/>
          <w:lang w:eastAsia="en-US"/>
        </w:rPr>
        <w:t>Zadavatel výzvu po jejím uveřejnění vždy odešle</w:t>
      </w:r>
      <w:r w:rsidR="003E63F0">
        <w:rPr>
          <w:rFonts w:eastAsia="Calibri"/>
          <w:snapToGrid w:val="0"/>
          <w:sz w:val="22"/>
          <w:szCs w:val="22"/>
          <w:lang w:eastAsia="en-US"/>
        </w:rPr>
        <w:t xml:space="preserve"> prostřednictvím profilu zadavatele</w:t>
      </w:r>
      <w:r w:rsidR="00A416AE" w:rsidRPr="00A94962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AA639C">
        <w:rPr>
          <w:rFonts w:eastAsia="Calibri"/>
          <w:snapToGrid w:val="0"/>
          <w:sz w:val="22"/>
          <w:szCs w:val="22"/>
          <w:lang w:eastAsia="en-US"/>
        </w:rPr>
        <w:t>nejméně</w:t>
      </w:r>
      <w:r w:rsidR="00A416AE" w:rsidRPr="00A94962">
        <w:rPr>
          <w:rFonts w:eastAsia="Calibri"/>
          <w:snapToGrid w:val="0"/>
          <w:sz w:val="22"/>
          <w:szCs w:val="22"/>
          <w:lang w:eastAsia="en-US"/>
        </w:rPr>
        <w:t xml:space="preserve"> 5 dodavatelům</w:t>
      </w:r>
      <w:r w:rsidR="007E28DF" w:rsidRPr="00A94962">
        <w:rPr>
          <w:rFonts w:eastAsia="Calibri"/>
          <w:snapToGrid w:val="0"/>
          <w:sz w:val="22"/>
          <w:szCs w:val="22"/>
          <w:lang w:eastAsia="en-US"/>
        </w:rPr>
        <w:t>. Výzva k</w:t>
      </w:r>
      <w:r w:rsidR="002C4350">
        <w:rPr>
          <w:rFonts w:eastAsia="Calibri"/>
          <w:snapToGrid w:val="0"/>
          <w:sz w:val="22"/>
          <w:szCs w:val="22"/>
          <w:lang w:eastAsia="en-US"/>
        </w:rPr>
        <w:t> </w:t>
      </w:r>
      <w:r w:rsidR="007E28DF" w:rsidRPr="00A94962">
        <w:rPr>
          <w:rFonts w:eastAsia="Calibri"/>
          <w:snapToGrid w:val="0"/>
          <w:sz w:val="22"/>
          <w:szCs w:val="22"/>
          <w:lang w:eastAsia="en-US"/>
        </w:rPr>
        <w:t xml:space="preserve">podání nabídek musí obsahovat </w:t>
      </w:r>
      <w:r w:rsidR="00AA0D8B" w:rsidRPr="00A94962">
        <w:rPr>
          <w:rFonts w:eastAsia="Calibri"/>
          <w:snapToGrid w:val="0"/>
          <w:sz w:val="22"/>
          <w:szCs w:val="22"/>
          <w:lang w:eastAsia="en-US"/>
        </w:rPr>
        <w:t>alespoň</w:t>
      </w:r>
      <w:r w:rsidR="00AA639C">
        <w:rPr>
          <w:rFonts w:eastAsia="Calibri"/>
          <w:snapToGrid w:val="0"/>
          <w:sz w:val="22"/>
          <w:szCs w:val="22"/>
          <w:lang w:eastAsia="en-US"/>
        </w:rPr>
        <w:t>:</w:t>
      </w:r>
    </w:p>
    <w:p w:rsidR="00AA0D8B" w:rsidRPr="00AA0D8B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>identifikační údaje zadavatele,</w:t>
      </w:r>
    </w:p>
    <w:p w:rsidR="00AA0D8B" w:rsidRPr="00AA0D8B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>údaje o přístupu k zadávací dokumentaci,</w:t>
      </w:r>
    </w:p>
    <w:p w:rsidR="00AA0D8B" w:rsidRPr="00AA0D8B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>lhůtu pro podání nabídek,</w:t>
      </w:r>
    </w:p>
    <w:p w:rsidR="00AA0D8B" w:rsidRPr="00AA0D8B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>způsob podání nabídek včetně informace o tom, v jakém jazyce mohou být podány,</w:t>
      </w:r>
    </w:p>
    <w:p w:rsidR="00AA0D8B" w:rsidRPr="00AA0D8B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>požadavky na prokázání kvalifikace včetně požadovaných dokladů,</w:t>
      </w:r>
    </w:p>
    <w:p w:rsidR="00AA0D8B" w:rsidRPr="00ED29BE" w:rsidRDefault="00AA0D8B" w:rsidP="00E855AF">
      <w:pPr>
        <w:pStyle w:val="Odstavecseseznamem"/>
        <w:numPr>
          <w:ilvl w:val="1"/>
          <w:numId w:val="43"/>
        </w:numPr>
        <w:spacing w:after="0"/>
        <w:contextualSpacing w:val="0"/>
        <w:rPr>
          <w:rFonts w:ascii="Times New Roman" w:hAnsi="Times New Roman"/>
          <w:sz w:val="22"/>
          <w:szCs w:val="22"/>
        </w:rPr>
      </w:pPr>
      <w:r w:rsidRPr="00AA0D8B">
        <w:rPr>
          <w:rFonts w:ascii="Times New Roman" w:hAnsi="Times New Roman"/>
          <w:sz w:val="22"/>
          <w:szCs w:val="22"/>
        </w:rPr>
        <w:t xml:space="preserve">pravidla pro </w:t>
      </w:r>
      <w:r w:rsidRPr="009C30D2">
        <w:rPr>
          <w:rFonts w:ascii="Times New Roman" w:hAnsi="Times New Roman"/>
          <w:sz w:val="22"/>
          <w:szCs w:val="22"/>
        </w:rPr>
        <w:t>hodnocení nabídek</w:t>
      </w:r>
      <w:r w:rsidR="00ED29BE" w:rsidRPr="009C30D2">
        <w:rPr>
          <w:rStyle w:val="Znakapoznpodarou"/>
          <w:rFonts w:ascii="Times New Roman" w:hAnsi="Times New Roman"/>
          <w:sz w:val="22"/>
          <w:szCs w:val="22"/>
        </w:rPr>
        <w:footnoteReference w:id="14"/>
      </w:r>
      <w:r w:rsidRPr="009C30D2">
        <w:rPr>
          <w:rFonts w:ascii="Times New Roman" w:hAnsi="Times New Roman"/>
          <w:sz w:val="22"/>
          <w:szCs w:val="22"/>
        </w:rPr>
        <w:t>.</w:t>
      </w:r>
    </w:p>
    <w:p w:rsidR="003E63F0" w:rsidRDefault="003E63F0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 případě, že z objektivních důvodů nelze u veřejné zakázky vyzvat nejméně 5 dodavatelů, zahájí se zjednodušené podlimitní řízení bez zaslání výzvy dodavatelům.</w:t>
      </w:r>
      <w:r w:rsidR="00EA3DEF">
        <w:rPr>
          <w:rFonts w:eastAsia="Calibri"/>
          <w:sz w:val="22"/>
          <w:szCs w:val="22"/>
          <w:lang w:eastAsia="en-US"/>
        </w:rPr>
        <w:t xml:space="preserve"> Důvody budou uvedeny v materiálu pro jednání rady ve smyslu odst. 2 tohoto článku.</w:t>
      </w:r>
    </w:p>
    <w:p w:rsidR="005F2246" w:rsidRPr="0054739F" w:rsidRDefault="007E28DF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54739F">
        <w:rPr>
          <w:rFonts w:eastAsia="Calibri"/>
          <w:sz w:val="22"/>
          <w:szCs w:val="22"/>
          <w:lang w:eastAsia="en-US"/>
        </w:rPr>
        <w:t>Zadáv</w:t>
      </w:r>
      <w:r w:rsidRPr="00755662">
        <w:rPr>
          <w:rFonts w:eastAsia="Calibri"/>
          <w:sz w:val="22"/>
          <w:szCs w:val="22"/>
          <w:lang w:eastAsia="en-US"/>
        </w:rPr>
        <w:t>ací dokumentace musí být uveřejněna na profilu zadavatele po celou lhůtu pro podání nabídek.</w:t>
      </w:r>
      <w:r w:rsidR="00755662" w:rsidRPr="00755662">
        <w:rPr>
          <w:rFonts w:eastAsia="Calibri"/>
          <w:sz w:val="22"/>
          <w:szCs w:val="22"/>
          <w:lang w:eastAsia="en-US"/>
        </w:rPr>
        <w:t xml:space="preserve"> </w:t>
      </w:r>
      <w:r w:rsidR="00755662" w:rsidRPr="0054739F">
        <w:rPr>
          <w:rFonts w:eastAsia="Calibri"/>
          <w:sz w:val="22"/>
          <w:szCs w:val="22"/>
          <w:lang w:eastAsia="en-US"/>
        </w:rPr>
        <w:t>Pokud některou část zadávací dokumentace nelze zpřístupnit z důvodů vymezených v zákoně</w:t>
      </w:r>
      <w:r w:rsidR="00ED29BE">
        <w:rPr>
          <w:rStyle w:val="Znakapoznpodarou"/>
          <w:rFonts w:eastAsia="Calibri"/>
          <w:sz w:val="22"/>
          <w:szCs w:val="22"/>
          <w:lang w:eastAsia="en-US"/>
        </w:rPr>
        <w:footnoteReference w:id="15"/>
      </w:r>
      <w:r w:rsidR="00ED29BE">
        <w:rPr>
          <w:rFonts w:eastAsia="Calibri"/>
          <w:sz w:val="22"/>
          <w:szCs w:val="22"/>
          <w:lang w:eastAsia="en-US"/>
        </w:rPr>
        <w:t>,</w:t>
      </w:r>
      <w:r w:rsidR="00755662" w:rsidRPr="0054739F">
        <w:rPr>
          <w:rFonts w:eastAsia="Calibri"/>
          <w:sz w:val="22"/>
          <w:szCs w:val="22"/>
          <w:lang w:eastAsia="en-US"/>
        </w:rPr>
        <w:t xml:space="preserve"> může zadavatel příslušnou část zadávací dokumentace poskytnout jiným vhodným způsobem. V takovém případě zadavatel odešle</w:t>
      </w:r>
      <w:r w:rsidR="00163B7C">
        <w:rPr>
          <w:rFonts w:eastAsia="Calibri"/>
          <w:sz w:val="22"/>
          <w:szCs w:val="22"/>
          <w:lang w:eastAsia="en-US"/>
        </w:rPr>
        <w:t xml:space="preserve">, </w:t>
      </w:r>
      <w:r w:rsidR="00755662" w:rsidRPr="0054739F">
        <w:rPr>
          <w:rFonts w:eastAsia="Calibri"/>
          <w:sz w:val="22"/>
          <w:szCs w:val="22"/>
          <w:lang w:eastAsia="en-US"/>
        </w:rPr>
        <w:t>předá</w:t>
      </w:r>
      <w:r w:rsidR="00163B7C">
        <w:rPr>
          <w:rFonts w:eastAsia="Calibri"/>
          <w:sz w:val="22"/>
          <w:szCs w:val="22"/>
          <w:lang w:eastAsia="en-US"/>
        </w:rPr>
        <w:t xml:space="preserve"> nebo jinak zpřístupní</w:t>
      </w:r>
      <w:r w:rsidR="00755662" w:rsidRPr="0054739F">
        <w:rPr>
          <w:rFonts w:eastAsia="Calibri"/>
          <w:sz w:val="22"/>
          <w:szCs w:val="22"/>
          <w:lang w:eastAsia="en-US"/>
        </w:rPr>
        <w:t xml:space="preserve"> příslušnou část zadávací dokumentace nejpozději do 3 pracovních dnů od doručení žádosti dodavatele o její poskytnutí. </w:t>
      </w:r>
    </w:p>
    <w:p w:rsidR="00F249D8" w:rsidRPr="00ED29BE" w:rsidRDefault="00F27E58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ED29BE">
        <w:rPr>
          <w:rFonts w:eastAsia="Calibri"/>
          <w:sz w:val="22"/>
          <w:szCs w:val="22"/>
          <w:lang w:eastAsia="en-US"/>
        </w:rPr>
        <w:lastRenderedPageBreak/>
        <w:t xml:space="preserve">Pověřený zaměstnanec zadavatele </w:t>
      </w:r>
      <w:r w:rsidR="000E2E9E" w:rsidRPr="00ED29BE">
        <w:rPr>
          <w:rFonts w:eastAsia="Calibri"/>
          <w:sz w:val="22"/>
          <w:szCs w:val="22"/>
          <w:lang w:eastAsia="en-US"/>
        </w:rPr>
        <w:t>může zadávací dokumentaci vysvětlit</w:t>
      </w:r>
      <w:r w:rsidR="00F249D8" w:rsidRPr="00ED29BE">
        <w:rPr>
          <w:rFonts w:eastAsia="Calibri"/>
          <w:sz w:val="22"/>
          <w:szCs w:val="22"/>
          <w:lang w:eastAsia="en-US"/>
        </w:rPr>
        <w:t xml:space="preserve">, </w:t>
      </w:r>
      <w:r w:rsidR="003E63F0">
        <w:rPr>
          <w:rFonts w:eastAsia="Calibri"/>
          <w:sz w:val="22"/>
          <w:szCs w:val="22"/>
          <w:lang w:eastAsia="en-US"/>
        </w:rPr>
        <w:t>změnit nebo doplnit</w:t>
      </w:r>
      <w:r w:rsidR="003E63F0">
        <w:rPr>
          <w:rStyle w:val="Znakapoznpodarou"/>
          <w:rFonts w:eastAsia="Calibri"/>
          <w:sz w:val="22"/>
          <w:szCs w:val="22"/>
          <w:lang w:eastAsia="en-US"/>
        </w:rPr>
        <w:footnoteReference w:id="16"/>
      </w:r>
      <w:r w:rsidR="003E63F0">
        <w:rPr>
          <w:rFonts w:eastAsia="Calibri"/>
          <w:sz w:val="22"/>
          <w:szCs w:val="22"/>
          <w:lang w:eastAsia="en-US"/>
        </w:rPr>
        <w:t xml:space="preserve">, </w:t>
      </w:r>
      <w:r w:rsidR="00F249D8" w:rsidRPr="00ED29BE">
        <w:rPr>
          <w:rFonts w:eastAsia="Calibri"/>
          <w:sz w:val="22"/>
          <w:szCs w:val="22"/>
          <w:lang w:eastAsia="en-US"/>
        </w:rPr>
        <w:t>pokud takové vysvětlení</w:t>
      </w:r>
      <w:r w:rsidR="003E63F0">
        <w:rPr>
          <w:rFonts w:eastAsia="Calibri"/>
          <w:sz w:val="22"/>
          <w:szCs w:val="22"/>
          <w:lang w:eastAsia="en-US"/>
        </w:rPr>
        <w:t>, doplnění či změnu</w:t>
      </w:r>
      <w:r w:rsidR="00F249D8" w:rsidRPr="00ED29BE">
        <w:rPr>
          <w:rFonts w:eastAsia="Calibri"/>
          <w:sz w:val="22"/>
          <w:szCs w:val="22"/>
          <w:lang w:eastAsia="en-US"/>
        </w:rPr>
        <w:t xml:space="preserve"> uveřejní na profilu zadavatele, a to nejméně </w:t>
      </w:r>
      <w:r w:rsidR="00686970">
        <w:rPr>
          <w:sz w:val="22"/>
          <w:szCs w:val="22"/>
        </w:rPr>
        <w:t>4</w:t>
      </w:r>
      <w:r w:rsidR="00F249D8" w:rsidRPr="00ED29BE">
        <w:rPr>
          <w:sz w:val="22"/>
          <w:szCs w:val="22"/>
        </w:rPr>
        <w:t xml:space="preserve"> pracovní dn</w:t>
      </w:r>
      <w:r w:rsidR="00772743">
        <w:rPr>
          <w:sz w:val="22"/>
          <w:szCs w:val="22"/>
        </w:rPr>
        <w:t>y</w:t>
      </w:r>
      <w:r w:rsidR="00F249D8" w:rsidRPr="00ED29BE">
        <w:rPr>
          <w:sz w:val="22"/>
          <w:szCs w:val="22"/>
        </w:rPr>
        <w:t xml:space="preserve"> před uplynutím lhůty pro podání nabídek</w:t>
      </w:r>
      <w:r w:rsidR="00ED29BE" w:rsidRPr="00ED29BE">
        <w:rPr>
          <w:sz w:val="22"/>
          <w:szCs w:val="22"/>
        </w:rPr>
        <w:t xml:space="preserve">. </w:t>
      </w:r>
      <w:r w:rsidR="00F249D8" w:rsidRPr="00ED29BE">
        <w:rPr>
          <w:sz w:val="22"/>
          <w:szCs w:val="22"/>
        </w:rPr>
        <w:t>Pokud o vysvětlení zadávací dokumentace písemně požádá dodavatel, zadavatel vysvětlení uveřejní, odešle nebo předá včetně přesného znění žádosti bez identifikace tohoto dodavatele.</w:t>
      </w:r>
      <w:r w:rsidR="00B50A0D">
        <w:rPr>
          <w:sz w:val="22"/>
          <w:szCs w:val="22"/>
        </w:rPr>
        <w:t xml:space="preserve"> Pověřený zaměstnanec zadavatele není oprávněn změnit </w:t>
      </w:r>
      <w:r w:rsidR="00B50A0D" w:rsidRPr="00A94962">
        <w:rPr>
          <w:rFonts w:eastAsia="Calibri"/>
          <w:sz w:val="22"/>
          <w:szCs w:val="22"/>
          <w:lang w:eastAsia="en-US"/>
        </w:rPr>
        <w:t>hodnotící kritéria a váhu hodnotících kritérií</w:t>
      </w:r>
      <w:r w:rsidR="00B50A0D">
        <w:rPr>
          <w:rFonts w:eastAsia="Calibri"/>
          <w:sz w:val="22"/>
          <w:szCs w:val="22"/>
          <w:lang w:eastAsia="en-US"/>
        </w:rPr>
        <w:t xml:space="preserve"> a výši maximální a nepřekročitelné nabídkové ceny, pokud byla schválena radou.</w:t>
      </w:r>
      <w:r w:rsidR="00F249D8" w:rsidRPr="00ED29BE">
        <w:rPr>
          <w:sz w:val="22"/>
          <w:szCs w:val="22"/>
        </w:rPr>
        <w:t xml:space="preserve"> </w:t>
      </w:r>
    </w:p>
    <w:p w:rsidR="00F27E58" w:rsidRDefault="00333B16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Je-li to vhodné</w:t>
      </w:r>
      <w:r w:rsidR="00A729D6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může p</w:t>
      </w:r>
      <w:r w:rsidR="00F27E58" w:rsidRPr="00116C50">
        <w:rPr>
          <w:rFonts w:eastAsia="Calibri"/>
          <w:sz w:val="22"/>
          <w:szCs w:val="22"/>
          <w:lang w:eastAsia="en-US"/>
        </w:rPr>
        <w:t>ověřený zaměstnanec zadavatele umož</w:t>
      </w:r>
      <w:r>
        <w:rPr>
          <w:rFonts w:eastAsia="Calibri"/>
          <w:sz w:val="22"/>
          <w:szCs w:val="22"/>
          <w:lang w:eastAsia="en-US"/>
        </w:rPr>
        <w:t xml:space="preserve">nit </w:t>
      </w:r>
      <w:r w:rsidR="00F27E58" w:rsidRPr="00116C50">
        <w:rPr>
          <w:rFonts w:eastAsia="Calibri"/>
          <w:sz w:val="22"/>
          <w:szCs w:val="22"/>
          <w:lang w:eastAsia="en-US"/>
        </w:rPr>
        <w:t>prohlídku místa plnění</w:t>
      </w:r>
      <w:r>
        <w:rPr>
          <w:rFonts w:eastAsia="Calibri"/>
          <w:sz w:val="22"/>
          <w:szCs w:val="22"/>
          <w:lang w:eastAsia="en-US"/>
        </w:rPr>
        <w:t>.</w:t>
      </w:r>
      <w:r w:rsidR="00F27E58" w:rsidRPr="00116C50">
        <w:rPr>
          <w:rFonts w:eastAsia="Calibri"/>
          <w:sz w:val="22"/>
          <w:szCs w:val="22"/>
          <w:lang w:eastAsia="en-US"/>
        </w:rPr>
        <w:t xml:space="preserve"> </w:t>
      </w:r>
    </w:p>
    <w:p w:rsidR="00F27E58" w:rsidRDefault="00240A98" w:rsidP="00E855AF">
      <w:pPr>
        <w:numPr>
          <w:ilvl w:val="0"/>
          <w:numId w:val="43"/>
        </w:num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9873A7">
        <w:rPr>
          <w:rFonts w:eastAsia="Calibri"/>
          <w:sz w:val="22"/>
          <w:szCs w:val="22"/>
          <w:lang w:eastAsia="en-US"/>
        </w:rPr>
        <w:t>Účastníci zadávacího řízení</w:t>
      </w:r>
      <w:r w:rsidR="00F27E58" w:rsidRPr="009873A7">
        <w:rPr>
          <w:rFonts w:eastAsia="Calibri"/>
          <w:sz w:val="22"/>
          <w:szCs w:val="22"/>
          <w:lang w:eastAsia="en-US"/>
        </w:rPr>
        <w:t xml:space="preserve"> podávají nabídky v zadavatelem stanovené lhůtě</w:t>
      </w:r>
      <w:r w:rsidR="00F27E58" w:rsidRPr="009873A7">
        <w:rPr>
          <w:rFonts w:eastAsia="Calibri"/>
          <w:sz w:val="22"/>
          <w:szCs w:val="22"/>
          <w:vertAlign w:val="superscript"/>
          <w:lang w:eastAsia="en-US"/>
        </w:rPr>
        <w:footnoteReference w:id="17"/>
      </w:r>
      <w:r w:rsidR="00F27E58" w:rsidRPr="009873A7">
        <w:rPr>
          <w:rFonts w:eastAsia="Calibri"/>
          <w:sz w:val="22"/>
          <w:szCs w:val="22"/>
          <w:lang w:eastAsia="en-US"/>
        </w:rPr>
        <w:t xml:space="preserve">. </w:t>
      </w:r>
    </w:p>
    <w:p w:rsidR="00151BF7" w:rsidRDefault="00151BF7" w:rsidP="00E855AF">
      <w:pPr>
        <w:numPr>
          <w:ilvl w:val="0"/>
          <w:numId w:val="43"/>
        </w:num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Pověřený zaměstnanec zadavatele zabezpečí otevření a hodnocení nabídek v souladu s tímto předpisem.</w:t>
      </w:r>
    </w:p>
    <w:p w:rsidR="009371D5" w:rsidRPr="00BA3B2A" w:rsidRDefault="009371D5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BA3B2A">
        <w:rPr>
          <w:rFonts w:eastAsia="Calibri"/>
          <w:sz w:val="22"/>
          <w:szCs w:val="22"/>
          <w:lang w:eastAsia="en-US"/>
        </w:rPr>
        <w:t>Rada na základě doporučení</w:t>
      </w:r>
      <w:r w:rsidR="001F15B3">
        <w:rPr>
          <w:rStyle w:val="Znakapoznpodarou"/>
          <w:rFonts w:eastAsia="Calibri"/>
          <w:sz w:val="22"/>
          <w:szCs w:val="22"/>
          <w:lang w:eastAsia="en-US"/>
        </w:rPr>
        <w:footnoteReference w:id="18"/>
      </w:r>
      <w:r w:rsidRPr="00BA3B2A">
        <w:rPr>
          <w:rFonts w:eastAsia="Calibri"/>
          <w:sz w:val="22"/>
          <w:szCs w:val="22"/>
          <w:lang w:eastAsia="en-US"/>
        </w:rPr>
        <w:t xml:space="preserve"> schvaluje </w:t>
      </w:r>
      <w:r w:rsidR="00151BF7">
        <w:rPr>
          <w:rFonts w:eastAsia="Calibri"/>
          <w:sz w:val="22"/>
          <w:szCs w:val="22"/>
          <w:lang w:eastAsia="en-US"/>
        </w:rPr>
        <w:t>vybraného dodavatele</w:t>
      </w:r>
      <w:r w:rsidR="00AF33FA">
        <w:rPr>
          <w:rFonts w:eastAsia="Calibri"/>
          <w:sz w:val="22"/>
          <w:szCs w:val="22"/>
          <w:lang w:eastAsia="en-US"/>
        </w:rPr>
        <w:t>,</w:t>
      </w:r>
      <w:r w:rsidR="00151BF7">
        <w:rPr>
          <w:rFonts w:eastAsia="Calibri"/>
          <w:sz w:val="22"/>
          <w:szCs w:val="22"/>
          <w:lang w:eastAsia="en-US"/>
        </w:rPr>
        <w:t xml:space="preserve"> vyloučení účastníků či zrušení zadávacího řízení</w:t>
      </w:r>
      <w:r w:rsidRPr="00A54E25">
        <w:rPr>
          <w:rFonts w:eastAsia="Calibri"/>
          <w:sz w:val="22"/>
          <w:szCs w:val="22"/>
          <w:lang w:eastAsia="en-US"/>
        </w:rPr>
        <w:t>. Pověřený</w:t>
      </w:r>
      <w:r w:rsidRPr="00BA3B2A">
        <w:rPr>
          <w:rFonts w:eastAsia="Calibri"/>
          <w:sz w:val="22"/>
          <w:szCs w:val="22"/>
          <w:lang w:eastAsia="en-US"/>
        </w:rPr>
        <w:t xml:space="preserve"> zaměstnanec zadavatele k návrhu na usnesení rady připojí </w:t>
      </w:r>
      <w:r>
        <w:rPr>
          <w:rFonts w:eastAsia="Calibri"/>
          <w:sz w:val="22"/>
          <w:szCs w:val="22"/>
          <w:lang w:eastAsia="en-US"/>
        </w:rPr>
        <w:t xml:space="preserve">písemnou zprávu </w:t>
      </w:r>
      <w:r w:rsidR="00151BF7">
        <w:rPr>
          <w:rFonts w:eastAsia="Calibri"/>
          <w:sz w:val="22"/>
          <w:szCs w:val="22"/>
          <w:lang w:eastAsia="en-US"/>
        </w:rPr>
        <w:t>o hodnocení nabídek</w:t>
      </w:r>
      <w:r w:rsidRPr="00BA3B2A">
        <w:rPr>
          <w:rFonts w:eastAsia="Calibri"/>
          <w:sz w:val="22"/>
          <w:szCs w:val="22"/>
          <w:lang w:eastAsia="en-US"/>
        </w:rPr>
        <w:t xml:space="preserve"> a v důvodové zprávě případně uvede své stanovisko.</w:t>
      </w:r>
    </w:p>
    <w:p w:rsidR="00CF21C6" w:rsidRPr="00A94962" w:rsidRDefault="00CF21C6" w:rsidP="00E855A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A94962">
        <w:rPr>
          <w:rFonts w:eastAsia="Calibri"/>
          <w:sz w:val="22"/>
          <w:szCs w:val="22"/>
          <w:lang w:eastAsia="en-US"/>
        </w:rPr>
        <w:t xml:space="preserve">Pověřený zaměstnanec zadavatele odešle vybranému dodavateli výzvu k předložení </w:t>
      </w:r>
      <w:r w:rsidRPr="00A94962">
        <w:rPr>
          <w:sz w:val="22"/>
          <w:szCs w:val="22"/>
        </w:rPr>
        <w:t>dokladů o jeho kvalifikaci, pokud je již nemá k dispozici, dokladů nebo vzorků, jejichž předložení je podmínkou uzavření smlouvy</w:t>
      </w:r>
      <w:r w:rsidR="00087D3B" w:rsidRPr="00A94962">
        <w:rPr>
          <w:rStyle w:val="Znakapoznpodarou"/>
          <w:sz w:val="22"/>
          <w:szCs w:val="22"/>
        </w:rPr>
        <w:footnoteReference w:id="19"/>
      </w:r>
      <w:r w:rsidR="00035C7F" w:rsidRPr="00A94962">
        <w:rPr>
          <w:sz w:val="22"/>
          <w:szCs w:val="22"/>
        </w:rPr>
        <w:t>.</w:t>
      </w:r>
      <w:r w:rsidR="00A94962" w:rsidRPr="00A94962">
        <w:rPr>
          <w:sz w:val="22"/>
          <w:szCs w:val="22"/>
        </w:rPr>
        <w:t xml:space="preserve"> </w:t>
      </w:r>
    </w:p>
    <w:p w:rsidR="00B16A46" w:rsidRPr="009371D5" w:rsidRDefault="00B16A46" w:rsidP="00E855AF">
      <w:pPr>
        <w:numPr>
          <w:ilvl w:val="0"/>
          <w:numId w:val="43"/>
        </w:numPr>
        <w:spacing w:before="240"/>
        <w:jc w:val="both"/>
        <w:rPr>
          <w:sz w:val="22"/>
          <w:szCs w:val="22"/>
        </w:rPr>
      </w:pPr>
      <w:r w:rsidRPr="00A5179E">
        <w:rPr>
          <w:rFonts w:eastAsia="Calibri"/>
          <w:sz w:val="22"/>
          <w:szCs w:val="22"/>
          <w:lang w:eastAsia="en-US"/>
        </w:rPr>
        <w:t xml:space="preserve">Pověřený zaměstnanec zadavatele odešle bez zbytečného odkladu od rozhodnutí o výběru </w:t>
      </w:r>
      <w:r w:rsidRPr="009D4625">
        <w:rPr>
          <w:rFonts w:eastAsia="Calibri"/>
          <w:sz w:val="22"/>
          <w:szCs w:val="22"/>
          <w:lang w:eastAsia="en-US"/>
        </w:rPr>
        <w:t>dodavatele a</w:t>
      </w:r>
      <w:r w:rsidR="002C4350">
        <w:rPr>
          <w:rFonts w:eastAsia="Calibri"/>
          <w:sz w:val="22"/>
          <w:szCs w:val="22"/>
          <w:lang w:eastAsia="en-US"/>
        </w:rPr>
        <w:t> </w:t>
      </w:r>
      <w:r w:rsidRPr="009D4625">
        <w:rPr>
          <w:rFonts w:eastAsia="Calibri"/>
          <w:sz w:val="22"/>
          <w:szCs w:val="22"/>
          <w:lang w:eastAsia="en-US"/>
        </w:rPr>
        <w:t>obdržení dokladů dle předchozího bodu oznámení o výběru dodavatele všem účastníkům zadávacího</w:t>
      </w:r>
      <w:r w:rsidRPr="00A5179E">
        <w:rPr>
          <w:rFonts w:eastAsia="Calibri"/>
          <w:sz w:val="22"/>
          <w:szCs w:val="22"/>
          <w:lang w:eastAsia="en-US"/>
        </w:rPr>
        <w:t xml:space="preserve"> řízení. </w:t>
      </w:r>
    </w:p>
    <w:p w:rsidR="00B16A46" w:rsidRPr="00B8256D" w:rsidRDefault="00B16A46" w:rsidP="00E855AF">
      <w:pPr>
        <w:numPr>
          <w:ilvl w:val="0"/>
          <w:numId w:val="43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15515B">
        <w:rPr>
          <w:rFonts w:eastAsia="Calibri"/>
          <w:sz w:val="22"/>
          <w:szCs w:val="22"/>
          <w:lang w:eastAsia="en-US"/>
        </w:rPr>
        <w:t>Pokud si to zadavatel v zadávací dokumentaci vyhradil, může oznámení o vyloučení účastníka zadávacího řízení nebo oznámení o výběru dodavatele uveřejnit na profilu zadavatele. V takovém případě se oznámení považuj</w:t>
      </w:r>
      <w:r w:rsidR="001F15B3">
        <w:rPr>
          <w:rFonts w:eastAsia="Calibri"/>
          <w:sz w:val="22"/>
          <w:szCs w:val="22"/>
          <w:lang w:eastAsia="en-US"/>
        </w:rPr>
        <w:t>e za doručené</w:t>
      </w:r>
      <w:r w:rsidRPr="0015515B">
        <w:rPr>
          <w:rFonts w:eastAsia="Calibri"/>
          <w:sz w:val="22"/>
          <w:szCs w:val="22"/>
          <w:lang w:eastAsia="en-US"/>
        </w:rPr>
        <w:t xml:space="preserve"> všem účastníkům zadávacího řízení okamžikem </w:t>
      </w:r>
      <w:r w:rsidR="001F15B3">
        <w:rPr>
          <w:rFonts w:eastAsia="Calibri"/>
          <w:sz w:val="22"/>
          <w:szCs w:val="22"/>
          <w:lang w:eastAsia="en-US"/>
        </w:rPr>
        <w:t>jeho</w:t>
      </w:r>
      <w:r w:rsidRPr="0015515B">
        <w:rPr>
          <w:rFonts w:eastAsia="Calibri"/>
          <w:sz w:val="22"/>
          <w:szCs w:val="22"/>
          <w:lang w:eastAsia="en-US"/>
        </w:rPr>
        <w:t xml:space="preserve"> uveřejnění.</w:t>
      </w:r>
    </w:p>
    <w:p w:rsidR="00F27E58" w:rsidRPr="005102BF" w:rsidRDefault="00AF33FA" w:rsidP="00E855AF">
      <w:pPr>
        <w:widowControl w:val="0"/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Nejsou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-li </w:t>
      </w:r>
      <w:r w:rsidRPr="005102BF">
        <w:rPr>
          <w:rFonts w:eastAsia="Calibri"/>
          <w:sz w:val="22"/>
          <w:szCs w:val="22"/>
          <w:lang w:eastAsia="en-US"/>
        </w:rPr>
        <w:t>podán</w:t>
      </w:r>
      <w:r>
        <w:rPr>
          <w:rFonts w:eastAsia="Calibri"/>
          <w:sz w:val="22"/>
          <w:szCs w:val="22"/>
          <w:lang w:eastAsia="en-US"/>
        </w:rPr>
        <w:t>y</w:t>
      </w:r>
      <w:r w:rsidRPr="005102BF">
        <w:rPr>
          <w:rFonts w:eastAsia="Calibri"/>
          <w:sz w:val="22"/>
          <w:szCs w:val="22"/>
          <w:lang w:eastAsia="en-US"/>
        </w:rPr>
        <w:t xml:space="preserve"> 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zadavateli </w:t>
      </w:r>
      <w:r w:rsidRPr="005102BF">
        <w:rPr>
          <w:rFonts w:eastAsia="Calibri"/>
          <w:sz w:val="22"/>
          <w:szCs w:val="22"/>
          <w:lang w:eastAsia="en-US"/>
        </w:rPr>
        <w:t>námitk</w:t>
      </w:r>
      <w:r>
        <w:rPr>
          <w:rFonts w:eastAsia="Calibri"/>
          <w:sz w:val="22"/>
          <w:szCs w:val="22"/>
          <w:lang w:eastAsia="en-US"/>
        </w:rPr>
        <w:t>y</w:t>
      </w:r>
      <w:r w:rsidRPr="005102BF">
        <w:rPr>
          <w:rFonts w:eastAsia="Calibri"/>
          <w:sz w:val="22"/>
          <w:szCs w:val="22"/>
          <w:lang w:eastAsia="en-US"/>
        </w:rPr>
        <w:t xml:space="preserve"> 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proti rozhodnutí o výběru </w:t>
      </w:r>
      <w:r w:rsidR="00912653">
        <w:rPr>
          <w:rFonts w:eastAsia="Calibri"/>
          <w:sz w:val="22"/>
          <w:szCs w:val="22"/>
          <w:lang w:eastAsia="en-US"/>
        </w:rPr>
        <w:t>dodavatele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 nebo proti rozhodnutí zadavatele o vylouč</w:t>
      </w:r>
      <w:r w:rsidR="006274B5">
        <w:rPr>
          <w:rFonts w:eastAsia="Calibri"/>
          <w:sz w:val="22"/>
          <w:szCs w:val="22"/>
          <w:lang w:eastAsia="en-US"/>
        </w:rPr>
        <w:t>ení z účasti v zadávacím řízení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, uzavírá zadavatel smlouvu na veřejnou zakázku s vybraným </w:t>
      </w:r>
      <w:r w:rsidR="005102BF" w:rsidRPr="005102BF">
        <w:rPr>
          <w:rFonts w:eastAsia="Calibri"/>
          <w:sz w:val="22"/>
          <w:szCs w:val="22"/>
          <w:lang w:eastAsia="en-US"/>
        </w:rPr>
        <w:t>dodavatelem.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 V případě, že je zadavatelem veřejné zakázky kraj, podpis smlouvy s</w:t>
      </w:r>
      <w:r w:rsidR="005A2A2E">
        <w:rPr>
          <w:rFonts w:eastAsia="Calibri"/>
          <w:sz w:val="22"/>
          <w:szCs w:val="22"/>
          <w:lang w:eastAsia="en-US"/>
        </w:rPr>
        <w:t> vybraným dodavatelem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 probíhá v souladu s podpisovým oprávněním dle podpisového </w:t>
      </w:r>
      <w:r w:rsidR="00F27E58" w:rsidRPr="00204400">
        <w:rPr>
          <w:rFonts w:eastAsia="Calibri"/>
          <w:sz w:val="22"/>
          <w:szCs w:val="22"/>
          <w:lang w:eastAsia="en-US"/>
        </w:rPr>
        <w:t>řádu</w:t>
      </w:r>
      <w:r w:rsidR="00F27E58" w:rsidRPr="00204400">
        <w:rPr>
          <w:rFonts w:eastAsia="Calibri"/>
          <w:sz w:val="22"/>
          <w:szCs w:val="22"/>
          <w:vertAlign w:val="superscript"/>
          <w:lang w:eastAsia="en-US"/>
        </w:rPr>
        <w:footnoteReference w:id="20"/>
      </w:r>
      <w:r w:rsidR="00F27E58" w:rsidRPr="00204400">
        <w:rPr>
          <w:rFonts w:eastAsia="Calibri"/>
          <w:sz w:val="22"/>
          <w:szCs w:val="22"/>
          <w:lang w:eastAsia="en-US"/>
        </w:rPr>
        <w:t>.</w:t>
      </w:r>
      <w:r w:rsidR="00F27E58" w:rsidRPr="00025088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F27E58" w:rsidRPr="005102BF">
        <w:rPr>
          <w:rFonts w:eastAsia="Calibri"/>
          <w:sz w:val="22"/>
          <w:szCs w:val="22"/>
          <w:lang w:eastAsia="en-US"/>
        </w:rPr>
        <w:t>V případě, že je zadavatelem veřejné zakázky příspěvková organizace, smlouvu s</w:t>
      </w:r>
      <w:r w:rsidR="005A2A2E">
        <w:rPr>
          <w:rFonts w:eastAsia="Calibri"/>
          <w:sz w:val="22"/>
          <w:szCs w:val="22"/>
          <w:lang w:eastAsia="en-US"/>
        </w:rPr>
        <w:t> vybraným dodavatelem</w:t>
      </w:r>
      <w:r w:rsidR="00F27E58" w:rsidRPr="005102BF">
        <w:rPr>
          <w:rFonts w:eastAsia="Calibri"/>
          <w:sz w:val="22"/>
          <w:szCs w:val="22"/>
          <w:lang w:eastAsia="en-US"/>
        </w:rPr>
        <w:t xml:space="preserve"> podepisuje ředitel příspěvkové organizace.</w:t>
      </w:r>
    </w:p>
    <w:p w:rsidR="00F27E58" w:rsidRPr="00D25751" w:rsidRDefault="00F27E58" w:rsidP="00E855AF">
      <w:pPr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D25751">
        <w:rPr>
          <w:rFonts w:eastAsia="Calibri"/>
          <w:sz w:val="22"/>
          <w:szCs w:val="22"/>
          <w:lang w:eastAsia="en-US"/>
        </w:rPr>
        <w:t xml:space="preserve">Pověřený zaměstnanec zadavatele </w:t>
      </w:r>
      <w:r w:rsidR="00382067" w:rsidRPr="00D25751">
        <w:rPr>
          <w:sz w:val="22"/>
          <w:szCs w:val="22"/>
        </w:rPr>
        <w:t>odešle oznámení o výsledku zadávacího řízení k uveřejnění způsobem</w:t>
      </w:r>
      <w:r w:rsidR="00204400" w:rsidRPr="00D25751">
        <w:rPr>
          <w:rStyle w:val="Znakapoznpodarou"/>
          <w:sz w:val="22"/>
          <w:szCs w:val="22"/>
        </w:rPr>
        <w:footnoteReference w:id="21"/>
      </w:r>
      <w:r w:rsidR="00087D3B" w:rsidRPr="00D25751">
        <w:rPr>
          <w:sz w:val="22"/>
          <w:szCs w:val="22"/>
        </w:rPr>
        <w:t xml:space="preserve"> </w:t>
      </w:r>
      <w:r w:rsidR="00382067" w:rsidRPr="00D25751">
        <w:rPr>
          <w:sz w:val="22"/>
          <w:szCs w:val="22"/>
        </w:rPr>
        <w:t>podle zákona do 30 dnů od uzavření smlouvy.</w:t>
      </w:r>
      <w:r w:rsidR="00382067" w:rsidRPr="00D25751">
        <w:rPr>
          <w:rFonts w:eastAsia="Calibri"/>
          <w:sz w:val="22"/>
          <w:szCs w:val="22"/>
          <w:lang w:eastAsia="en-US"/>
        </w:rPr>
        <w:t xml:space="preserve"> </w:t>
      </w:r>
    </w:p>
    <w:p w:rsidR="00382067" w:rsidRPr="00382067" w:rsidRDefault="00382067" w:rsidP="00E855A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382067">
        <w:rPr>
          <w:rFonts w:eastAsia="Calibri"/>
          <w:sz w:val="22"/>
          <w:szCs w:val="22"/>
          <w:lang w:eastAsia="en-US"/>
        </w:rPr>
        <w:t xml:space="preserve">Oznámení o zrušení zjednodušeného podlimitního řízení </w:t>
      </w:r>
      <w:r>
        <w:rPr>
          <w:rFonts w:eastAsia="Calibri"/>
          <w:sz w:val="22"/>
          <w:szCs w:val="22"/>
          <w:lang w:eastAsia="en-US"/>
        </w:rPr>
        <w:t>pověřený zaměstnanec zadavatele</w:t>
      </w:r>
      <w:r w:rsidRPr="00382067">
        <w:rPr>
          <w:rFonts w:eastAsia="Calibri"/>
          <w:sz w:val="22"/>
          <w:szCs w:val="22"/>
          <w:lang w:eastAsia="en-US"/>
        </w:rPr>
        <w:t xml:space="preserve"> uveřejní na profilu zadavatele do 5 pracovních dnů od rozhodnutí o zrušení zadávacího řízení. </w:t>
      </w:r>
    </w:p>
    <w:p w:rsidR="00F27E58" w:rsidRPr="00087D3B" w:rsidRDefault="00F27E58" w:rsidP="00E855AF">
      <w:pPr>
        <w:numPr>
          <w:ilvl w:val="0"/>
          <w:numId w:val="43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087D3B">
        <w:rPr>
          <w:rFonts w:eastAsia="Calibri"/>
          <w:sz w:val="22"/>
          <w:szCs w:val="22"/>
          <w:lang w:eastAsia="en-US"/>
        </w:rPr>
        <w:t>Pověřený zaměstnanec zadavatele dále vyhotoví písemnou zprávu zadavatele</w:t>
      </w:r>
      <w:r w:rsidR="00087D3B" w:rsidRPr="00087D3B">
        <w:rPr>
          <w:rStyle w:val="Znakapoznpodarou"/>
          <w:rFonts w:eastAsia="Calibri"/>
          <w:sz w:val="22"/>
          <w:szCs w:val="22"/>
          <w:lang w:eastAsia="en-US"/>
        </w:rPr>
        <w:footnoteReference w:id="22"/>
      </w:r>
      <w:r w:rsidR="00087D3B" w:rsidRPr="00087D3B">
        <w:rPr>
          <w:rFonts w:eastAsia="Calibri"/>
          <w:sz w:val="22"/>
          <w:szCs w:val="22"/>
          <w:lang w:eastAsia="en-US"/>
        </w:rPr>
        <w:t xml:space="preserve"> </w:t>
      </w:r>
      <w:r w:rsidRPr="00087D3B">
        <w:rPr>
          <w:rFonts w:eastAsia="Calibri"/>
          <w:sz w:val="22"/>
          <w:szCs w:val="22"/>
          <w:lang w:eastAsia="en-US"/>
        </w:rPr>
        <w:t>o veřejné zakázce a</w:t>
      </w:r>
      <w:r w:rsidR="002C4350">
        <w:rPr>
          <w:rFonts w:eastAsia="Calibri"/>
          <w:sz w:val="22"/>
          <w:szCs w:val="22"/>
          <w:lang w:eastAsia="en-US"/>
        </w:rPr>
        <w:t> </w:t>
      </w:r>
      <w:r w:rsidRPr="00087D3B">
        <w:rPr>
          <w:rFonts w:eastAsia="Calibri"/>
          <w:sz w:val="22"/>
          <w:szCs w:val="22"/>
          <w:lang w:eastAsia="en-US"/>
        </w:rPr>
        <w:t xml:space="preserve">uveřejní jí na profilu zadavatele do </w:t>
      </w:r>
      <w:r w:rsidR="00382067" w:rsidRPr="00087D3B">
        <w:rPr>
          <w:rFonts w:eastAsia="Calibri"/>
          <w:sz w:val="22"/>
          <w:szCs w:val="22"/>
          <w:lang w:eastAsia="en-US"/>
        </w:rPr>
        <w:t>30</w:t>
      </w:r>
      <w:r w:rsidRPr="00087D3B">
        <w:rPr>
          <w:rFonts w:eastAsia="Calibri"/>
          <w:sz w:val="22"/>
          <w:szCs w:val="22"/>
          <w:lang w:eastAsia="en-US"/>
        </w:rPr>
        <w:t xml:space="preserve"> </w:t>
      </w:r>
      <w:r w:rsidR="000479CD">
        <w:rPr>
          <w:rFonts w:eastAsia="Calibri"/>
          <w:sz w:val="22"/>
          <w:szCs w:val="22"/>
          <w:lang w:eastAsia="en-US"/>
        </w:rPr>
        <w:t xml:space="preserve">pracovních </w:t>
      </w:r>
      <w:r w:rsidRPr="00087D3B">
        <w:rPr>
          <w:rFonts w:eastAsia="Calibri"/>
          <w:sz w:val="22"/>
          <w:szCs w:val="22"/>
          <w:lang w:eastAsia="en-US"/>
        </w:rPr>
        <w:t xml:space="preserve">dnů od ukončení zadávacího </w:t>
      </w:r>
      <w:r w:rsidR="00382067" w:rsidRPr="00087D3B">
        <w:rPr>
          <w:rFonts w:eastAsia="Calibri"/>
          <w:sz w:val="22"/>
          <w:szCs w:val="22"/>
          <w:lang w:eastAsia="en-US"/>
        </w:rPr>
        <w:t>řízení</w:t>
      </w:r>
      <w:r w:rsidR="00087D3B" w:rsidRPr="00087D3B">
        <w:rPr>
          <w:rFonts w:eastAsia="Calibri"/>
          <w:sz w:val="22"/>
          <w:szCs w:val="22"/>
          <w:lang w:eastAsia="en-US"/>
        </w:rPr>
        <w:t>.</w:t>
      </w:r>
    </w:p>
    <w:p w:rsidR="00F27E58" w:rsidRDefault="00F27E58" w:rsidP="00924C0A">
      <w:pPr>
        <w:rPr>
          <w:rFonts w:eastAsia="Calibri"/>
          <w:sz w:val="22"/>
          <w:szCs w:val="22"/>
          <w:lang w:eastAsia="en-US"/>
        </w:rPr>
      </w:pPr>
    </w:p>
    <w:p w:rsidR="00DA2BC8" w:rsidRPr="00924C0A" w:rsidRDefault="00DA2BC8" w:rsidP="00924C0A">
      <w:pPr>
        <w:rPr>
          <w:rFonts w:eastAsia="Calibri"/>
          <w:sz w:val="22"/>
          <w:szCs w:val="22"/>
          <w:lang w:eastAsia="en-US"/>
        </w:rPr>
      </w:pPr>
    </w:p>
    <w:p w:rsidR="0033053F" w:rsidRDefault="0033053F">
      <w:pPr>
        <w:rPr>
          <w:rFonts w:eastAsia="Calibri"/>
          <w:b/>
          <w:sz w:val="22"/>
          <w:szCs w:val="22"/>
        </w:rPr>
      </w:pPr>
      <w:bookmarkStart w:id="47" w:name="_Toc399911826"/>
      <w:bookmarkStart w:id="48" w:name="_Toc403400642"/>
      <w:bookmarkStart w:id="49" w:name="_Toc453761091"/>
      <w:r>
        <w:rPr>
          <w:rFonts w:eastAsia="Calibri"/>
          <w:b/>
          <w:sz w:val="22"/>
          <w:szCs w:val="22"/>
        </w:rPr>
        <w:br w:type="page"/>
      </w:r>
    </w:p>
    <w:p w:rsidR="00A926A0" w:rsidRPr="00DA2BC8" w:rsidRDefault="00A926A0" w:rsidP="0026457D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lastRenderedPageBreak/>
        <w:t xml:space="preserve">Čl. </w:t>
      </w:r>
      <w:bookmarkEnd w:id="47"/>
      <w:bookmarkEnd w:id="48"/>
      <w:bookmarkEnd w:id="49"/>
      <w:r w:rsidR="00151BF7" w:rsidRPr="00DA2BC8">
        <w:rPr>
          <w:rFonts w:eastAsia="Calibri"/>
          <w:b/>
          <w:sz w:val="22"/>
          <w:szCs w:val="22"/>
        </w:rPr>
        <w:t>XIV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A926A0" w:rsidRPr="00F4699F" w:rsidRDefault="00A926A0" w:rsidP="00A926A0">
      <w:pPr>
        <w:pStyle w:val="Nadpis2"/>
        <w:jc w:val="center"/>
        <w:rPr>
          <w:rFonts w:eastAsia="Calibri"/>
          <w:sz w:val="22"/>
          <w:szCs w:val="22"/>
        </w:rPr>
      </w:pPr>
      <w:bookmarkStart w:id="50" w:name="_Toc210984960"/>
      <w:r w:rsidRPr="00F4699F">
        <w:rPr>
          <w:rFonts w:eastAsia="Calibri"/>
          <w:sz w:val="22"/>
          <w:szCs w:val="22"/>
        </w:rPr>
        <w:t>Otevřené řízení</w:t>
      </w:r>
      <w:bookmarkEnd w:id="50"/>
    </w:p>
    <w:p w:rsidR="00A926A0" w:rsidRPr="006A1340" w:rsidRDefault="00A926A0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6A1340">
        <w:rPr>
          <w:rFonts w:eastAsia="Calibri"/>
          <w:sz w:val="22"/>
          <w:szCs w:val="22"/>
          <w:lang w:eastAsia="en-US"/>
        </w:rPr>
        <w:t xml:space="preserve">Pověřený zaměstnanec zadavatele </w:t>
      </w:r>
      <w:r w:rsidR="00F4699F" w:rsidRPr="006A1340">
        <w:rPr>
          <w:sz w:val="22"/>
          <w:szCs w:val="22"/>
        </w:rPr>
        <w:t>je oprávněn uveřejnit formou předběžného oznámení</w:t>
      </w:r>
      <w:r w:rsidR="006A1340" w:rsidRPr="006A1340">
        <w:rPr>
          <w:rStyle w:val="Znakapoznpodarou"/>
          <w:sz w:val="22"/>
          <w:szCs w:val="22"/>
        </w:rPr>
        <w:footnoteReference w:id="23"/>
      </w:r>
      <w:r w:rsidR="006A1340">
        <w:rPr>
          <w:sz w:val="22"/>
          <w:szCs w:val="22"/>
        </w:rPr>
        <w:t xml:space="preserve"> </w:t>
      </w:r>
      <w:r w:rsidR="00F4699F" w:rsidRPr="006A1340">
        <w:rPr>
          <w:sz w:val="22"/>
          <w:szCs w:val="22"/>
        </w:rPr>
        <w:t>svůj</w:t>
      </w:r>
      <w:r w:rsidR="00D83570">
        <w:rPr>
          <w:sz w:val="22"/>
          <w:szCs w:val="22"/>
        </w:rPr>
        <w:t xml:space="preserve"> úmysl zahájit zadávací řízení. </w:t>
      </w:r>
    </w:p>
    <w:p w:rsidR="00F4699F" w:rsidRPr="00A360BA" w:rsidRDefault="00271E27" w:rsidP="00E855AF">
      <w:pPr>
        <w:numPr>
          <w:ilvl w:val="0"/>
          <w:numId w:val="44"/>
        </w:numPr>
        <w:spacing w:before="240"/>
        <w:jc w:val="both"/>
        <w:rPr>
          <w:rFonts w:eastAsia="Calibri"/>
          <w:strike/>
          <w:sz w:val="22"/>
          <w:szCs w:val="22"/>
          <w:lang w:eastAsia="en-US"/>
        </w:rPr>
      </w:pPr>
      <w:r w:rsidRPr="00A360BA">
        <w:rPr>
          <w:rFonts w:eastAsia="Calibri"/>
          <w:sz w:val="22"/>
          <w:szCs w:val="22"/>
          <w:lang w:eastAsia="en-US"/>
        </w:rPr>
        <w:t>Rada na základě návrhu pověřeného zaměstnance zadavatele v rámci přípravy zadávacího řízení schvaluje zadávací dokumentaci, formu zadávacího řízení, hodnotící kritéria a váhu hodnotících kritérií</w:t>
      </w:r>
      <w:r w:rsidR="00B50A0D">
        <w:rPr>
          <w:rFonts w:eastAsia="Calibri"/>
          <w:sz w:val="22"/>
          <w:szCs w:val="22"/>
          <w:lang w:eastAsia="en-US"/>
        </w:rPr>
        <w:t xml:space="preserve"> a výši maximální a nepřekročitelné nabídkové ceny, pokud je stanovena</w:t>
      </w:r>
      <w:r w:rsidR="00B50A0D" w:rsidRPr="00A94962">
        <w:rPr>
          <w:rFonts w:eastAsia="Calibri"/>
          <w:sz w:val="22"/>
          <w:szCs w:val="22"/>
          <w:lang w:eastAsia="en-US"/>
        </w:rPr>
        <w:t>.</w:t>
      </w:r>
      <w:r w:rsidRPr="00A360BA">
        <w:rPr>
          <w:rFonts w:eastAsia="Calibri"/>
          <w:sz w:val="22"/>
          <w:szCs w:val="22"/>
          <w:lang w:eastAsia="en-US"/>
        </w:rPr>
        <w:t xml:space="preserve"> </w:t>
      </w:r>
    </w:p>
    <w:p w:rsidR="00286ADB" w:rsidRDefault="00B66BC5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286ADB">
        <w:rPr>
          <w:rFonts w:eastAsia="Calibri"/>
          <w:sz w:val="22"/>
          <w:szCs w:val="22"/>
          <w:lang w:eastAsia="en-US"/>
        </w:rPr>
        <w:t>Pověřený zaměstnanec zadavatele zahajuje otevřené řízení odesláním oznámení o zahájení zadávacího řízení k uveřejnění</w:t>
      </w:r>
      <w:r w:rsidR="00AF5DEB">
        <w:rPr>
          <w:rStyle w:val="Znakapoznpodarou"/>
          <w:rFonts w:eastAsia="Calibri"/>
          <w:sz w:val="22"/>
          <w:szCs w:val="22"/>
          <w:lang w:eastAsia="en-US"/>
        </w:rPr>
        <w:footnoteReference w:id="24"/>
      </w:r>
      <w:r w:rsidRPr="00286ADB">
        <w:rPr>
          <w:rFonts w:eastAsia="Calibri"/>
          <w:sz w:val="22"/>
          <w:szCs w:val="22"/>
          <w:lang w:eastAsia="en-US"/>
        </w:rPr>
        <w:t xml:space="preserve">, kterým vyzývá neomezený počet dodavatelů k podání nabídky. </w:t>
      </w:r>
    </w:p>
    <w:p w:rsidR="00A729D6" w:rsidRPr="00286ADB" w:rsidRDefault="00A729D6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286ADB">
        <w:rPr>
          <w:rFonts w:eastAsia="Calibri"/>
          <w:sz w:val="22"/>
          <w:szCs w:val="22"/>
          <w:lang w:eastAsia="en-US"/>
        </w:rPr>
        <w:t>Zadávací dokumentace musí být uveřejněna na profilu zadavatele po celou lhůtu pro podání nabídek. Pokud některou část zadávací dokumentace nelze zpřístupnit z důvodů vymezených v zákoně</w:t>
      </w:r>
      <w:r w:rsidR="00AF5DEB">
        <w:rPr>
          <w:rStyle w:val="Znakapoznpodarou"/>
          <w:rFonts w:eastAsia="Calibri"/>
          <w:sz w:val="22"/>
          <w:szCs w:val="22"/>
          <w:lang w:eastAsia="en-US"/>
        </w:rPr>
        <w:footnoteReference w:id="25"/>
      </w:r>
      <w:r w:rsidRPr="00286ADB">
        <w:rPr>
          <w:rFonts w:eastAsia="Calibri"/>
          <w:sz w:val="22"/>
          <w:szCs w:val="22"/>
          <w:lang w:eastAsia="en-US"/>
        </w:rPr>
        <w:t>, může zadavatel příslušnou část zadávací dokumentace poskytnout jiným vhodným způsobem. V takovém případě zadavatel odešle</w:t>
      </w:r>
      <w:r w:rsidR="00163B7C">
        <w:rPr>
          <w:rFonts w:eastAsia="Calibri"/>
          <w:sz w:val="22"/>
          <w:szCs w:val="22"/>
          <w:lang w:eastAsia="en-US"/>
        </w:rPr>
        <w:t>,</w:t>
      </w:r>
      <w:r w:rsidRPr="00286ADB">
        <w:rPr>
          <w:rFonts w:eastAsia="Calibri"/>
          <w:sz w:val="22"/>
          <w:szCs w:val="22"/>
          <w:lang w:eastAsia="en-US"/>
        </w:rPr>
        <w:t xml:space="preserve"> předá </w:t>
      </w:r>
      <w:r w:rsidR="00163B7C">
        <w:rPr>
          <w:rFonts w:eastAsia="Calibri"/>
          <w:sz w:val="22"/>
          <w:szCs w:val="22"/>
          <w:lang w:eastAsia="en-US"/>
        </w:rPr>
        <w:t xml:space="preserve">nebo jinak zpřístupní </w:t>
      </w:r>
      <w:r w:rsidRPr="00286ADB">
        <w:rPr>
          <w:rFonts w:eastAsia="Calibri"/>
          <w:sz w:val="22"/>
          <w:szCs w:val="22"/>
          <w:lang w:eastAsia="en-US"/>
        </w:rPr>
        <w:t xml:space="preserve">příslušnou část zadávací dokumentace nejpozději do 3 pracovních dnů od doručení žádosti dodavatele o její poskytnutí. </w:t>
      </w:r>
    </w:p>
    <w:p w:rsidR="003A7D17" w:rsidRPr="00AF5DEB" w:rsidRDefault="00B50A0D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ED29BE">
        <w:rPr>
          <w:rFonts w:eastAsia="Calibri"/>
          <w:sz w:val="22"/>
          <w:szCs w:val="22"/>
          <w:lang w:eastAsia="en-US"/>
        </w:rPr>
        <w:t xml:space="preserve">Pověřený zaměstnanec zadavatele může zadávací dokumentaci vysvětlit, </w:t>
      </w:r>
      <w:r>
        <w:rPr>
          <w:rFonts w:eastAsia="Calibri"/>
          <w:sz w:val="22"/>
          <w:szCs w:val="22"/>
          <w:lang w:eastAsia="en-US"/>
        </w:rPr>
        <w:t>změnit nebo doplnit</w:t>
      </w:r>
      <w:r>
        <w:rPr>
          <w:rStyle w:val="Znakapoznpodarou"/>
          <w:rFonts w:eastAsia="Calibri"/>
          <w:sz w:val="22"/>
          <w:szCs w:val="22"/>
          <w:lang w:eastAsia="en-US"/>
        </w:rPr>
        <w:footnoteReference w:id="26"/>
      </w:r>
      <w:r>
        <w:rPr>
          <w:rFonts w:eastAsia="Calibri"/>
          <w:sz w:val="22"/>
          <w:szCs w:val="22"/>
          <w:lang w:eastAsia="en-US"/>
        </w:rPr>
        <w:t xml:space="preserve">, </w:t>
      </w:r>
      <w:r w:rsidRPr="00ED29BE">
        <w:rPr>
          <w:rFonts w:eastAsia="Calibri"/>
          <w:sz w:val="22"/>
          <w:szCs w:val="22"/>
          <w:lang w:eastAsia="en-US"/>
        </w:rPr>
        <w:t>pokud takové vysvětlení</w:t>
      </w:r>
      <w:r>
        <w:rPr>
          <w:rFonts w:eastAsia="Calibri"/>
          <w:sz w:val="22"/>
          <w:szCs w:val="22"/>
          <w:lang w:eastAsia="en-US"/>
        </w:rPr>
        <w:t>, doplnění či změnu</w:t>
      </w:r>
      <w:r w:rsidRPr="00ED29BE">
        <w:rPr>
          <w:rFonts w:eastAsia="Calibri"/>
          <w:sz w:val="22"/>
          <w:szCs w:val="22"/>
          <w:lang w:eastAsia="en-US"/>
        </w:rPr>
        <w:t xml:space="preserve"> uveřejní na profilu zadavatele, a to nejméně </w:t>
      </w:r>
      <w:r w:rsidR="00CD15E7">
        <w:rPr>
          <w:rFonts w:eastAsia="Calibri"/>
          <w:sz w:val="22"/>
          <w:szCs w:val="22"/>
          <w:lang w:eastAsia="en-US"/>
        </w:rPr>
        <w:t>5</w:t>
      </w:r>
      <w:r w:rsidRPr="00ED29BE">
        <w:rPr>
          <w:sz w:val="22"/>
          <w:szCs w:val="22"/>
        </w:rPr>
        <w:t xml:space="preserve"> pracovní</w:t>
      </w:r>
      <w:r w:rsidR="000C5880">
        <w:rPr>
          <w:sz w:val="22"/>
          <w:szCs w:val="22"/>
        </w:rPr>
        <w:t>ch</w:t>
      </w:r>
      <w:r w:rsidRPr="00ED29BE">
        <w:rPr>
          <w:sz w:val="22"/>
          <w:szCs w:val="22"/>
        </w:rPr>
        <w:t xml:space="preserve"> dn</w:t>
      </w:r>
      <w:r w:rsidR="000C5880">
        <w:rPr>
          <w:sz w:val="22"/>
          <w:szCs w:val="22"/>
        </w:rPr>
        <w:t>ů</w:t>
      </w:r>
      <w:r w:rsidRPr="00ED29BE">
        <w:rPr>
          <w:sz w:val="22"/>
          <w:szCs w:val="22"/>
        </w:rPr>
        <w:t xml:space="preserve"> před uplynutím lhůty pro podání nabídek. Pokud o vysvětlení zadávací dokumentace písemně požádá dodavatel, zadavatel vysvětlení uveřejní, odešle nebo předá včetně přesného znění žádosti bez identifikace tohoto dodavatele.</w:t>
      </w:r>
      <w:r w:rsidR="003A7D17" w:rsidRPr="00AF5D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Pověřený zaměstnanec zadavatele není oprávněn změnit </w:t>
      </w:r>
      <w:r w:rsidRPr="00A94962">
        <w:rPr>
          <w:rFonts w:eastAsia="Calibri"/>
          <w:sz w:val="22"/>
          <w:szCs w:val="22"/>
          <w:lang w:eastAsia="en-US"/>
        </w:rPr>
        <w:t>hodnotící kritéria a váhu hodnotících kritérií</w:t>
      </w:r>
      <w:r>
        <w:rPr>
          <w:rFonts w:eastAsia="Calibri"/>
          <w:sz w:val="22"/>
          <w:szCs w:val="22"/>
          <w:lang w:eastAsia="en-US"/>
        </w:rPr>
        <w:t xml:space="preserve"> a výši maximální a nepřekročitelné nabídkové ceny, pokud byla schválena radou.</w:t>
      </w:r>
    </w:p>
    <w:p w:rsidR="003A7D17" w:rsidRDefault="003A7D17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Je-li to vhodné</w:t>
      </w:r>
      <w:r w:rsidR="00A729D6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může p</w:t>
      </w:r>
      <w:r w:rsidRPr="00116C50">
        <w:rPr>
          <w:rFonts w:eastAsia="Calibri"/>
          <w:sz w:val="22"/>
          <w:szCs w:val="22"/>
          <w:lang w:eastAsia="en-US"/>
        </w:rPr>
        <w:t>ověřený zaměstnanec zadavatele umož</w:t>
      </w:r>
      <w:r>
        <w:rPr>
          <w:rFonts w:eastAsia="Calibri"/>
          <w:sz w:val="22"/>
          <w:szCs w:val="22"/>
          <w:lang w:eastAsia="en-US"/>
        </w:rPr>
        <w:t xml:space="preserve">nit </w:t>
      </w:r>
      <w:r w:rsidRPr="00116C50">
        <w:rPr>
          <w:rFonts w:eastAsia="Calibri"/>
          <w:sz w:val="22"/>
          <w:szCs w:val="22"/>
          <w:lang w:eastAsia="en-US"/>
        </w:rPr>
        <w:t>prohlídku místa plnění</w:t>
      </w:r>
      <w:r>
        <w:rPr>
          <w:rFonts w:eastAsia="Calibri"/>
          <w:sz w:val="22"/>
          <w:szCs w:val="22"/>
          <w:lang w:eastAsia="en-US"/>
        </w:rPr>
        <w:t>.</w:t>
      </w:r>
      <w:r w:rsidRPr="00116C50">
        <w:rPr>
          <w:rFonts w:eastAsia="Calibri"/>
          <w:sz w:val="22"/>
          <w:szCs w:val="22"/>
          <w:lang w:eastAsia="en-US"/>
        </w:rPr>
        <w:t xml:space="preserve"> </w:t>
      </w:r>
    </w:p>
    <w:p w:rsidR="003A7D17" w:rsidRDefault="003A7D17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D4625">
        <w:rPr>
          <w:rFonts w:eastAsia="Calibri"/>
          <w:sz w:val="22"/>
          <w:szCs w:val="22"/>
          <w:lang w:eastAsia="en-US"/>
        </w:rPr>
        <w:t xml:space="preserve">Účastníci zadávacího řízení podávají nabídky v zadavatelem stanovené </w:t>
      </w:r>
      <w:r w:rsidR="00B33814" w:rsidRPr="009D4625">
        <w:rPr>
          <w:rFonts w:eastAsia="Calibri"/>
          <w:sz w:val="22"/>
          <w:szCs w:val="22"/>
          <w:lang w:eastAsia="en-US"/>
        </w:rPr>
        <w:t>lhůtě</w:t>
      </w:r>
      <w:r w:rsidR="00AF5DEB" w:rsidRPr="009D4625">
        <w:rPr>
          <w:rStyle w:val="Znakapoznpodarou"/>
          <w:rFonts w:eastAsia="Calibri"/>
          <w:sz w:val="22"/>
          <w:szCs w:val="22"/>
          <w:lang w:eastAsia="en-US"/>
        </w:rPr>
        <w:footnoteReference w:id="27"/>
      </w:r>
      <w:r w:rsidR="00AF5DEB" w:rsidRPr="009D4625">
        <w:rPr>
          <w:rFonts w:eastAsia="Calibri"/>
          <w:sz w:val="22"/>
          <w:szCs w:val="22"/>
          <w:lang w:eastAsia="en-US"/>
        </w:rPr>
        <w:t>.</w:t>
      </w:r>
      <w:r w:rsidR="00B33814" w:rsidRPr="009D4625">
        <w:rPr>
          <w:rFonts w:eastAsia="Calibri"/>
          <w:sz w:val="22"/>
          <w:szCs w:val="22"/>
          <w:lang w:eastAsia="en-US"/>
        </w:rPr>
        <w:t xml:space="preserve"> </w:t>
      </w:r>
    </w:p>
    <w:p w:rsidR="00CC054E" w:rsidRPr="009D4625" w:rsidRDefault="00CC054E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Pověřený zaměstnanec zadavatele zabezpečí otevření a hodnocení nabídek v souladu s tímto předpisem.</w:t>
      </w:r>
    </w:p>
    <w:p w:rsidR="003A7D17" w:rsidRDefault="00912653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BA3B2A">
        <w:rPr>
          <w:rFonts w:eastAsia="Calibri"/>
          <w:sz w:val="22"/>
          <w:szCs w:val="22"/>
          <w:lang w:eastAsia="en-US"/>
        </w:rPr>
        <w:t>Rada na základě doporučení</w:t>
      </w:r>
      <w:r w:rsidR="001F15B3">
        <w:rPr>
          <w:rStyle w:val="Znakapoznpodarou"/>
          <w:rFonts w:eastAsia="Calibri"/>
          <w:sz w:val="22"/>
          <w:szCs w:val="22"/>
          <w:lang w:eastAsia="en-US"/>
        </w:rPr>
        <w:footnoteReference w:id="28"/>
      </w:r>
      <w:r w:rsidRPr="00BA3B2A">
        <w:rPr>
          <w:rFonts w:eastAsia="Calibri"/>
          <w:sz w:val="22"/>
          <w:szCs w:val="22"/>
          <w:lang w:eastAsia="en-US"/>
        </w:rPr>
        <w:t xml:space="preserve"> schvaluje </w:t>
      </w:r>
      <w:r>
        <w:rPr>
          <w:rFonts w:eastAsia="Calibri"/>
          <w:sz w:val="22"/>
          <w:szCs w:val="22"/>
          <w:lang w:eastAsia="en-US"/>
        </w:rPr>
        <w:t>vybraného dodavatele, vyloučení účastníků či zrušení zadávacího řízení</w:t>
      </w:r>
      <w:r w:rsidRPr="00A54E25">
        <w:rPr>
          <w:rFonts w:eastAsia="Calibri"/>
          <w:sz w:val="22"/>
          <w:szCs w:val="22"/>
          <w:lang w:eastAsia="en-US"/>
        </w:rPr>
        <w:t>. Pověřený</w:t>
      </w:r>
      <w:r w:rsidRPr="00BA3B2A">
        <w:rPr>
          <w:rFonts w:eastAsia="Calibri"/>
          <w:sz w:val="22"/>
          <w:szCs w:val="22"/>
          <w:lang w:eastAsia="en-US"/>
        </w:rPr>
        <w:t xml:space="preserve"> zaměstnanec zadavatele k návrhu na usnesení rady připojí </w:t>
      </w:r>
      <w:r>
        <w:rPr>
          <w:rFonts w:eastAsia="Calibri"/>
          <w:sz w:val="22"/>
          <w:szCs w:val="22"/>
          <w:lang w:eastAsia="en-US"/>
        </w:rPr>
        <w:t>písemnou zprávu o hodnocení nabídek</w:t>
      </w:r>
      <w:r w:rsidRPr="00BA3B2A">
        <w:rPr>
          <w:rFonts w:eastAsia="Calibri"/>
          <w:sz w:val="22"/>
          <w:szCs w:val="22"/>
          <w:lang w:eastAsia="en-US"/>
        </w:rPr>
        <w:t xml:space="preserve"> a v důvodové zprávě případně uvede své stanovisko.</w:t>
      </w:r>
    </w:p>
    <w:p w:rsidR="008C24AF" w:rsidRPr="00214CBE" w:rsidRDefault="008C24AF" w:rsidP="00E855AF">
      <w:pPr>
        <w:numPr>
          <w:ilvl w:val="0"/>
          <w:numId w:val="44"/>
        </w:numPr>
        <w:spacing w:before="240"/>
        <w:jc w:val="both"/>
        <w:rPr>
          <w:sz w:val="22"/>
          <w:szCs w:val="22"/>
        </w:rPr>
      </w:pPr>
      <w:r w:rsidRPr="00214CBE">
        <w:rPr>
          <w:rFonts w:eastAsia="Calibri"/>
          <w:sz w:val="22"/>
          <w:szCs w:val="22"/>
          <w:lang w:eastAsia="en-US"/>
        </w:rPr>
        <w:t xml:space="preserve">Pověřený zaměstnanec zadavatele odešle vybranému dodavateli výzvu k předložení </w:t>
      </w:r>
      <w:r w:rsidRPr="00214CBE">
        <w:rPr>
          <w:sz w:val="22"/>
          <w:szCs w:val="22"/>
        </w:rPr>
        <w:t>dokladů o jeho kvalifikaci, pokud je již nemá k dispozici, dokladů nebo vzorků</w:t>
      </w:r>
      <w:r w:rsidRPr="00214CBE">
        <w:rPr>
          <w:rStyle w:val="Znakapoznpodarou"/>
          <w:sz w:val="22"/>
          <w:szCs w:val="22"/>
        </w:rPr>
        <w:footnoteReference w:id="29"/>
      </w:r>
      <w:r w:rsidRPr="00214CBE">
        <w:rPr>
          <w:sz w:val="22"/>
          <w:szCs w:val="22"/>
        </w:rPr>
        <w:t>, jejichž předložení je podmínkou uzavření smlouvy</w:t>
      </w:r>
      <w:r w:rsidR="00035C7F" w:rsidRPr="00214CBE">
        <w:rPr>
          <w:sz w:val="22"/>
          <w:szCs w:val="22"/>
        </w:rPr>
        <w:t>.</w:t>
      </w:r>
      <w:r w:rsidR="00214CBE" w:rsidRPr="00214CBE">
        <w:rPr>
          <w:sz w:val="22"/>
          <w:szCs w:val="22"/>
        </w:rPr>
        <w:t xml:space="preserve"> </w:t>
      </w:r>
    </w:p>
    <w:p w:rsidR="003A7D17" w:rsidRPr="00A5179E" w:rsidRDefault="003A7D17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D4625">
        <w:rPr>
          <w:rFonts w:eastAsia="Calibri"/>
          <w:sz w:val="22"/>
          <w:szCs w:val="22"/>
          <w:lang w:eastAsia="en-US"/>
        </w:rPr>
        <w:t xml:space="preserve">Pověřený zaměstnanec zadavatele odešle bez zbytečného odkladu od rozhodnutí o výběru dodavatele </w:t>
      </w:r>
      <w:r w:rsidR="008C24AF" w:rsidRPr="009D4625">
        <w:rPr>
          <w:rFonts w:eastAsia="Calibri"/>
          <w:sz w:val="22"/>
          <w:szCs w:val="22"/>
          <w:lang w:eastAsia="en-US"/>
        </w:rPr>
        <w:t>a</w:t>
      </w:r>
      <w:r w:rsidR="002C4350">
        <w:rPr>
          <w:rFonts w:eastAsia="Calibri"/>
          <w:sz w:val="22"/>
          <w:szCs w:val="22"/>
          <w:lang w:eastAsia="en-US"/>
        </w:rPr>
        <w:t> </w:t>
      </w:r>
      <w:r w:rsidR="008C24AF" w:rsidRPr="009D4625">
        <w:rPr>
          <w:rFonts w:eastAsia="Calibri"/>
          <w:sz w:val="22"/>
          <w:szCs w:val="22"/>
          <w:lang w:eastAsia="en-US"/>
        </w:rPr>
        <w:t xml:space="preserve">obdržení dokladů dle předchozího bodu </w:t>
      </w:r>
      <w:r w:rsidRPr="009D4625">
        <w:rPr>
          <w:rFonts w:eastAsia="Calibri"/>
          <w:sz w:val="22"/>
          <w:szCs w:val="22"/>
          <w:lang w:eastAsia="en-US"/>
        </w:rPr>
        <w:t>oznámení o výběru dodavatele všem účastníkům zadávacího řízení. S výjimkou zadávacího řízení</w:t>
      </w:r>
      <w:r w:rsidRPr="00A5179E">
        <w:rPr>
          <w:rFonts w:eastAsia="Calibri"/>
          <w:sz w:val="22"/>
          <w:szCs w:val="22"/>
          <w:lang w:eastAsia="en-US"/>
        </w:rPr>
        <w:t>, v</w:t>
      </w:r>
      <w:r w:rsidR="00314CCB">
        <w:rPr>
          <w:rFonts w:eastAsia="Calibri"/>
          <w:sz w:val="22"/>
          <w:szCs w:val="22"/>
          <w:lang w:eastAsia="en-US"/>
        </w:rPr>
        <w:t> </w:t>
      </w:r>
      <w:r w:rsidRPr="00A5179E">
        <w:rPr>
          <w:rFonts w:eastAsia="Calibri"/>
          <w:sz w:val="22"/>
          <w:szCs w:val="22"/>
          <w:lang w:eastAsia="en-US"/>
        </w:rPr>
        <w:t xml:space="preserve">němž je jeden účastník zadávacího řízení, musí být součástí tohoto oznámení </w:t>
      </w:r>
      <w:r w:rsidR="00A5179E" w:rsidRPr="00A5179E">
        <w:rPr>
          <w:rFonts w:eastAsia="Calibri"/>
          <w:sz w:val="22"/>
          <w:szCs w:val="22"/>
          <w:lang w:eastAsia="en-US"/>
        </w:rPr>
        <w:t>u nadlimitních zakázek</w:t>
      </w:r>
    </w:p>
    <w:p w:rsidR="003A7D17" w:rsidRPr="00A5179E" w:rsidRDefault="003A7D17" w:rsidP="00E855AF">
      <w:pPr>
        <w:pStyle w:val="Textbodu"/>
        <w:numPr>
          <w:ilvl w:val="1"/>
          <w:numId w:val="44"/>
        </w:numPr>
        <w:spacing w:before="120"/>
        <w:rPr>
          <w:sz w:val="22"/>
          <w:szCs w:val="22"/>
        </w:rPr>
      </w:pPr>
      <w:r w:rsidRPr="00A5179E">
        <w:rPr>
          <w:sz w:val="22"/>
          <w:szCs w:val="22"/>
        </w:rPr>
        <w:t xml:space="preserve">zpráva o hodnocení nabídek, pokud proběhlo hodnocení nabídek, </w:t>
      </w:r>
    </w:p>
    <w:p w:rsidR="003A7D17" w:rsidRPr="00A5179E" w:rsidRDefault="003A7D17" w:rsidP="00E855AF">
      <w:pPr>
        <w:pStyle w:val="Textbodu"/>
        <w:numPr>
          <w:ilvl w:val="1"/>
          <w:numId w:val="44"/>
        </w:numPr>
        <w:spacing w:before="120"/>
        <w:rPr>
          <w:sz w:val="22"/>
          <w:szCs w:val="22"/>
        </w:rPr>
      </w:pPr>
      <w:r w:rsidRPr="00A5179E">
        <w:rPr>
          <w:sz w:val="22"/>
          <w:szCs w:val="22"/>
        </w:rPr>
        <w:lastRenderedPageBreak/>
        <w:t>výsledek posouzení splnění podmínek účasti vybraného dodavatele, který bude obsahovat seznamy a</w:t>
      </w:r>
      <w:r w:rsidR="002C4350">
        <w:rPr>
          <w:sz w:val="22"/>
          <w:szCs w:val="22"/>
        </w:rPr>
        <w:t> </w:t>
      </w:r>
      <w:r w:rsidRPr="00A5179E">
        <w:rPr>
          <w:sz w:val="22"/>
          <w:szCs w:val="22"/>
        </w:rPr>
        <w:t>dokumenty</w:t>
      </w:r>
      <w:r w:rsidR="00D076F3" w:rsidRPr="00A5179E">
        <w:rPr>
          <w:rStyle w:val="Znakapoznpodarou"/>
          <w:sz w:val="22"/>
          <w:szCs w:val="22"/>
        </w:rPr>
        <w:footnoteReference w:id="30"/>
      </w:r>
      <w:r w:rsidRPr="00A5179E">
        <w:rPr>
          <w:sz w:val="22"/>
          <w:szCs w:val="22"/>
        </w:rPr>
        <w:t xml:space="preserve"> dle zákona</w:t>
      </w:r>
      <w:r w:rsidR="00DA2BC8">
        <w:rPr>
          <w:sz w:val="22"/>
          <w:szCs w:val="22"/>
        </w:rPr>
        <w:t>.</w:t>
      </w:r>
    </w:p>
    <w:p w:rsidR="003A7D17" w:rsidRPr="007A353E" w:rsidRDefault="00AF33FA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Nejsou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-li </w:t>
      </w:r>
      <w:r w:rsidRPr="005102BF">
        <w:rPr>
          <w:rFonts w:eastAsia="Calibri"/>
          <w:sz w:val="22"/>
          <w:szCs w:val="22"/>
          <w:lang w:eastAsia="en-US"/>
        </w:rPr>
        <w:t>podán</w:t>
      </w:r>
      <w:r>
        <w:rPr>
          <w:rFonts w:eastAsia="Calibri"/>
          <w:sz w:val="22"/>
          <w:szCs w:val="22"/>
          <w:lang w:eastAsia="en-US"/>
        </w:rPr>
        <w:t>y</w:t>
      </w:r>
      <w:r w:rsidRPr="005102BF">
        <w:rPr>
          <w:rFonts w:eastAsia="Calibri"/>
          <w:sz w:val="22"/>
          <w:szCs w:val="22"/>
          <w:lang w:eastAsia="en-US"/>
        </w:rPr>
        <w:t xml:space="preserve"> 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zadavateli </w:t>
      </w:r>
      <w:r w:rsidRPr="005102BF">
        <w:rPr>
          <w:rFonts w:eastAsia="Calibri"/>
          <w:sz w:val="22"/>
          <w:szCs w:val="22"/>
          <w:lang w:eastAsia="en-US"/>
        </w:rPr>
        <w:t>námitk</w:t>
      </w:r>
      <w:r>
        <w:rPr>
          <w:rFonts w:eastAsia="Calibri"/>
          <w:sz w:val="22"/>
          <w:szCs w:val="22"/>
          <w:lang w:eastAsia="en-US"/>
        </w:rPr>
        <w:t>y</w:t>
      </w:r>
      <w:r w:rsidRPr="005102BF">
        <w:rPr>
          <w:rFonts w:eastAsia="Calibri"/>
          <w:sz w:val="22"/>
          <w:szCs w:val="22"/>
          <w:lang w:eastAsia="en-US"/>
        </w:rPr>
        <w:t xml:space="preserve"> 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proti rozhodnutí o výběru </w:t>
      </w:r>
      <w:r w:rsidR="00912653">
        <w:rPr>
          <w:rFonts w:eastAsia="Calibri"/>
          <w:sz w:val="22"/>
          <w:szCs w:val="22"/>
          <w:lang w:eastAsia="en-US"/>
        </w:rPr>
        <w:t>dodavatele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 nebo proti rozhodnutí zadavatele o vylouč</w:t>
      </w:r>
      <w:r w:rsidR="00927FA9">
        <w:rPr>
          <w:rFonts w:eastAsia="Calibri"/>
          <w:sz w:val="22"/>
          <w:szCs w:val="22"/>
          <w:lang w:eastAsia="en-US"/>
        </w:rPr>
        <w:t>ení z účasti v zadávacím řízení,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 uzavírá zadavatel smlouvu na veřejnou zakázku s vybraným dodavatelem. V případě, že je zadavatelem veřejné zakázky kraj, podpis smlouvy s</w:t>
      </w:r>
      <w:r w:rsidR="003A7D17">
        <w:rPr>
          <w:rFonts w:eastAsia="Calibri"/>
          <w:sz w:val="22"/>
          <w:szCs w:val="22"/>
          <w:lang w:eastAsia="en-US"/>
        </w:rPr>
        <w:t> vybraným dodavatelem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 probíhá v souladu s podpisovým oprávněním dle podpisového </w:t>
      </w:r>
      <w:r w:rsidR="003A7D17" w:rsidRPr="00D076F3">
        <w:rPr>
          <w:rFonts w:eastAsia="Calibri"/>
          <w:sz w:val="22"/>
          <w:szCs w:val="22"/>
          <w:lang w:eastAsia="en-US"/>
        </w:rPr>
        <w:t>řádu</w:t>
      </w:r>
      <w:r w:rsidR="003B123F" w:rsidRPr="00AD480F">
        <w:rPr>
          <w:rFonts w:eastAsia="Calibri"/>
          <w:sz w:val="22"/>
          <w:szCs w:val="22"/>
          <w:vertAlign w:val="superscript"/>
          <w:lang w:eastAsia="en-US"/>
        </w:rPr>
        <w:footnoteReference w:id="31"/>
      </w:r>
      <w:r w:rsidR="003A7D17" w:rsidRPr="00D076F3">
        <w:rPr>
          <w:rFonts w:eastAsia="Calibri"/>
          <w:sz w:val="22"/>
          <w:szCs w:val="22"/>
          <w:lang w:eastAsia="en-US"/>
        </w:rPr>
        <w:t>.</w:t>
      </w:r>
      <w:r w:rsidR="003A7D17" w:rsidRPr="007A353E">
        <w:rPr>
          <w:rFonts w:eastAsia="Calibri"/>
          <w:sz w:val="22"/>
          <w:szCs w:val="22"/>
          <w:lang w:eastAsia="en-US"/>
        </w:rPr>
        <w:t xml:space="preserve"> </w:t>
      </w:r>
      <w:r w:rsidR="003A7D17" w:rsidRPr="005102BF">
        <w:rPr>
          <w:rFonts w:eastAsia="Calibri"/>
          <w:sz w:val="22"/>
          <w:szCs w:val="22"/>
          <w:lang w:eastAsia="en-US"/>
        </w:rPr>
        <w:t>V případě, že je zadavatelem veřejné zakázky příspěvková organizace, smlouvu s</w:t>
      </w:r>
      <w:r w:rsidR="003A7D17">
        <w:rPr>
          <w:rFonts w:eastAsia="Calibri"/>
          <w:sz w:val="22"/>
          <w:szCs w:val="22"/>
          <w:lang w:eastAsia="en-US"/>
        </w:rPr>
        <w:t> vybraným dodavatelem</w:t>
      </w:r>
      <w:r w:rsidR="003A7D17" w:rsidRPr="005102BF">
        <w:rPr>
          <w:rFonts w:eastAsia="Calibri"/>
          <w:sz w:val="22"/>
          <w:szCs w:val="22"/>
          <w:lang w:eastAsia="en-US"/>
        </w:rPr>
        <w:t xml:space="preserve"> podepisuje ředitel příspěvkové organizace.</w:t>
      </w:r>
    </w:p>
    <w:p w:rsidR="003A7D17" w:rsidRPr="00D076F3" w:rsidRDefault="003A7D17" w:rsidP="00E855AF">
      <w:pPr>
        <w:numPr>
          <w:ilvl w:val="0"/>
          <w:numId w:val="44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D076F3">
        <w:rPr>
          <w:rFonts w:eastAsia="Calibri"/>
          <w:sz w:val="22"/>
          <w:szCs w:val="22"/>
          <w:lang w:eastAsia="en-US"/>
        </w:rPr>
        <w:t xml:space="preserve">Pověřený zaměstnanec zadavatele </w:t>
      </w:r>
      <w:r w:rsidRPr="00D076F3">
        <w:rPr>
          <w:sz w:val="22"/>
          <w:szCs w:val="22"/>
        </w:rPr>
        <w:t>odešle oznámení o výsledku zadávacího řízení k uveřejnění</w:t>
      </w:r>
      <w:r w:rsidR="00D076F3" w:rsidRPr="00D076F3">
        <w:rPr>
          <w:rStyle w:val="Znakapoznpodarou"/>
          <w:sz w:val="22"/>
          <w:szCs w:val="22"/>
        </w:rPr>
        <w:footnoteReference w:id="32"/>
      </w:r>
      <w:r w:rsidRPr="00D076F3">
        <w:rPr>
          <w:sz w:val="22"/>
          <w:szCs w:val="22"/>
        </w:rPr>
        <w:t xml:space="preserve"> způsobem podle zákona do 30 dnů od uzavření smlouvy.</w:t>
      </w:r>
      <w:r w:rsidRPr="00D076F3">
        <w:rPr>
          <w:rFonts w:eastAsia="Calibri"/>
          <w:sz w:val="22"/>
          <w:szCs w:val="22"/>
          <w:lang w:eastAsia="en-US"/>
        </w:rPr>
        <w:t xml:space="preserve"> </w:t>
      </w:r>
    </w:p>
    <w:p w:rsidR="00A21AE0" w:rsidRDefault="00B368DC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B368DC">
        <w:rPr>
          <w:rFonts w:eastAsia="Calibri"/>
          <w:sz w:val="22"/>
          <w:szCs w:val="22"/>
          <w:lang w:eastAsia="en-US"/>
        </w:rPr>
        <w:t>Pověřený zaměstnanec zadavatele je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21AE0" w:rsidRPr="00B368DC">
        <w:rPr>
          <w:rFonts w:eastAsia="Calibri"/>
          <w:sz w:val="22"/>
          <w:szCs w:val="22"/>
          <w:lang w:eastAsia="en-US"/>
        </w:rPr>
        <w:t xml:space="preserve">povinen do 3 pracovních dnů od rozhodnutí o zrušení zadávacího řízení odeslat písemné sdělení o zrušení zadávacího řízení všem účastníkům zadávacího řízení. 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A21AE0" w:rsidRPr="00B368DC" w:rsidRDefault="00B368DC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B368DC">
        <w:rPr>
          <w:rFonts w:eastAsia="Calibri"/>
          <w:sz w:val="22"/>
          <w:szCs w:val="22"/>
          <w:lang w:eastAsia="en-US"/>
        </w:rPr>
        <w:t>Pověřený zaměstnanec zadavatele</w:t>
      </w:r>
      <w:r w:rsidR="00A21AE0" w:rsidRPr="00B368DC">
        <w:rPr>
          <w:rFonts w:eastAsia="Calibri"/>
          <w:sz w:val="22"/>
          <w:szCs w:val="22"/>
          <w:lang w:eastAsia="en-US"/>
        </w:rPr>
        <w:t xml:space="preserve"> do 30 dnů od zrušení zadávacího řízení odešle oznámení o zrušení zadávacího řízení k uveřejnění</w:t>
      </w:r>
      <w:r w:rsidR="00D076F3">
        <w:rPr>
          <w:rStyle w:val="Znakapoznpodarou"/>
          <w:rFonts w:eastAsia="Calibri"/>
          <w:sz w:val="22"/>
          <w:szCs w:val="22"/>
          <w:lang w:eastAsia="en-US"/>
        </w:rPr>
        <w:footnoteReference w:id="33"/>
      </w:r>
      <w:r w:rsidR="00A21AE0" w:rsidRPr="00B368DC">
        <w:rPr>
          <w:rFonts w:eastAsia="Calibri"/>
          <w:sz w:val="22"/>
          <w:szCs w:val="22"/>
          <w:lang w:eastAsia="en-US"/>
        </w:rPr>
        <w:t>.</w:t>
      </w:r>
    </w:p>
    <w:p w:rsidR="007E4F58" w:rsidRDefault="003A7D17" w:rsidP="00E855AF">
      <w:pPr>
        <w:numPr>
          <w:ilvl w:val="0"/>
          <w:numId w:val="44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657ACD">
        <w:rPr>
          <w:rFonts w:eastAsia="Calibri"/>
          <w:sz w:val="22"/>
          <w:szCs w:val="22"/>
          <w:lang w:eastAsia="en-US"/>
        </w:rPr>
        <w:t>Pověřený zaměstnanec zadavatele dále vyhotoví písemnou zprávu</w:t>
      </w:r>
      <w:r w:rsidR="00D076F3" w:rsidRPr="00D076F3">
        <w:rPr>
          <w:rStyle w:val="Znakapoznpodarou"/>
          <w:rFonts w:eastAsia="Calibri"/>
          <w:sz w:val="22"/>
          <w:szCs w:val="22"/>
          <w:lang w:eastAsia="en-US"/>
        </w:rPr>
        <w:footnoteReference w:id="34"/>
      </w:r>
      <w:r w:rsidRPr="00657ACD">
        <w:rPr>
          <w:rFonts w:eastAsia="Calibri"/>
          <w:sz w:val="22"/>
          <w:szCs w:val="22"/>
          <w:lang w:eastAsia="en-US"/>
        </w:rPr>
        <w:t xml:space="preserve"> zadavatele o veřejné zakázce a</w:t>
      </w:r>
      <w:r w:rsidR="00314CCB" w:rsidRPr="00657ACD">
        <w:rPr>
          <w:rFonts w:eastAsia="Calibri"/>
          <w:sz w:val="22"/>
          <w:szCs w:val="22"/>
          <w:lang w:eastAsia="en-US"/>
        </w:rPr>
        <w:t> </w:t>
      </w:r>
      <w:r w:rsidRPr="00657ACD">
        <w:rPr>
          <w:rFonts w:eastAsia="Calibri"/>
          <w:sz w:val="22"/>
          <w:szCs w:val="22"/>
          <w:lang w:eastAsia="en-US"/>
        </w:rPr>
        <w:t xml:space="preserve">uveřejní jí na profilu zadavatele do 30 </w:t>
      </w:r>
      <w:r w:rsidR="000479CD">
        <w:rPr>
          <w:rFonts w:eastAsia="Calibri"/>
          <w:sz w:val="22"/>
          <w:szCs w:val="22"/>
          <w:lang w:eastAsia="en-US"/>
        </w:rPr>
        <w:t xml:space="preserve">pracovních </w:t>
      </w:r>
      <w:r w:rsidRPr="00657ACD">
        <w:rPr>
          <w:rFonts w:eastAsia="Calibri"/>
          <w:sz w:val="22"/>
          <w:szCs w:val="22"/>
          <w:lang w:eastAsia="en-US"/>
        </w:rPr>
        <w:t>dnů od ukončení zadávacího řízení</w:t>
      </w:r>
      <w:r w:rsidR="00D076F3" w:rsidRPr="00657ACD">
        <w:rPr>
          <w:rFonts w:eastAsia="Calibri"/>
          <w:sz w:val="22"/>
          <w:szCs w:val="22"/>
          <w:lang w:eastAsia="en-US"/>
        </w:rPr>
        <w:t>.</w:t>
      </w:r>
    </w:p>
    <w:p w:rsidR="00F04A21" w:rsidRDefault="00F04A21" w:rsidP="00DA2BC8">
      <w:pPr>
        <w:rPr>
          <w:rFonts w:eastAsia="Calibri"/>
          <w:sz w:val="22"/>
          <w:szCs w:val="22"/>
        </w:rPr>
      </w:pPr>
    </w:p>
    <w:p w:rsidR="00DA2BC8" w:rsidRPr="00DA2BC8" w:rsidRDefault="00DA2BC8" w:rsidP="00DA2BC8">
      <w:pPr>
        <w:rPr>
          <w:rFonts w:eastAsia="Calibri"/>
          <w:sz w:val="22"/>
          <w:szCs w:val="22"/>
        </w:rPr>
      </w:pPr>
    </w:p>
    <w:p w:rsidR="00912653" w:rsidRPr="00DA2BC8" w:rsidRDefault="00912653" w:rsidP="00913509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XV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912653" w:rsidRPr="005D0617" w:rsidRDefault="00912653" w:rsidP="005D0617">
      <w:pPr>
        <w:pStyle w:val="Nadpis2"/>
        <w:jc w:val="center"/>
        <w:rPr>
          <w:rFonts w:eastAsia="Calibri"/>
          <w:sz w:val="22"/>
          <w:szCs w:val="22"/>
        </w:rPr>
      </w:pPr>
      <w:bookmarkStart w:id="51" w:name="_Toc210984961"/>
      <w:r w:rsidRPr="005D0617">
        <w:rPr>
          <w:rFonts w:eastAsia="Calibri"/>
          <w:sz w:val="22"/>
          <w:szCs w:val="22"/>
        </w:rPr>
        <w:t>Dynamický nákupní systém</w:t>
      </w:r>
      <w:bookmarkEnd w:id="51"/>
    </w:p>
    <w:p w:rsidR="000B09C9" w:rsidRDefault="000B09C9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AD480F">
        <w:rPr>
          <w:rFonts w:eastAsia="Calibri"/>
          <w:sz w:val="22"/>
          <w:szCs w:val="22"/>
          <w:lang w:eastAsia="en-US"/>
        </w:rPr>
        <w:t>Veřejné zakázky jakékoliv předpokládané hodnoty je možné zadávat také v dynamickém nákupním systému</w:t>
      </w:r>
      <w:r>
        <w:rPr>
          <w:rFonts w:eastAsia="Calibri"/>
          <w:sz w:val="22"/>
          <w:szCs w:val="22"/>
          <w:lang w:eastAsia="en-US"/>
        </w:rPr>
        <w:t>.</w:t>
      </w:r>
    </w:p>
    <w:p w:rsidR="000B09C9" w:rsidRDefault="000B09C9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Dynamický nákupní systém se zavede v zadávacím řízení, ve kterém se postupuje přiměřeně podle pravidel pro užší řízení</w:t>
      </w:r>
      <w:r>
        <w:rPr>
          <w:rStyle w:val="Znakapoznpodarou"/>
          <w:rFonts w:eastAsia="Calibri"/>
          <w:sz w:val="22"/>
          <w:szCs w:val="22"/>
          <w:lang w:eastAsia="en-US"/>
        </w:rPr>
        <w:footnoteReference w:id="35"/>
      </w:r>
      <w:r>
        <w:rPr>
          <w:rFonts w:eastAsia="Calibri"/>
          <w:sz w:val="22"/>
          <w:szCs w:val="22"/>
          <w:lang w:eastAsia="en-US"/>
        </w:rPr>
        <w:t xml:space="preserve">. </w:t>
      </w:r>
    </w:p>
    <w:p w:rsidR="005154E5" w:rsidRDefault="005154E5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A94962">
        <w:rPr>
          <w:rFonts w:eastAsia="Calibri"/>
          <w:sz w:val="22"/>
          <w:szCs w:val="22"/>
          <w:lang w:eastAsia="en-US"/>
        </w:rPr>
        <w:t xml:space="preserve">Rada na základě návrhu pověřeného zaměstnance zadavatele v rámci přípravy zadávacího řízení </w:t>
      </w:r>
      <w:r w:rsidR="00507E6A">
        <w:rPr>
          <w:rFonts w:eastAsia="Calibri"/>
          <w:sz w:val="22"/>
          <w:szCs w:val="22"/>
          <w:lang w:eastAsia="en-US"/>
        </w:rPr>
        <w:t xml:space="preserve">na zavedení dynamického nákupní systému </w:t>
      </w:r>
      <w:r w:rsidRPr="00A94962">
        <w:rPr>
          <w:rFonts w:eastAsia="Calibri"/>
          <w:sz w:val="22"/>
          <w:szCs w:val="22"/>
          <w:lang w:eastAsia="en-US"/>
        </w:rPr>
        <w:t>schvaluje zadávací dokumentaci.</w:t>
      </w:r>
    </w:p>
    <w:p w:rsidR="00590641" w:rsidRDefault="005154E5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Soulad žádostí o účast se zadávacími podmínkami posoudí dva zaměstnanci zadavatele </w:t>
      </w:r>
      <w:r w:rsidRPr="006C3A37">
        <w:rPr>
          <w:rFonts w:eastAsia="Calibri"/>
          <w:sz w:val="22"/>
          <w:szCs w:val="22"/>
          <w:lang w:eastAsia="en-US"/>
        </w:rPr>
        <w:t>určen</w:t>
      </w:r>
      <w:r>
        <w:rPr>
          <w:rFonts w:eastAsia="Calibri"/>
          <w:sz w:val="22"/>
          <w:szCs w:val="22"/>
          <w:lang w:eastAsia="en-US"/>
        </w:rPr>
        <w:t>í</w:t>
      </w:r>
      <w:r w:rsidRPr="006C3A37">
        <w:rPr>
          <w:rFonts w:eastAsia="Calibri"/>
          <w:sz w:val="22"/>
          <w:szCs w:val="22"/>
          <w:lang w:eastAsia="en-US"/>
        </w:rPr>
        <w:t xml:space="preserve"> pověřeným zaměstnancem zadavatele</w:t>
      </w:r>
      <w:r>
        <w:rPr>
          <w:rFonts w:eastAsia="Calibri"/>
          <w:sz w:val="22"/>
          <w:szCs w:val="22"/>
          <w:lang w:eastAsia="en-US"/>
        </w:rPr>
        <w:t>. Pověřený zaměstnanec zadavatele předloží ke schválení radě zařazení do dynamického nákupního systému těch dodavatelů, kteří splnili zadávací podmínky</w:t>
      </w:r>
      <w:r w:rsidR="002E5AF3"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eastAsia="en-US"/>
        </w:rPr>
        <w:t xml:space="preserve"> a</w:t>
      </w:r>
      <w:r w:rsidR="002C4350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vyloučení těch dodavatelů, kteří zadávací podmínky nesplnili.</w:t>
      </w:r>
    </w:p>
    <w:p w:rsidR="00585126" w:rsidRDefault="00585126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D076F3">
        <w:rPr>
          <w:rFonts w:eastAsia="Calibri"/>
          <w:sz w:val="22"/>
          <w:szCs w:val="22"/>
          <w:lang w:eastAsia="en-US"/>
        </w:rPr>
        <w:t xml:space="preserve">Pověřený zaměstnanec zadavatele </w:t>
      </w:r>
      <w:r w:rsidRPr="00D076F3">
        <w:rPr>
          <w:sz w:val="22"/>
          <w:szCs w:val="22"/>
        </w:rPr>
        <w:t>odešle oznámení o výsledku zadávacího řízení k uveřejnění</w:t>
      </w:r>
      <w:r w:rsidRPr="00D076F3">
        <w:rPr>
          <w:rStyle w:val="Znakapoznpodarou"/>
          <w:sz w:val="22"/>
          <w:szCs w:val="22"/>
        </w:rPr>
        <w:footnoteReference w:id="36"/>
      </w:r>
      <w:r w:rsidRPr="00D076F3">
        <w:rPr>
          <w:sz w:val="22"/>
          <w:szCs w:val="22"/>
        </w:rPr>
        <w:t xml:space="preserve"> způsobem podle zákona do 30 dnů od</w:t>
      </w:r>
      <w:r>
        <w:rPr>
          <w:rFonts w:eastAsia="Calibri"/>
          <w:sz w:val="22"/>
          <w:szCs w:val="22"/>
          <w:lang w:eastAsia="en-US"/>
        </w:rPr>
        <w:t xml:space="preserve"> zavedení dynamického nákupního systému. </w:t>
      </w:r>
    </w:p>
    <w:p w:rsidR="005154E5" w:rsidRDefault="00585126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zařazení dodavatele do zavedeného dynamického nákupního systému nebo o jeho odmítnutí rozhoduje pověřený zaměstnanec zadavatele.</w:t>
      </w:r>
    </w:p>
    <w:p w:rsidR="005154E5" w:rsidRDefault="00585126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Zadání veřejné zakázky v dynamickém nákupním systému, jejíž předpokládaná hodnota je rovna nebo nižší než </w:t>
      </w:r>
      <w:r w:rsidR="00F50314">
        <w:rPr>
          <w:rFonts w:eastAsia="Calibri"/>
          <w:sz w:val="22"/>
          <w:szCs w:val="22"/>
          <w:lang w:eastAsia="en-US"/>
        </w:rPr>
        <w:t xml:space="preserve">3 </w:t>
      </w:r>
      <w:r w:rsidR="00B83D09">
        <w:rPr>
          <w:rFonts w:eastAsia="Calibri"/>
          <w:sz w:val="22"/>
          <w:szCs w:val="22"/>
          <w:lang w:eastAsia="en-US"/>
        </w:rPr>
        <w:t>mil.</w:t>
      </w:r>
      <w:r>
        <w:rPr>
          <w:rFonts w:eastAsia="Calibri"/>
          <w:sz w:val="22"/>
          <w:szCs w:val="22"/>
          <w:lang w:eastAsia="en-US"/>
        </w:rPr>
        <w:t xml:space="preserve"> Kč u veřejných zakázek na dodávky a služby nebo </w:t>
      </w:r>
      <w:r w:rsidR="00B357ED">
        <w:rPr>
          <w:rFonts w:eastAsia="Calibri"/>
          <w:sz w:val="22"/>
          <w:szCs w:val="22"/>
          <w:lang w:eastAsia="en-US"/>
        </w:rPr>
        <w:t xml:space="preserve">9 </w:t>
      </w:r>
      <w:r w:rsidR="00B83D09">
        <w:rPr>
          <w:rFonts w:eastAsia="Calibri"/>
          <w:sz w:val="22"/>
          <w:szCs w:val="22"/>
          <w:lang w:eastAsia="en-US"/>
        </w:rPr>
        <w:t>mil.</w:t>
      </w:r>
      <w:r>
        <w:rPr>
          <w:rFonts w:eastAsia="Calibri"/>
          <w:sz w:val="22"/>
          <w:szCs w:val="22"/>
          <w:lang w:eastAsia="en-US"/>
        </w:rPr>
        <w:t xml:space="preserve"> Kč u veřejných zakázek na stavební práce, je při respektování zákona</w:t>
      </w:r>
      <w:r w:rsidR="00305EFF">
        <w:rPr>
          <w:rStyle w:val="Znakapoznpodarou"/>
          <w:rFonts w:eastAsia="Calibri"/>
          <w:sz w:val="22"/>
          <w:szCs w:val="22"/>
          <w:lang w:eastAsia="en-US"/>
        </w:rPr>
        <w:footnoteReference w:id="37"/>
      </w:r>
      <w:r>
        <w:rPr>
          <w:rFonts w:eastAsia="Calibri"/>
          <w:sz w:val="22"/>
          <w:szCs w:val="22"/>
          <w:lang w:eastAsia="en-US"/>
        </w:rPr>
        <w:t xml:space="preserve"> v působnosti pověřeného zaměstnance zadavatele</w:t>
      </w:r>
      <w:r w:rsidR="00305EFF">
        <w:rPr>
          <w:rFonts w:eastAsia="Calibri"/>
          <w:sz w:val="22"/>
          <w:szCs w:val="22"/>
          <w:lang w:eastAsia="en-US"/>
        </w:rPr>
        <w:t>.</w:t>
      </w:r>
    </w:p>
    <w:p w:rsidR="00305EFF" w:rsidRDefault="00305EFF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Zadání veřejné zakázky v dynamickém nákupním systému, jejíž předpokládaná hodnota je vyšší než </w:t>
      </w:r>
      <w:r w:rsidR="00B357ED">
        <w:rPr>
          <w:rFonts w:eastAsia="Calibri"/>
          <w:sz w:val="22"/>
          <w:szCs w:val="22"/>
          <w:lang w:eastAsia="en-US"/>
        </w:rPr>
        <w:t xml:space="preserve">3 </w:t>
      </w:r>
      <w:r w:rsidR="00B83D09">
        <w:rPr>
          <w:rFonts w:eastAsia="Calibri"/>
          <w:sz w:val="22"/>
          <w:szCs w:val="22"/>
          <w:lang w:eastAsia="en-US"/>
        </w:rPr>
        <w:t>mil.</w:t>
      </w:r>
      <w:r>
        <w:rPr>
          <w:rFonts w:eastAsia="Calibri"/>
          <w:sz w:val="22"/>
          <w:szCs w:val="22"/>
          <w:lang w:eastAsia="en-US"/>
        </w:rPr>
        <w:t xml:space="preserve"> Kč u veřejných zakázek na dodávky a služby nebo </w:t>
      </w:r>
      <w:r w:rsidR="00B357ED">
        <w:rPr>
          <w:rFonts w:eastAsia="Calibri"/>
          <w:sz w:val="22"/>
          <w:szCs w:val="22"/>
          <w:lang w:eastAsia="en-US"/>
        </w:rPr>
        <w:t xml:space="preserve">9 </w:t>
      </w:r>
      <w:r w:rsidR="00B83D09">
        <w:rPr>
          <w:rFonts w:eastAsia="Calibri"/>
          <w:sz w:val="22"/>
          <w:szCs w:val="22"/>
          <w:lang w:eastAsia="en-US"/>
        </w:rPr>
        <w:t>mil.</w:t>
      </w:r>
      <w:r>
        <w:rPr>
          <w:rFonts w:eastAsia="Calibri"/>
          <w:sz w:val="22"/>
          <w:szCs w:val="22"/>
          <w:lang w:eastAsia="en-US"/>
        </w:rPr>
        <w:t xml:space="preserve"> Kč u veřejných zakázek na stavební práce, probíhá za respektování zákona</w:t>
      </w:r>
      <w:r>
        <w:rPr>
          <w:rStyle w:val="Znakapoznpodarou"/>
          <w:rFonts w:eastAsia="Calibri"/>
          <w:sz w:val="22"/>
          <w:szCs w:val="22"/>
          <w:lang w:eastAsia="en-US"/>
        </w:rPr>
        <w:footnoteReference w:id="38"/>
      </w:r>
      <w:r>
        <w:rPr>
          <w:rFonts w:eastAsia="Calibri"/>
          <w:sz w:val="22"/>
          <w:szCs w:val="22"/>
          <w:lang w:eastAsia="en-US"/>
        </w:rPr>
        <w:t xml:space="preserve"> přiměřeně dle doporučeného postupu pro otevřené řízení.</w:t>
      </w:r>
    </w:p>
    <w:p w:rsidR="00DF04E5" w:rsidRPr="001C3DD4" w:rsidRDefault="00305EFF" w:rsidP="00E855AF">
      <w:pPr>
        <w:numPr>
          <w:ilvl w:val="0"/>
          <w:numId w:val="45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Pověřený zaměstnanec zadavatele odešle oznámení o uzavření smlouvy v dynamickém nákupním systému </w:t>
      </w:r>
      <w:r w:rsidR="00DF04E5" w:rsidRPr="00D076F3">
        <w:rPr>
          <w:sz w:val="22"/>
          <w:szCs w:val="22"/>
        </w:rPr>
        <w:t>k uveřejnění</w:t>
      </w:r>
      <w:r w:rsidR="00DF04E5" w:rsidRPr="00D076F3">
        <w:rPr>
          <w:rStyle w:val="Znakapoznpodarou"/>
          <w:sz w:val="22"/>
          <w:szCs w:val="22"/>
        </w:rPr>
        <w:footnoteReference w:id="39"/>
      </w:r>
      <w:r w:rsidR="00DF04E5" w:rsidRPr="00D076F3">
        <w:rPr>
          <w:sz w:val="22"/>
          <w:szCs w:val="22"/>
        </w:rPr>
        <w:t xml:space="preserve"> způsobem podle zákona do</w:t>
      </w:r>
      <w:r w:rsidR="00DF04E5">
        <w:rPr>
          <w:sz w:val="22"/>
          <w:szCs w:val="22"/>
        </w:rPr>
        <w:t xml:space="preserve"> 30 dnů od uzavření smlouvy, nebo od konce každého čtvrtletí, pokud výsledek uveřejňuje souhrnně.</w:t>
      </w:r>
    </w:p>
    <w:p w:rsidR="00912653" w:rsidRDefault="00912653" w:rsidP="00DA2BC8">
      <w:pPr>
        <w:rPr>
          <w:rFonts w:eastAsia="Calibri"/>
        </w:rPr>
      </w:pPr>
      <w:bookmarkStart w:id="52" w:name="_Toc399911836"/>
      <w:bookmarkStart w:id="53" w:name="_Toc403400652"/>
      <w:bookmarkStart w:id="54" w:name="_Toc453761093"/>
    </w:p>
    <w:p w:rsidR="00DA2BC8" w:rsidRPr="00DA2BC8" w:rsidRDefault="00DA2BC8" w:rsidP="00DA2BC8">
      <w:pPr>
        <w:rPr>
          <w:rFonts w:eastAsia="Calibri"/>
        </w:rPr>
      </w:pPr>
    </w:p>
    <w:p w:rsidR="00F27E58" w:rsidRDefault="00F27E58" w:rsidP="0026457D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XV</w:t>
      </w:r>
      <w:bookmarkEnd w:id="52"/>
      <w:bookmarkEnd w:id="53"/>
      <w:bookmarkEnd w:id="54"/>
      <w:r w:rsidR="00AF33FA" w:rsidRPr="00DA2BC8">
        <w:rPr>
          <w:rFonts w:eastAsia="Calibri"/>
          <w:b/>
          <w:sz w:val="22"/>
          <w:szCs w:val="22"/>
        </w:rPr>
        <w:t>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B0BB5" w:rsidRPr="005D0617" w:rsidRDefault="00FB0BB5" w:rsidP="005D0617">
      <w:pPr>
        <w:pStyle w:val="Nadpis2"/>
        <w:jc w:val="center"/>
        <w:rPr>
          <w:rFonts w:eastAsia="Calibri"/>
          <w:sz w:val="22"/>
          <w:szCs w:val="22"/>
        </w:rPr>
      </w:pPr>
      <w:bookmarkStart w:id="55" w:name="_Toc210984962"/>
      <w:r w:rsidRPr="005D0617">
        <w:rPr>
          <w:rFonts w:eastAsia="Calibri"/>
          <w:sz w:val="22"/>
          <w:szCs w:val="22"/>
        </w:rPr>
        <w:t>Koncese</w:t>
      </w:r>
      <w:bookmarkEnd w:id="55"/>
    </w:p>
    <w:p w:rsidR="00FB0BB5" w:rsidRDefault="00FB0BB5" w:rsidP="00E855AF">
      <w:pPr>
        <w:numPr>
          <w:ilvl w:val="0"/>
          <w:numId w:val="46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 zadání koncese na stavební práce nebo na služby se považuje uzavření smlouvy, kterou zadavatel zadá poskytnutí činností (stavebních prací nebo jiných služeb) dodavateli, přičemž protiplnění spočívá v právu z braní užitků vyplývajících z provozování stavby nebo poskytování služeb anebo v tomto právu společně s platbou a na dodavatele je přeneseno provozní riziko spojené s braním užitků.</w:t>
      </w:r>
      <w:r w:rsidR="00786E39">
        <w:rPr>
          <w:rFonts w:eastAsia="Calibri"/>
          <w:sz w:val="22"/>
          <w:szCs w:val="22"/>
          <w:lang w:eastAsia="en-US"/>
        </w:rPr>
        <w:t xml:space="preserve"> Má se za to, že došlo k přenesení provozního rizika, pokud dodavateli za běžných tržních podmínek není zaručena návratnost vynaložených investic nebo nákladů vzniklých při provozování stavby či poskytování služeb, jež jsou předmětem koncese.</w:t>
      </w:r>
    </w:p>
    <w:p w:rsidR="00FB0BB5" w:rsidRDefault="00786E39" w:rsidP="00E855AF">
      <w:pPr>
        <w:numPr>
          <w:ilvl w:val="0"/>
          <w:numId w:val="46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 předpokládanou hodnotu koncese se považuje celkový obrat dodavatele bez DPH za dobu trvání koncese vyplývající z protiplnění za stavební práce či služby, jež jsou předmětem koncese, jakož i</w:t>
      </w:r>
      <w:r w:rsidR="002C4350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dodávky, jež s těmito stavebními pracemi a službami souvisí.</w:t>
      </w:r>
    </w:p>
    <w:p w:rsidR="00786E39" w:rsidRDefault="00025E92" w:rsidP="00E855AF">
      <w:pPr>
        <w:numPr>
          <w:ilvl w:val="0"/>
          <w:numId w:val="46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Koncese malého rozsahu je koncese, jejíž předpokládaná hodnota je rovna nebo nižší než 20</w:t>
      </w:r>
      <w:r w:rsidR="00D873BD">
        <w:rPr>
          <w:rFonts w:eastAsia="Calibri"/>
          <w:sz w:val="22"/>
          <w:szCs w:val="22"/>
          <w:lang w:eastAsia="en-US"/>
        </w:rPr>
        <w:t xml:space="preserve"> mil.</w:t>
      </w:r>
      <w:r>
        <w:rPr>
          <w:rFonts w:eastAsia="Calibri"/>
          <w:sz w:val="22"/>
          <w:szCs w:val="22"/>
          <w:lang w:eastAsia="en-US"/>
        </w:rPr>
        <w:t xml:space="preserve"> Kč.</w:t>
      </w:r>
    </w:p>
    <w:p w:rsidR="00025E92" w:rsidRDefault="00025E92" w:rsidP="00E855AF">
      <w:pPr>
        <w:numPr>
          <w:ilvl w:val="0"/>
          <w:numId w:val="46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F3251">
        <w:rPr>
          <w:rFonts w:eastAsia="Calibri"/>
          <w:sz w:val="22"/>
          <w:szCs w:val="22"/>
          <w:lang w:eastAsia="en-US"/>
        </w:rPr>
        <w:t xml:space="preserve">Zadání </w:t>
      </w:r>
      <w:r>
        <w:rPr>
          <w:rFonts w:eastAsia="Calibri"/>
          <w:sz w:val="22"/>
          <w:szCs w:val="22"/>
          <w:lang w:eastAsia="en-US"/>
        </w:rPr>
        <w:t>koncese malého rozsahu</w:t>
      </w:r>
      <w:r w:rsidRPr="009F3251">
        <w:rPr>
          <w:rFonts w:eastAsia="Calibri"/>
          <w:sz w:val="22"/>
          <w:szCs w:val="22"/>
          <w:lang w:eastAsia="en-US"/>
        </w:rPr>
        <w:t xml:space="preserve"> je při respektování zákona</w:t>
      </w:r>
      <w:r w:rsidRPr="009F3251">
        <w:rPr>
          <w:rStyle w:val="Znakapoznpodarou"/>
          <w:rFonts w:eastAsia="Calibri"/>
          <w:sz w:val="22"/>
          <w:szCs w:val="22"/>
          <w:lang w:eastAsia="en-US"/>
        </w:rPr>
        <w:footnoteReference w:id="40"/>
      </w:r>
      <w:r>
        <w:rPr>
          <w:rFonts w:eastAsia="Calibri"/>
          <w:sz w:val="22"/>
          <w:szCs w:val="22"/>
          <w:lang w:eastAsia="en-US"/>
        </w:rPr>
        <w:t xml:space="preserve"> a tohoto předpisu </w:t>
      </w:r>
      <w:r w:rsidRPr="009F3251">
        <w:rPr>
          <w:rFonts w:eastAsia="Calibri"/>
          <w:sz w:val="22"/>
          <w:szCs w:val="22"/>
          <w:lang w:eastAsia="en-US"/>
        </w:rPr>
        <w:t>v působnosti pověřeného zaměstnance zadavatele.</w:t>
      </w:r>
      <w:r>
        <w:rPr>
          <w:rFonts w:eastAsia="Calibri"/>
          <w:sz w:val="22"/>
          <w:szCs w:val="22"/>
          <w:lang w:eastAsia="en-US"/>
        </w:rPr>
        <w:t xml:space="preserve"> Pověřený zadavatel postupuje při zadávání koncese</w:t>
      </w:r>
      <w:r w:rsidR="00896289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025E92" w:rsidRDefault="00896289" w:rsidP="00E855AF">
      <w:pPr>
        <w:numPr>
          <w:ilvl w:val="1"/>
          <w:numId w:val="46"/>
        </w:numPr>
        <w:spacing w:before="6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s předpokládanou hodnotou </w:t>
      </w:r>
      <w:r w:rsidR="00025E92">
        <w:rPr>
          <w:rFonts w:eastAsia="Calibri"/>
          <w:sz w:val="22"/>
          <w:szCs w:val="22"/>
          <w:lang w:eastAsia="en-US"/>
        </w:rPr>
        <w:t>do 5 mil. Kč přiměřeně dle čl. IX.,</w:t>
      </w:r>
    </w:p>
    <w:p w:rsidR="00025E92" w:rsidRDefault="00896289" w:rsidP="00E855AF">
      <w:pPr>
        <w:numPr>
          <w:ilvl w:val="1"/>
          <w:numId w:val="46"/>
        </w:numPr>
        <w:spacing w:before="6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 předpokládanou hodnotou</w:t>
      </w:r>
      <w:r w:rsidR="007727D8">
        <w:rPr>
          <w:rFonts w:eastAsia="Calibri"/>
          <w:sz w:val="22"/>
          <w:szCs w:val="22"/>
          <w:lang w:eastAsia="en-US"/>
        </w:rPr>
        <w:t xml:space="preserve"> nad 5 mil. Kč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25E92">
        <w:rPr>
          <w:rFonts w:eastAsia="Calibri"/>
          <w:sz w:val="22"/>
          <w:szCs w:val="22"/>
          <w:lang w:eastAsia="en-US"/>
        </w:rPr>
        <w:t>do 10 mil. Kč přiměřeně dle čl. X. a</w:t>
      </w:r>
    </w:p>
    <w:p w:rsidR="00025E92" w:rsidRDefault="00896289" w:rsidP="00E855AF">
      <w:pPr>
        <w:numPr>
          <w:ilvl w:val="1"/>
          <w:numId w:val="46"/>
        </w:numPr>
        <w:spacing w:before="60"/>
        <w:ind w:left="681" w:hanging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 předpokládanou hodnotou</w:t>
      </w:r>
      <w:r w:rsidR="007727D8">
        <w:rPr>
          <w:rFonts w:eastAsia="Calibri"/>
          <w:sz w:val="22"/>
          <w:szCs w:val="22"/>
          <w:lang w:eastAsia="en-US"/>
        </w:rPr>
        <w:t xml:space="preserve"> nad 10 mil. Kč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025E92">
        <w:rPr>
          <w:rFonts w:eastAsia="Calibri"/>
          <w:sz w:val="22"/>
          <w:szCs w:val="22"/>
          <w:lang w:eastAsia="en-US"/>
        </w:rPr>
        <w:t>do 20 mil Kč přiměřeně dle čl. XI.</w:t>
      </w:r>
    </w:p>
    <w:p w:rsidR="00025E92" w:rsidRPr="007727D8" w:rsidRDefault="00896289" w:rsidP="00E855AF">
      <w:pPr>
        <w:numPr>
          <w:ilvl w:val="0"/>
          <w:numId w:val="46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Zadávání </w:t>
      </w:r>
      <w:r>
        <w:rPr>
          <w:rFonts w:eastAsia="Calibri"/>
          <w:snapToGrid w:val="0"/>
          <w:sz w:val="22"/>
          <w:szCs w:val="22"/>
          <w:lang w:eastAsia="en-US"/>
        </w:rPr>
        <w:t>koncesí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, jejichž </w:t>
      </w:r>
      <w:r>
        <w:rPr>
          <w:rFonts w:eastAsia="Calibri"/>
          <w:snapToGrid w:val="0"/>
          <w:sz w:val="22"/>
          <w:szCs w:val="22"/>
          <w:lang w:eastAsia="en-US"/>
        </w:rPr>
        <w:t xml:space="preserve">předpokládaná 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hodnota činí více než </w:t>
      </w:r>
      <w:r>
        <w:rPr>
          <w:rFonts w:eastAsia="Calibri"/>
          <w:snapToGrid w:val="0"/>
          <w:sz w:val="22"/>
          <w:szCs w:val="22"/>
          <w:lang w:eastAsia="en-US"/>
        </w:rPr>
        <w:t>20 mil.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Kč</w:t>
      </w:r>
      <w:r>
        <w:rPr>
          <w:rFonts w:eastAsia="Calibri"/>
          <w:snapToGrid w:val="0"/>
          <w:sz w:val="22"/>
          <w:szCs w:val="22"/>
          <w:lang w:eastAsia="en-US"/>
        </w:rPr>
        <w:t>,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 je v působnosti rady a pověřený zaměstnanec zadavatele je povinen provést zadá</w:t>
      </w:r>
      <w:r>
        <w:rPr>
          <w:rFonts w:eastAsia="Calibri"/>
          <w:snapToGrid w:val="0"/>
          <w:sz w:val="22"/>
          <w:szCs w:val="22"/>
          <w:lang w:eastAsia="en-US"/>
        </w:rPr>
        <w:t>vá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ní </w:t>
      </w:r>
      <w:r>
        <w:rPr>
          <w:rFonts w:eastAsia="Calibri"/>
          <w:snapToGrid w:val="0"/>
          <w:sz w:val="22"/>
          <w:szCs w:val="22"/>
          <w:lang w:eastAsia="en-US"/>
        </w:rPr>
        <w:t>v souladu se zákonem</w:t>
      </w:r>
      <w:r w:rsidRPr="009873A7">
        <w:rPr>
          <w:rFonts w:eastAsia="Calibri"/>
          <w:snapToGrid w:val="0"/>
          <w:sz w:val="22"/>
          <w:szCs w:val="22"/>
          <w:lang w:eastAsia="en-US"/>
        </w:rPr>
        <w:t xml:space="preserve">. Volbu postupu (druhu zadávacího řízení), kterým bude </w:t>
      </w:r>
      <w:r>
        <w:rPr>
          <w:rFonts w:eastAsia="Calibri"/>
          <w:snapToGrid w:val="0"/>
          <w:sz w:val="22"/>
          <w:szCs w:val="22"/>
          <w:lang w:eastAsia="en-US"/>
        </w:rPr>
        <w:t>koncese</w:t>
      </w:r>
      <w:r w:rsidRPr="00A926A0">
        <w:rPr>
          <w:rFonts w:eastAsia="Calibri"/>
          <w:snapToGrid w:val="0"/>
          <w:sz w:val="22"/>
          <w:szCs w:val="22"/>
          <w:lang w:eastAsia="en-US"/>
        </w:rPr>
        <w:t xml:space="preserve"> zadána, stanoví rada na základě návrhu pověřeného zaměstnance zadavatele. </w:t>
      </w:r>
      <w:r w:rsidR="007727D8">
        <w:rPr>
          <w:rFonts w:eastAsia="Calibri"/>
          <w:snapToGrid w:val="0"/>
          <w:sz w:val="22"/>
          <w:szCs w:val="22"/>
          <w:lang w:eastAsia="en-US"/>
        </w:rPr>
        <w:t xml:space="preserve">Při zadávání koncese postupuje pověřený zaměstnanec zadavatele </w:t>
      </w:r>
      <w:r w:rsidR="007727D8">
        <w:rPr>
          <w:rFonts w:eastAsia="Calibri"/>
          <w:sz w:val="22"/>
          <w:szCs w:val="22"/>
          <w:lang w:eastAsia="en-US"/>
        </w:rPr>
        <w:t>přiměřeně dle doporučeného postupu pro otevřené řízení.</w:t>
      </w:r>
      <w:r>
        <w:rPr>
          <w:rFonts w:eastAsia="Calibri"/>
          <w:snapToGrid w:val="0"/>
          <w:sz w:val="22"/>
          <w:szCs w:val="22"/>
          <w:lang w:eastAsia="en-US"/>
        </w:rPr>
        <w:t xml:space="preserve"> </w:t>
      </w:r>
    </w:p>
    <w:p w:rsidR="005F0996" w:rsidRDefault="005F0996" w:rsidP="002C4350">
      <w:pPr>
        <w:ind w:left="397"/>
        <w:jc w:val="both"/>
        <w:rPr>
          <w:rFonts w:eastAsia="Calibri"/>
          <w:sz w:val="22"/>
          <w:szCs w:val="22"/>
          <w:lang w:eastAsia="en-US"/>
        </w:rPr>
      </w:pPr>
    </w:p>
    <w:p w:rsidR="005F0996" w:rsidRPr="00FB0BB5" w:rsidRDefault="005F0996" w:rsidP="002C4350">
      <w:pPr>
        <w:ind w:left="397"/>
        <w:jc w:val="both"/>
        <w:rPr>
          <w:rFonts w:eastAsia="Calibri"/>
          <w:sz w:val="22"/>
          <w:szCs w:val="22"/>
          <w:lang w:eastAsia="en-US"/>
        </w:rPr>
      </w:pPr>
    </w:p>
    <w:p w:rsidR="00FB0BB5" w:rsidRPr="00DA2BC8" w:rsidRDefault="00FB0BB5" w:rsidP="0026457D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XVII.</w:t>
      </w:r>
    </w:p>
    <w:p w:rsidR="008F0B9D" w:rsidRDefault="008F0B9D" w:rsidP="008F0B9D">
      <w:pPr>
        <w:pStyle w:val="Nadpis2"/>
        <w:jc w:val="center"/>
        <w:rPr>
          <w:rFonts w:eastAsia="Calibri"/>
          <w:sz w:val="22"/>
          <w:szCs w:val="22"/>
        </w:rPr>
      </w:pPr>
      <w:bookmarkStart w:id="56" w:name="_Toc210984963"/>
      <w:r w:rsidRPr="008F0B9D">
        <w:rPr>
          <w:rFonts w:eastAsia="Calibri"/>
          <w:sz w:val="22"/>
          <w:szCs w:val="22"/>
        </w:rPr>
        <w:t>Uveřejňování smlouvy</w:t>
      </w:r>
      <w:bookmarkEnd w:id="56"/>
      <w:r w:rsidRPr="008F0B9D">
        <w:rPr>
          <w:rFonts w:eastAsia="Calibri"/>
          <w:sz w:val="22"/>
          <w:szCs w:val="22"/>
        </w:rPr>
        <w:t xml:space="preserve"> </w:t>
      </w:r>
    </w:p>
    <w:p w:rsidR="008F0B9D" w:rsidRDefault="008F0B9D" w:rsidP="00C4478D">
      <w:pPr>
        <w:spacing w:before="240"/>
        <w:ind w:left="397"/>
        <w:jc w:val="both"/>
        <w:rPr>
          <w:rFonts w:eastAsia="Calibri"/>
          <w:sz w:val="22"/>
          <w:szCs w:val="22"/>
          <w:lang w:eastAsia="en-US"/>
        </w:rPr>
      </w:pPr>
      <w:r w:rsidRPr="00E34F26">
        <w:rPr>
          <w:rFonts w:eastAsia="Calibri"/>
          <w:sz w:val="22"/>
          <w:szCs w:val="22"/>
          <w:lang w:eastAsia="en-US"/>
        </w:rPr>
        <w:t>Pověřen</w:t>
      </w:r>
      <w:r w:rsidR="008317A7">
        <w:rPr>
          <w:rFonts w:eastAsia="Calibri"/>
          <w:sz w:val="22"/>
          <w:szCs w:val="22"/>
          <w:lang w:eastAsia="en-US"/>
        </w:rPr>
        <w:t>ý</w:t>
      </w:r>
      <w:r w:rsidRPr="00E34F26">
        <w:rPr>
          <w:rFonts w:eastAsia="Calibri"/>
          <w:sz w:val="22"/>
          <w:szCs w:val="22"/>
          <w:lang w:eastAsia="en-US"/>
        </w:rPr>
        <w:t xml:space="preserve"> zaměstnanec zadavatele </w:t>
      </w:r>
      <w:r w:rsidR="005C4482">
        <w:rPr>
          <w:rFonts w:eastAsia="Calibri"/>
          <w:sz w:val="22"/>
          <w:szCs w:val="22"/>
          <w:lang w:eastAsia="en-US"/>
        </w:rPr>
        <w:t xml:space="preserve">zajistí </w:t>
      </w:r>
      <w:r w:rsidRPr="00E34F26">
        <w:rPr>
          <w:rFonts w:eastAsia="Calibri"/>
          <w:sz w:val="22"/>
          <w:szCs w:val="22"/>
          <w:lang w:eastAsia="en-US"/>
        </w:rPr>
        <w:t>uveřejn</w:t>
      </w:r>
      <w:r w:rsidR="005C4482">
        <w:rPr>
          <w:rFonts w:eastAsia="Calibri"/>
          <w:sz w:val="22"/>
          <w:szCs w:val="22"/>
          <w:lang w:eastAsia="en-US"/>
        </w:rPr>
        <w:t>ění</w:t>
      </w:r>
      <w:r w:rsidRPr="00E34F26">
        <w:rPr>
          <w:rFonts w:eastAsia="Calibri"/>
          <w:sz w:val="22"/>
          <w:szCs w:val="22"/>
          <w:lang w:eastAsia="en-US"/>
        </w:rPr>
        <w:t xml:space="preserve"> smlouv</w:t>
      </w:r>
      <w:r w:rsidR="005C4482">
        <w:rPr>
          <w:rFonts w:eastAsia="Calibri"/>
          <w:sz w:val="22"/>
          <w:szCs w:val="22"/>
          <w:lang w:eastAsia="en-US"/>
        </w:rPr>
        <w:t>y</w:t>
      </w:r>
      <w:r w:rsidRPr="00E34F26">
        <w:rPr>
          <w:rFonts w:eastAsia="Calibri"/>
          <w:sz w:val="22"/>
          <w:szCs w:val="22"/>
          <w:lang w:eastAsia="en-US"/>
        </w:rPr>
        <w:t xml:space="preserve"> uzavřen</w:t>
      </w:r>
      <w:r w:rsidR="005C4482">
        <w:rPr>
          <w:rFonts w:eastAsia="Calibri"/>
          <w:sz w:val="22"/>
          <w:szCs w:val="22"/>
          <w:lang w:eastAsia="en-US"/>
        </w:rPr>
        <w:t>é</w:t>
      </w:r>
      <w:r w:rsidRPr="00E34F26">
        <w:rPr>
          <w:rFonts w:eastAsia="Calibri"/>
          <w:sz w:val="22"/>
          <w:szCs w:val="22"/>
          <w:lang w:eastAsia="en-US"/>
        </w:rPr>
        <w:t xml:space="preserve"> na veřejnou zakázku včetně všech jejích změn a dodatků, a to </w:t>
      </w:r>
      <w:r w:rsidR="005C4482">
        <w:rPr>
          <w:rFonts w:eastAsia="Calibri"/>
          <w:sz w:val="22"/>
          <w:szCs w:val="22"/>
          <w:lang w:eastAsia="en-US"/>
        </w:rPr>
        <w:t>dle zákona o registru smluv</w:t>
      </w:r>
      <w:r w:rsidR="003C373F">
        <w:rPr>
          <w:rStyle w:val="Znakapoznpodarou"/>
          <w:rFonts w:eastAsia="Calibri"/>
          <w:sz w:val="22"/>
          <w:szCs w:val="22"/>
          <w:lang w:eastAsia="en-US"/>
        </w:rPr>
        <w:footnoteReference w:id="41"/>
      </w:r>
      <w:r w:rsidR="00314CCB">
        <w:rPr>
          <w:rFonts w:eastAsia="Calibri"/>
          <w:sz w:val="22"/>
          <w:szCs w:val="22"/>
          <w:lang w:eastAsia="en-US"/>
        </w:rPr>
        <w:t xml:space="preserve"> a dle příslušného vnitřního předpisu</w:t>
      </w:r>
      <w:r w:rsidR="00314CCB">
        <w:rPr>
          <w:rStyle w:val="Znakapoznpodarou"/>
          <w:rFonts w:eastAsia="Calibri"/>
          <w:sz w:val="22"/>
          <w:szCs w:val="22"/>
          <w:lang w:eastAsia="en-US"/>
        </w:rPr>
        <w:footnoteReference w:id="42"/>
      </w:r>
      <w:r w:rsidR="005C4482">
        <w:rPr>
          <w:rFonts w:eastAsia="Calibri"/>
          <w:sz w:val="22"/>
          <w:szCs w:val="22"/>
          <w:lang w:eastAsia="en-US"/>
        </w:rPr>
        <w:t xml:space="preserve">. </w:t>
      </w:r>
    </w:p>
    <w:p w:rsidR="00912653" w:rsidRPr="00DA2BC8" w:rsidRDefault="00912653" w:rsidP="00DA2BC8">
      <w:pPr>
        <w:jc w:val="both"/>
        <w:rPr>
          <w:rFonts w:eastAsia="Calibri"/>
          <w:sz w:val="22"/>
          <w:szCs w:val="22"/>
          <w:lang w:eastAsia="en-US"/>
        </w:rPr>
      </w:pPr>
    </w:p>
    <w:p w:rsidR="00DA2BC8" w:rsidRPr="00DA2BC8" w:rsidRDefault="00DA2BC8" w:rsidP="00DA2BC8">
      <w:pPr>
        <w:rPr>
          <w:rFonts w:eastAsia="Calibri"/>
          <w:sz w:val="22"/>
          <w:szCs w:val="22"/>
        </w:rPr>
      </w:pPr>
      <w:bookmarkStart w:id="57" w:name="_Toc453761095"/>
    </w:p>
    <w:p w:rsidR="00C85360" w:rsidRPr="00DA2BC8" w:rsidRDefault="00C85360" w:rsidP="00C85360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>Čl. XV</w:t>
      </w:r>
      <w:r w:rsidR="00AF33FA" w:rsidRPr="00DA2BC8">
        <w:rPr>
          <w:rFonts w:eastAsia="Calibri"/>
          <w:b/>
          <w:sz w:val="22"/>
          <w:szCs w:val="22"/>
        </w:rPr>
        <w:t>II</w:t>
      </w:r>
      <w:r w:rsidR="00FB0BB5">
        <w:rPr>
          <w:rFonts w:eastAsia="Calibri"/>
          <w:b/>
          <w:sz w:val="22"/>
          <w:szCs w:val="22"/>
        </w:rPr>
        <w:t>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773453" w:rsidRPr="00A36875" w:rsidRDefault="00773453" w:rsidP="00C4478D">
      <w:pPr>
        <w:pStyle w:val="Nadpis2"/>
        <w:jc w:val="center"/>
        <w:rPr>
          <w:rFonts w:eastAsia="Calibri"/>
          <w:sz w:val="22"/>
          <w:szCs w:val="22"/>
        </w:rPr>
      </w:pPr>
      <w:bookmarkStart w:id="58" w:name="_Toc516572655"/>
      <w:bookmarkStart w:id="59" w:name="_Toc210984964"/>
      <w:r w:rsidRPr="00A36875">
        <w:rPr>
          <w:rFonts w:eastAsia="Calibri"/>
          <w:sz w:val="22"/>
          <w:szCs w:val="22"/>
        </w:rPr>
        <w:t>Uveřejňování skutečně uhrazené ceny</w:t>
      </w:r>
      <w:bookmarkEnd w:id="58"/>
      <w:bookmarkEnd w:id="59"/>
      <w:r w:rsidRPr="00A36875">
        <w:rPr>
          <w:rFonts w:eastAsia="Calibri"/>
          <w:sz w:val="22"/>
          <w:szCs w:val="22"/>
        </w:rPr>
        <w:t xml:space="preserve"> </w:t>
      </w:r>
    </w:p>
    <w:p w:rsidR="00773453" w:rsidRPr="00A36875" w:rsidRDefault="00773453" w:rsidP="00C4478D">
      <w:pPr>
        <w:widowControl w:val="0"/>
        <w:autoSpaceDE w:val="0"/>
        <w:autoSpaceDN w:val="0"/>
        <w:adjustRightInd w:val="0"/>
        <w:spacing w:before="240"/>
        <w:ind w:left="397"/>
        <w:jc w:val="both"/>
        <w:rPr>
          <w:rFonts w:eastAsia="Calibri"/>
          <w:sz w:val="22"/>
          <w:szCs w:val="22"/>
          <w:lang w:eastAsia="en-US"/>
        </w:rPr>
      </w:pPr>
      <w:r w:rsidRPr="00A36875">
        <w:rPr>
          <w:rFonts w:eastAsia="Calibri"/>
          <w:sz w:val="22"/>
          <w:szCs w:val="22"/>
          <w:lang w:eastAsia="en-US"/>
        </w:rPr>
        <w:t xml:space="preserve">Pověřený zaměstnanec zadavatele uveřejní nejpozději do 3 měsíců od splnění smlouvy na profilu zadavatele výši skutečně uhrazené ceny za plnění smlouvy, jejíž cena přesáhne </w:t>
      </w:r>
      <w:r w:rsidR="00B357ED">
        <w:rPr>
          <w:rFonts w:eastAsia="Calibri"/>
          <w:sz w:val="22"/>
          <w:szCs w:val="22"/>
          <w:lang w:eastAsia="en-US"/>
        </w:rPr>
        <w:t>1 mil</w:t>
      </w:r>
      <w:r w:rsidRPr="00A36875">
        <w:rPr>
          <w:rFonts w:eastAsia="Calibri"/>
          <w:sz w:val="22"/>
          <w:szCs w:val="22"/>
          <w:lang w:eastAsia="en-US"/>
        </w:rPr>
        <w:t>. Kč bez DPH. U</w:t>
      </w:r>
      <w:r w:rsidR="002C4350">
        <w:rPr>
          <w:rFonts w:eastAsia="Calibri"/>
          <w:sz w:val="22"/>
          <w:szCs w:val="22"/>
          <w:lang w:eastAsia="en-US"/>
        </w:rPr>
        <w:t> </w:t>
      </w:r>
      <w:r w:rsidRPr="00A36875">
        <w:rPr>
          <w:rFonts w:eastAsia="Calibri"/>
          <w:sz w:val="22"/>
          <w:szCs w:val="22"/>
          <w:lang w:eastAsia="en-US"/>
        </w:rPr>
        <w:t xml:space="preserve">smlouvy, jejíž doba plnění přesahuje 1 rok, uveřejní veřejný zadavatel nejpozději do 31. března následujícího kalendářního roku </w:t>
      </w:r>
      <w:r w:rsidR="003C373F">
        <w:rPr>
          <w:rFonts w:eastAsia="Calibri"/>
          <w:sz w:val="22"/>
          <w:szCs w:val="22"/>
          <w:lang w:eastAsia="en-US"/>
        </w:rPr>
        <w:t xml:space="preserve">skutečně uhrazenou </w:t>
      </w:r>
      <w:r w:rsidRPr="00A36875">
        <w:rPr>
          <w:rFonts w:eastAsia="Calibri"/>
          <w:sz w:val="22"/>
          <w:szCs w:val="22"/>
          <w:lang w:eastAsia="en-US"/>
        </w:rPr>
        <w:t xml:space="preserve">cenu za plnění smlouvy v předchozím kalendářním roce. </w:t>
      </w:r>
    </w:p>
    <w:p w:rsidR="00C85360" w:rsidRDefault="00C85360" w:rsidP="00DA2BC8">
      <w:pPr>
        <w:rPr>
          <w:rFonts w:eastAsia="Calibri"/>
          <w:sz w:val="22"/>
          <w:szCs w:val="22"/>
        </w:rPr>
      </w:pPr>
    </w:p>
    <w:p w:rsidR="00DA2BC8" w:rsidRPr="00DA2BC8" w:rsidRDefault="00DA2BC8" w:rsidP="00DA2BC8">
      <w:pPr>
        <w:rPr>
          <w:rFonts w:eastAsia="Calibri"/>
          <w:sz w:val="22"/>
          <w:szCs w:val="22"/>
        </w:rPr>
      </w:pPr>
    </w:p>
    <w:p w:rsidR="008F0B9D" w:rsidRPr="00DA2BC8" w:rsidRDefault="008F0B9D" w:rsidP="0026457D">
      <w:pPr>
        <w:jc w:val="center"/>
        <w:rPr>
          <w:rFonts w:eastAsia="Calibri"/>
          <w:b/>
          <w:sz w:val="22"/>
          <w:szCs w:val="22"/>
        </w:rPr>
      </w:pPr>
      <w:bookmarkStart w:id="60" w:name="_Hlk211254759"/>
      <w:r w:rsidRPr="00DA2BC8">
        <w:rPr>
          <w:rFonts w:eastAsia="Calibri"/>
          <w:b/>
          <w:sz w:val="22"/>
          <w:szCs w:val="22"/>
        </w:rPr>
        <w:t xml:space="preserve">Čl. </w:t>
      </w:r>
      <w:bookmarkEnd w:id="57"/>
      <w:r w:rsidR="00FB0BB5">
        <w:rPr>
          <w:rFonts w:eastAsia="Calibri"/>
          <w:b/>
          <w:sz w:val="22"/>
          <w:szCs w:val="22"/>
        </w:rPr>
        <w:t>XIX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A36875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61" w:name="_Toc210984965"/>
      <w:r w:rsidRPr="00A36875">
        <w:rPr>
          <w:rFonts w:eastAsia="Calibri"/>
          <w:sz w:val="22"/>
          <w:szCs w:val="22"/>
        </w:rPr>
        <w:t>Výjimky z ustanovení pravidel</w:t>
      </w:r>
      <w:bookmarkEnd w:id="61"/>
    </w:p>
    <w:p w:rsidR="00F27E58" w:rsidRPr="00A36875" w:rsidRDefault="00F27E58" w:rsidP="00E855AF">
      <w:pPr>
        <w:widowControl w:val="0"/>
        <w:numPr>
          <w:ilvl w:val="0"/>
          <w:numId w:val="47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Je-li zadavatelem veřejné zakázky </w:t>
      </w:r>
      <w:r w:rsidR="00365151" w:rsidRPr="00A36875">
        <w:rPr>
          <w:rFonts w:eastAsia="Calibri"/>
          <w:snapToGrid w:val="0"/>
          <w:sz w:val="22"/>
          <w:szCs w:val="22"/>
          <w:lang w:eastAsia="en-US"/>
        </w:rPr>
        <w:t xml:space="preserve">Krajská správa a údržba silnic Karlovarského kraje, příspěvková organizace (dále jen </w:t>
      </w:r>
      <w:r w:rsidR="00B14BA5" w:rsidRPr="00A36875">
        <w:rPr>
          <w:rFonts w:eastAsia="Calibri"/>
          <w:snapToGrid w:val="0"/>
          <w:sz w:val="22"/>
          <w:szCs w:val="22"/>
          <w:lang w:eastAsia="en-US"/>
        </w:rPr>
        <w:t>„</w:t>
      </w:r>
      <w:r w:rsidR="00365151" w:rsidRPr="00A36875">
        <w:rPr>
          <w:rFonts w:eastAsia="Calibri"/>
          <w:snapToGrid w:val="0"/>
          <w:sz w:val="22"/>
          <w:szCs w:val="22"/>
          <w:lang w:eastAsia="en-US"/>
        </w:rPr>
        <w:t>KSÚS</w:t>
      </w:r>
      <w:r w:rsidR="00B14BA5" w:rsidRPr="00A36875">
        <w:rPr>
          <w:rFonts w:eastAsia="Calibri"/>
          <w:snapToGrid w:val="0"/>
          <w:sz w:val="22"/>
          <w:szCs w:val="22"/>
          <w:lang w:eastAsia="en-US"/>
        </w:rPr>
        <w:t>“</w:t>
      </w:r>
      <w:r w:rsidRPr="00A36875">
        <w:rPr>
          <w:rFonts w:eastAsia="Calibri"/>
          <w:snapToGrid w:val="0"/>
          <w:sz w:val="22"/>
          <w:szCs w:val="22"/>
          <w:lang w:eastAsia="en-US"/>
        </w:rPr>
        <w:t>):</w:t>
      </w:r>
    </w:p>
    <w:p w:rsidR="00F27E58" w:rsidRPr="00A36875" w:rsidRDefault="00F27E58" w:rsidP="00E855AF">
      <w:pPr>
        <w:widowControl w:val="0"/>
        <w:numPr>
          <w:ilvl w:val="1"/>
          <w:numId w:val="4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o způsobu zadání veřejné zakázky </w:t>
      </w:r>
      <w:r w:rsidR="00AC6BCC">
        <w:rPr>
          <w:rFonts w:eastAsia="Calibri"/>
          <w:snapToGrid w:val="0"/>
          <w:sz w:val="22"/>
          <w:szCs w:val="22"/>
          <w:lang w:eastAsia="en-US"/>
        </w:rPr>
        <w:t>malého rozsahu</w:t>
      </w: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 rozhoduje ředitel KSÚS,</w:t>
      </w:r>
    </w:p>
    <w:p w:rsidR="00F27E58" w:rsidRDefault="00F27E58" w:rsidP="00E855AF">
      <w:pPr>
        <w:widowControl w:val="0"/>
        <w:numPr>
          <w:ilvl w:val="1"/>
          <w:numId w:val="47"/>
        </w:numPr>
        <w:spacing w:before="12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o zadání podlimitní </w:t>
      </w:r>
      <w:r w:rsidR="00691B7D" w:rsidRPr="00A36875">
        <w:rPr>
          <w:rFonts w:eastAsia="Calibri"/>
          <w:snapToGrid w:val="0"/>
          <w:sz w:val="22"/>
          <w:szCs w:val="22"/>
          <w:lang w:eastAsia="en-US"/>
        </w:rPr>
        <w:t xml:space="preserve">veřejné </w:t>
      </w: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zakázky na dodávky a služby a o zadání </w:t>
      </w:r>
      <w:r w:rsidR="00691B7D">
        <w:rPr>
          <w:rFonts w:eastAsia="Calibri"/>
          <w:snapToGrid w:val="0"/>
          <w:sz w:val="22"/>
          <w:szCs w:val="22"/>
          <w:lang w:eastAsia="en-US"/>
        </w:rPr>
        <w:t xml:space="preserve">podlimitní </w:t>
      </w: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veřejné zakázky na stavební práce, u které </w:t>
      </w:r>
      <w:r w:rsidR="00691B7D">
        <w:rPr>
          <w:rFonts w:eastAsia="Calibri"/>
          <w:snapToGrid w:val="0"/>
          <w:sz w:val="22"/>
          <w:szCs w:val="22"/>
          <w:lang w:eastAsia="en-US"/>
        </w:rPr>
        <w:t>předpokládaná hodnota</w:t>
      </w: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 nepřesáhne </w:t>
      </w:r>
      <w:r w:rsidR="00691B7D">
        <w:rPr>
          <w:rFonts w:eastAsia="Calibri"/>
          <w:snapToGrid w:val="0"/>
          <w:sz w:val="22"/>
          <w:szCs w:val="22"/>
          <w:lang w:eastAsia="en-US"/>
        </w:rPr>
        <w:t>50 mil.</w:t>
      </w:r>
      <w:r w:rsidRPr="00A36875">
        <w:rPr>
          <w:rFonts w:eastAsia="Calibri"/>
          <w:snapToGrid w:val="0"/>
          <w:sz w:val="22"/>
          <w:szCs w:val="22"/>
          <w:lang w:eastAsia="en-US"/>
        </w:rPr>
        <w:t xml:space="preserve"> Kč, rozhoduje při respektování zákona ředitel KSÚS</w:t>
      </w:r>
      <w:r w:rsidR="00715CEF" w:rsidRPr="00A36875">
        <w:rPr>
          <w:rFonts w:eastAsia="Calibri"/>
          <w:snapToGrid w:val="0"/>
          <w:sz w:val="22"/>
          <w:szCs w:val="22"/>
          <w:lang w:eastAsia="en-US"/>
        </w:rPr>
        <w:t>.</w:t>
      </w:r>
    </w:p>
    <w:p w:rsidR="004E7D00" w:rsidRPr="004E7D00" w:rsidRDefault="004E7D00" w:rsidP="00E855AF">
      <w:pPr>
        <w:widowControl w:val="0"/>
        <w:numPr>
          <w:ilvl w:val="0"/>
          <w:numId w:val="47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4E7D00">
        <w:rPr>
          <w:rFonts w:eastAsia="Calibri"/>
          <w:snapToGrid w:val="0"/>
          <w:sz w:val="22"/>
          <w:szCs w:val="22"/>
          <w:lang w:eastAsia="en-US"/>
        </w:rPr>
        <w:t xml:space="preserve">Zadavatel není povinen zadat veřejnou zakázku v zadávacím řízení v případě, jde-li o specifické veřejné zakázky definované v § 29 a 30 zákona. U zakázek zadávaných v limitech podle čl. X nebo čl. XI tohoto předpisu o </w:t>
      </w:r>
      <w:r>
        <w:rPr>
          <w:rFonts w:eastAsia="Calibri"/>
          <w:snapToGrid w:val="0"/>
          <w:sz w:val="22"/>
          <w:szCs w:val="22"/>
          <w:lang w:eastAsia="en-US"/>
        </w:rPr>
        <w:t xml:space="preserve">zadání veřejné zakázky </w:t>
      </w:r>
      <w:r w:rsidRPr="004E7D00">
        <w:rPr>
          <w:rFonts w:eastAsia="Calibri"/>
          <w:snapToGrid w:val="0"/>
          <w:sz w:val="22"/>
          <w:szCs w:val="22"/>
          <w:lang w:eastAsia="en-US"/>
        </w:rPr>
        <w:t xml:space="preserve">rozhodne pověřený zaměstnanec zadavatele, u zakázek zadávaných v limitech podle čl. XII. tohoto předpisu o </w:t>
      </w:r>
      <w:r>
        <w:rPr>
          <w:rFonts w:eastAsia="Calibri"/>
          <w:snapToGrid w:val="0"/>
          <w:sz w:val="22"/>
          <w:szCs w:val="22"/>
          <w:lang w:eastAsia="en-US"/>
        </w:rPr>
        <w:t>zadání veřejné zakázky</w:t>
      </w:r>
      <w:r w:rsidRPr="004E7D00">
        <w:rPr>
          <w:rFonts w:eastAsia="Calibri"/>
          <w:snapToGrid w:val="0"/>
          <w:sz w:val="22"/>
          <w:szCs w:val="22"/>
          <w:lang w:eastAsia="en-US"/>
        </w:rPr>
        <w:t xml:space="preserve"> rozhodne rada. </w:t>
      </w:r>
    </w:p>
    <w:p w:rsidR="00F27E58" w:rsidRDefault="00F27E58" w:rsidP="00314CCB">
      <w:pPr>
        <w:rPr>
          <w:rFonts w:eastAsia="Calibri"/>
          <w:sz w:val="22"/>
          <w:szCs w:val="22"/>
        </w:rPr>
      </w:pPr>
    </w:p>
    <w:bookmarkEnd w:id="60"/>
    <w:p w:rsidR="00DA2BC8" w:rsidRPr="00A36875" w:rsidRDefault="00DA2BC8" w:rsidP="00314CCB">
      <w:pPr>
        <w:rPr>
          <w:rFonts w:eastAsia="Calibri"/>
          <w:sz w:val="22"/>
          <w:szCs w:val="22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62" w:name="_Toc399911838"/>
      <w:bookmarkStart w:id="63" w:name="_Toc403400654"/>
      <w:bookmarkStart w:id="64" w:name="_Toc453761097"/>
      <w:r w:rsidRPr="00DA2BC8">
        <w:rPr>
          <w:rFonts w:eastAsia="Calibri"/>
          <w:b/>
          <w:sz w:val="22"/>
          <w:szCs w:val="22"/>
        </w:rPr>
        <w:t xml:space="preserve">Čl. </w:t>
      </w:r>
      <w:bookmarkEnd w:id="62"/>
      <w:bookmarkEnd w:id="63"/>
      <w:bookmarkEnd w:id="64"/>
      <w:r w:rsidR="00FB0BB5">
        <w:rPr>
          <w:rFonts w:eastAsia="Calibri"/>
          <w:b/>
          <w:sz w:val="22"/>
          <w:szCs w:val="22"/>
        </w:rPr>
        <w:t>XX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6B51AC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65" w:name="_Toc210984966"/>
      <w:r w:rsidRPr="006B51AC">
        <w:rPr>
          <w:rFonts w:eastAsia="Calibri"/>
          <w:sz w:val="22"/>
          <w:szCs w:val="22"/>
        </w:rPr>
        <w:t>Požadavky na obsah zadávacích podkladů a další dokumentace</w:t>
      </w:r>
      <w:r w:rsidR="00F945A6" w:rsidRPr="006B51AC">
        <w:rPr>
          <w:rFonts w:eastAsia="Calibri"/>
          <w:sz w:val="22"/>
          <w:szCs w:val="22"/>
        </w:rPr>
        <w:t xml:space="preserve"> </w:t>
      </w:r>
      <w:r w:rsidRPr="006B51AC">
        <w:rPr>
          <w:rFonts w:eastAsia="Calibri"/>
          <w:sz w:val="22"/>
          <w:szCs w:val="22"/>
        </w:rPr>
        <w:t>o průběhu</w:t>
      </w:r>
      <w:r w:rsidR="00F945A6" w:rsidRPr="006B51AC">
        <w:rPr>
          <w:rFonts w:eastAsia="Calibri"/>
          <w:sz w:val="22"/>
          <w:szCs w:val="22"/>
        </w:rPr>
        <w:t xml:space="preserve"> </w:t>
      </w:r>
      <w:r w:rsidRPr="006B51AC">
        <w:rPr>
          <w:rFonts w:eastAsia="Calibri"/>
          <w:sz w:val="22"/>
          <w:szCs w:val="22"/>
        </w:rPr>
        <w:t>zadávacího řízení</w:t>
      </w:r>
      <w:bookmarkEnd w:id="65"/>
    </w:p>
    <w:p w:rsidR="00D56B53" w:rsidRPr="00D56B53" w:rsidRDefault="00F27E58" w:rsidP="00292DC6">
      <w:pPr>
        <w:numPr>
          <w:ilvl w:val="0"/>
          <w:numId w:val="9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D56B53">
        <w:rPr>
          <w:rFonts w:eastAsia="Calibri"/>
          <w:bCs/>
          <w:sz w:val="22"/>
          <w:szCs w:val="22"/>
          <w:lang w:eastAsia="en-US"/>
        </w:rPr>
        <w:t>Za účelem sjednocení úrovně a obsahu zadávacích podkladů</w:t>
      </w:r>
      <w:r w:rsidR="00B70651">
        <w:rPr>
          <w:rFonts w:eastAsia="Calibri"/>
          <w:bCs/>
          <w:sz w:val="22"/>
          <w:szCs w:val="22"/>
          <w:lang w:eastAsia="en-US"/>
        </w:rPr>
        <w:t xml:space="preserve"> odbor</w:t>
      </w:r>
      <w:r w:rsidR="00BC2A4B">
        <w:rPr>
          <w:rFonts w:eastAsia="Calibri"/>
          <w:bCs/>
          <w:sz w:val="22"/>
          <w:szCs w:val="22"/>
          <w:lang w:eastAsia="en-US"/>
        </w:rPr>
        <w:t xml:space="preserve"> </w:t>
      </w:r>
      <w:r w:rsidR="00B96316">
        <w:rPr>
          <w:rFonts w:eastAsia="Calibri"/>
          <w:bCs/>
          <w:sz w:val="22"/>
          <w:szCs w:val="22"/>
          <w:lang w:eastAsia="en-US"/>
        </w:rPr>
        <w:t xml:space="preserve">právní </w:t>
      </w:r>
      <w:r w:rsidRPr="00D56B53">
        <w:rPr>
          <w:rFonts w:eastAsia="Calibri"/>
          <w:sz w:val="22"/>
          <w:szCs w:val="22"/>
          <w:lang w:eastAsia="en-US"/>
        </w:rPr>
        <w:t xml:space="preserve">zpracovává a aktualizuje vzory nejdůležitějších písemných úkonů souvisejících se zadáváním veřejných zakázek. </w:t>
      </w:r>
      <w:r w:rsidRPr="00D56B53">
        <w:rPr>
          <w:rFonts w:eastAsia="Calibri"/>
          <w:bCs/>
          <w:sz w:val="22"/>
          <w:szCs w:val="22"/>
          <w:lang w:eastAsia="en-US"/>
        </w:rPr>
        <w:t>S ohledem na průběžnou aktualizaci těchto dokumentů jsou aktuální vzorová provedení dokumentů k dispozici ke stažení na příslušných webových stránkách kraje</w:t>
      </w:r>
      <w:r w:rsidR="00D56B53" w:rsidRPr="00D56B53">
        <w:rPr>
          <w:rFonts w:eastAsia="Calibri"/>
          <w:bCs/>
          <w:sz w:val="22"/>
          <w:szCs w:val="22"/>
          <w:lang w:eastAsia="en-US"/>
        </w:rPr>
        <w:t>.</w:t>
      </w:r>
      <w:r w:rsidRPr="00D56B53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F27E58" w:rsidRPr="00D56B53" w:rsidRDefault="00F27E58" w:rsidP="00292DC6">
      <w:pPr>
        <w:numPr>
          <w:ilvl w:val="0"/>
          <w:numId w:val="9"/>
        </w:numPr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D56B53">
        <w:rPr>
          <w:rFonts w:eastAsia="Calibri"/>
          <w:bCs/>
          <w:sz w:val="22"/>
          <w:szCs w:val="22"/>
          <w:lang w:eastAsia="en-US"/>
        </w:rPr>
        <w:t xml:space="preserve">Pověřený zaměstnanec zadavatele použije při zpracování podkladů pro zadání veřejné zakázky příslušné </w:t>
      </w:r>
      <w:r w:rsidR="006B51AC" w:rsidRPr="00D56B53">
        <w:rPr>
          <w:rFonts w:eastAsia="Calibri"/>
          <w:bCs/>
          <w:sz w:val="22"/>
          <w:szCs w:val="22"/>
          <w:lang w:eastAsia="en-US"/>
        </w:rPr>
        <w:t>vzory</w:t>
      </w:r>
      <w:r w:rsidRPr="00D56B53">
        <w:rPr>
          <w:rFonts w:eastAsia="Calibri"/>
          <w:bCs/>
          <w:sz w:val="22"/>
          <w:szCs w:val="22"/>
          <w:lang w:eastAsia="en-US"/>
        </w:rPr>
        <w:t xml:space="preserve"> v přiměřeném rozsahu s ohledem na specifický charakter každé veřejné zakázky. Při úpravách vzorové dokumentace na konkrétní zakázku je nezbytné zejména upravit veškeré odkazy na skutečnou formu zadání veřejné zakázky dle konkrétní </w:t>
      </w:r>
      <w:r w:rsidR="00E54D93" w:rsidRPr="00D56B53">
        <w:rPr>
          <w:rFonts w:eastAsia="Calibri"/>
          <w:bCs/>
          <w:sz w:val="22"/>
          <w:szCs w:val="22"/>
          <w:lang w:eastAsia="en-US"/>
        </w:rPr>
        <w:t xml:space="preserve">předpokládané </w:t>
      </w:r>
      <w:r w:rsidR="006F44A2">
        <w:rPr>
          <w:rFonts w:eastAsia="Calibri"/>
          <w:bCs/>
          <w:sz w:val="22"/>
          <w:szCs w:val="22"/>
          <w:lang w:eastAsia="en-US"/>
        </w:rPr>
        <w:t>hodnoty</w:t>
      </w:r>
      <w:r w:rsidRPr="00D56B53">
        <w:rPr>
          <w:rFonts w:eastAsia="Calibri"/>
          <w:bCs/>
          <w:sz w:val="22"/>
          <w:szCs w:val="22"/>
          <w:lang w:eastAsia="en-US"/>
        </w:rPr>
        <w:t xml:space="preserve"> a druhu zadání, dále uvést konkrétního zadavatele včetně adresy a kontaktů, podmínky realizace předmětné zakázky, </w:t>
      </w:r>
      <w:r w:rsidR="00D56B53">
        <w:rPr>
          <w:rFonts w:eastAsia="Calibri"/>
          <w:bCs/>
          <w:sz w:val="22"/>
          <w:szCs w:val="22"/>
          <w:lang w:eastAsia="en-US"/>
        </w:rPr>
        <w:t xml:space="preserve">obchodní podmínky </w:t>
      </w:r>
      <w:r w:rsidRPr="00D56B53">
        <w:rPr>
          <w:rFonts w:eastAsia="Calibri"/>
          <w:bCs/>
          <w:sz w:val="22"/>
          <w:szCs w:val="22"/>
          <w:lang w:eastAsia="en-US"/>
        </w:rPr>
        <w:t>(v</w:t>
      </w:r>
      <w:r w:rsidR="00314CCB">
        <w:rPr>
          <w:rFonts w:eastAsia="Calibri"/>
          <w:bCs/>
          <w:sz w:val="22"/>
          <w:szCs w:val="22"/>
          <w:lang w:eastAsia="en-US"/>
        </w:rPr>
        <w:t> </w:t>
      </w:r>
      <w:r w:rsidRPr="00D56B53">
        <w:rPr>
          <w:rFonts w:eastAsia="Calibri"/>
          <w:bCs/>
          <w:sz w:val="22"/>
          <w:szCs w:val="22"/>
          <w:lang w:eastAsia="en-US"/>
        </w:rPr>
        <w:t>případě financování zakázky z dotací, je nutné respektovat podmínky čerpání finančních prostředků, stanovené poskytovatelem dotace</w:t>
      </w:r>
      <w:r w:rsidR="00D56B53">
        <w:rPr>
          <w:rFonts w:eastAsia="Calibri"/>
          <w:bCs/>
          <w:sz w:val="22"/>
          <w:szCs w:val="22"/>
          <w:lang w:eastAsia="en-US"/>
        </w:rPr>
        <w:t xml:space="preserve">) </w:t>
      </w:r>
      <w:r w:rsidRPr="00D56B53">
        <w:rPr>
          <w:rFonts w:eastAsia="Calibri"/>
          <w:bCs/>
          <w:sz w:val="22"/>
          <w:szCs w:val="22"/>
          <w:lang w:eastAsia="en-US"/>
        </w:rPr>
        <w:t xml:space="preserve">apod. Dle uvážení pověřeného zaměstnance zadavatele může být jako součást zadávacích podkladů k veřejné zakázce předložen </w:t>
      </w:r>
      <w:r w:rsidR="00E54D93" w:rsidRPr="00D56B53">
        <w:rPr>
          <w:rFonts w:eastAsia="Calibri"/>
          <w:bCs/>
          <w:sz w:val="22"/>
          <w:szCs w:val="22"/>
          <w:lang w:eastAsia="en-US"/>
        </w:rPr>
        <w:t>účastníkům zadávacího řízení</w:t>
      </w:r>
      <w:r w:rsidRPr="00D56B53">
        <w:rPr>
          <w:rFonts w:eastAsia="Calibri"/>
          <w:bCs/>
          <w:sz w:val="22"/>
          <w:szCs w:val="22"/>
          <w:lang w:eastAsia="en-US"/>
        </w:rPr>
        <w:t xml:space="preserve"> rovněž návrh znění příslušné smlouvy a dále zadavatel může stanovit podmínky a přípustnost úprav této smlouvy ze strany </w:t>
      </w:r>
      <w:r w:rsidR="00E54D93" w:rsidRPr="00D56B53">
        <w:rPr>
          <w:rFonts w:eastAsia="Calibri"/>
          <w:bCs/>
          <w:sz w:val="22"/>
          <w:szCs w:val="22"/>
          <w:lang w:eastAsia="en-US"/>
        </w:rPr>
        <w:t>účastníků zadávacího řízení</w:t>
      </w:r>
      <w:r w:rsidRPr="00D56B53">
        <w:rPr>
          <w:rFonts w:eastAsia="Calibri"/>
          <w:bCs/>
          <w:sz w:val="22"/>
          <w:szCs w:val="22"/>
          <w:lang w:eastAsia="en-US"/>
        </w:rPr>
        <w:t>.</w:t>
      </w:r>
    </w:p>
    <w:p w:rsidR="002C2771" w:rsidRPr="002C2771" w:rsidRDefault="002C2771" w:rsidP="00292DC6">
      <w:pPr>
        <w:numPr>
          <w:ilvl w:val="0"/>
          <w:numId w:val="9"/>
        </w:numPr>
        <w:spacing w:before="240"/>
        <w:jc w:val="both"/>
        <w:rPr>
          <w:sz w:val="22"/>
          <w:szCs w:val="22"/>
        </w:rPr>
      </w:pPr>
      <w:r w:rsidRPr="002C2771">
        <w:rPr>
          <w:rFonts w:eastAsia="Calibri"/>
          <w:bCs/>
          <w:sz w:val="22"/>
          <w:szCs w:val="22"/>
          <w:lang w:eastAsia="en-US"/>
        </w:rPr>
        <w:t xml:space="preserve">Pokud některou </w:t>
      </w:r>
      <w:r w:rsidRPr="002C2771">
        <w:rPr>
          <w:sz w:val="22"/>
          <w:szCs w:val="22"/>
        </w:rPr>
        <w:t>část zadávací dokumentace vypracovala osoba odlišná od zadavatele, s výjimkou advokáta nebo daňového poradce, označí zadavatel tuto část spolu s identifikací osoby, která ji vypracovala. Pokud zadávací dokumentace obsahuje informace, které jsou výsledkem předběžné tržní konzultace, zadavatel označí v zadávací dokumentaci tyto informace, identifikuje osoby, které se na předběžné tržní konzultaci podílely, a uvede všechny podstatné informace, které byly obsahem předběžné tržní konzultace</w:t>
      </w:r>
      <w:r w:rsidR="007B1AB1">
        <w:rPr>
          <w:rStyle w:val="Znakapoznpodarou"/>
          <w:sz w:val="22"/>
          <w:szCs w:val="22"/>
        </w:rPr>
        <w:footnoteReference w:id="43"/>
      </w:r>
      <w:r w:rsidRPr="002C2771">
        <w:rPr>
          <w:sz w:val="22"/>
          <w:szCs w:val="22"/>
        </w:rPr>
        <w:t xml:space="preserve">. </w:t>
      </w:r>
    </w:p>
    <w:p w:rsidR="00691B7D" w:rsidRDefault="00691B7D" w:rsidP="00314CCB">
      <w:pPr>
        <w:rPr>
          <w:rFonts w:eastAsia="Calibri"/>
          <w:sz w:val="22"/>
          <w:szCs w:val="22"/>
        </w:rPr>
      </w:pPr>
    </w:p>
    <w:p w:rsidR="00DA2BC8" w:rsidRPr="00314CCB" w:rsidRDefault="00DA2BC8" w:rsidP="00314CCB">
      <w:pPr>
        <w:rPr>
          <w:rFonts w:eastAsia="Calibri"/>
          <w:sz w:val="22"/>
          <w:szCs w:val="22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66" w:name="_Toc399911840"/>
      <w:bookmarkStart w:id="67" w:name="_Toc403400656"/>
      <w:bookmarkStart w:id="68" w:name="_Toc453761101"/>
      <w:r w:rsidRPr="00DA2BC8">
        <w:rPr>
          <w:rFonts w:eastAsia="Calibri"/>
          <w:b/>
          <w:sz w:val="22"/>
          <w:szCs w:val="22"/>
        </w:rPr>
        <w:t xml:space="preserve">Čl. </w:t>
      </w:r>
      <w:bookmarkEnd w:id="66"/>
      <w:bookmarkEnd w:id="67"/>
      <w:bookmarkEnd w:id="68"/>
      <w:r w:rsidR="00FB0BB5">
        <w:rPr>
          <w:rFonts w:eastAsia="Calibri"/>
          <w:b/>
          <w:sz w:val="22"/>
          <w:szCs w:val="22"/>
        </w:rPr>
        <w:t>XXI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FE1BC4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69" w:name="_Toc210984967"/>
      <w:r w:rsidRPr="00FE1BC4">
        <w:rPr>
          <w:rFonts w:eastAsia="Calibri"/>
          <w:sz w:val="22"/>
          <w:szCs w:val="22"/>
        </w:rPr>
        <w:t>Přezkoumávání námitek</w:t>
      </w:r>
      <w:bookmarkEnd w:id="69"/>
    </w:p>
    <w:p w:rsidR="00F27E58" w:rsidRPr="00FE1BC4" w:rsidRDefault="00F27E58" w:rsidP="00C4478D">
      <w:pPr>
        <w:widowControl w:val="0"/>
        <w:spacing w:before="240"/>
        <w:ind w:left="397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E1BC4">
        <w:rPr>
          <w:rFonts w:eastAsia="Calibri"/>
          <w:snapToGrid w:val="0"/>
          <w:sz w:val="22"/>
          <w:szCs w:val="22"/>
          <w:lang w:eastAsia="en-US"/>
        </w:rPr>
        <w:t xml:space="preserve">Oprávněnost podaných námitek přezkoumává </w:t>
      </w:r>
      <w:r w:rsidR="007727D8">
        <w:rPr>
          <w:rFonts w:eastAsia="Calibri"/>
          <w:snapToGrid w:val="0"/>
          <w:sz w:val="22"/>
          <w:szCs w:val="22"/>
          <w:lang w:eastAsia="en-US"/>
        </w:rPr>
        <w:t>pověřený zaměstnanec</w:t>
      </w:r>
      <w:r w:rsidR="001901F1">
        <w:rPr>
          <w:rFonts w:eastAsia="Calibri"/>
          <w:snapToGrid w:val="0"/>
          <w:sz w:val="22"/>
          <w:szCs w:val="22"/>
          <w:lang w:eastAsia="en-US"/>
        </w:rPr>
        <w:t xml:space="preserve"> zadavatele</w:t>
      </w:r>
      <w:r w:rsidRPr="00FE1BC4">
        <w:rPr>
          <w:rFonts w:eastAsia="Calibri"/>
          <w:snapToGrid w:val="0"/>
          <w:sz w:val="22"/>
          <w:szCs w:val="22"/>
          <w:lang w:eastAsia="en-US"/>
        </w:rPr>
        <w:t xml:space="preserve"> v souladu se </w:t>
      </w:r>
      <w:r w:rsidRPr="00EC53B7">
        <w:rPr>
          <w:rFonts w:eastAsia="Calibri"/>
          <w:snapToGrid w:val="0"/>
          <w:sz w:val="22"/>
          <w:szCs w:val="22"/>
          <w:lang w:eastAsia="en-US"/>
        </w:rPr>
        <w:t>zákonem</w:t>
      </w:r>
      <w:r w:rsidRPr="00EC53B7">
        <w:rPr>
          <w:rFonts w:eastAsia="Calibri"/>
          <w:snapToGrid w:val="0"/>
          <w:sz w:val="22"/>
          <w:szCs w:val="22"/>
          <w:vertAlign w:val="superscript"/>
          <w:lang w:eastAsia="en-US"/>
        </w:rPr>
        <w:footnoteReference w:id="44"/>
      </w:r>
      <w:r w:rsidRPr="00EC53B7">
        <w:rPr>
          <w:rFonts w:eastAsia="Calibri"/>
          <w:snapToGrid w:val="0"/>
          <w:sz w:val="22"/>
          <w:szCs w:val="22"/>
          <w:lang w:eastAsia="en-US"/>
        </w:rPr>
        <w:t xml:space="preserve">. </w:t>
      </w:r>
      <w:r w:rsidR="001901F1">
        <w:rPr>
          <w:rFonts w:eastAsia="Calibri"/>
          <w:snapToGrid w:val="0"/>
          <w:sz w:val="22"/>
          <w:szCs w:val="22"/>
          <w:lang w:eastAsia="en-US"/>
        </w:rPr>
        <w:t>U veřejných zakázek zadávaných krajem je se způsobem vypořádání námitek vždy seznámen člen Rady</w:t>
      </w:r>
      <w:r w:rsidR="00AB63B8">
        <w:rPr>
          <w:rFonts w:eastAsia="Calibri"/>
          <w:snapToGrid w:val="0"/>
          <w:sz w:val="22"/>
          <w:szCs w:val="22"/>
          <w:lang w:eastAsia="en-US"/>
        </w:rPr>
        <w:t xml:space="preserve"> odpovědný za oblast, do které spadá veřejná zakázka</w:t>
      </w:r>
      <w:r w:rsidR="001901F1">
        <w:rPr>
          <w:rFonts w:eastAsia="Calibri"/>
          <w:snapToGrid w:val="0"/>
          <w:sz w:val="22"/>
          <w:szCs w:val="22"/>
          <w:lang w:eastAsia="en-US"/>
        </w:rPr>
        <w:t>.</w:t>
      </w:r>
    </w:p>
    <w:p w:rsidR="00F27E58" w:rsidRDefault="00F27E5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DA2BC8" w:rsidRPr="00924C0A" w:rsidRDefault="00DA2BC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70" w:name="_Toc399911842"/>
      <w:bookmarkStart w:id="71" w:name="_Toc403400658"/>
      <w:bookmarkStart w:id="72" w:name="_Toc453761103"/>
      <w:r w:rsidRPr="00DA2BC8">
        <w:rPr>
          <w:rFonts w:eastAsia="Calibri"/>
          <w:b/>
          <w:sz w:val="22"/>
          <w:szCs w:val="22"/>
        </w:rPr>
        <w:t xml:space="preserve">Čl. </w:t>
      </w:r>
      <w:bookmarkEnd w:id="70"/>
      <w:bookmarkEnd w:id="71"/>
      <w:bookmarkEnd w:id="72"/>
      <w:r w:rsidR="00FB0BB5">
        <w:rPr>
          <w:rFonts w:eastAsia="Calibri"/>
          <w:b/>
          <w:sz w:val="22"/>
          <w:szCs w:val="22"/>
        </w:rPr>
        <w:t>XXII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FE1BC4" w:rsidRDefault="00FE1BC4" w:rsidP="00D529D9">
      <w:pPr>
        <w:pStyle w:val="Nadpis2"/>
        <w:jc w:val="center"/>
        <w:rPr>
          <w:rFonts w:eastAsia="Calibri"/>
          <w:sz w:val="22"/>
          <w:szCs w:val="22"/>
        </w:rPr>
      </w:pPr>
      <w:bookmarkStart w:id="73" w:name="_Toc210984968"/>
      <w:r w:rsidRPr="00FE1BC4">
        <w:rPr>
          <w:rFonts w:eastAsia="Calibri"/>
          <w:sz w:val="22"/>
          <w:szCs w:val="22"/>
        </w:rPr>
        <w:t>Uchování dokumentace o zadávacím řízení</w:t>
      </w:r>
      <w:bookmarkEnd w:id="73"/>
    </w:p>
    <w:p w:rsidR="008240E5" w:rsidRPr="008240E5" w:rsidRDefault="008240E5" w:rsidP="00EF7495">
      <w:pPr>
        <w:widowControl w:val="0"/>
        <w:numPr>
          <w:ilvl w:val="0"/>
          <w:numId w:val="15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8240E5">
        <w:rPr>
          <w:rFonts w:eastAsia="Calibri"/>
          <w:snapToGrid w:val="0"/>
          <w:sz w:val="22"/>
          <w:szCs w:val="22"/>
          <w:lang w:eastAsia="en-US"/>
        </w:rPr>
        <w:t>Pověřený zaměstnanec zadavatele je povinen uchovávat dokumentaci o zadávacím řízení, kterou tvoří všechny dokumenty v listinné nebo elektronické podobě a výstupy z ústní komunikace, jejichž pořízení v</w:t>
      </w:r>
      <w:r w:rsidR="002D7D0B">
        <w:rPr>
          <w:rFonts w:eastAsia="Calibri"/>
          <w:snapToGrid w:val="0"/>
          <w:sz w:val="22"/>
          <w:szCs w:val="22"/>
          <w:lang w:eastAsia="en-US"/>
        </w:rPr>
        <w:t> </w:t>
      </w:r>
      <w:r w:rsidRPr="008240E5">
        <w:rPr>
          <w:rFonts w:eastAsia="Calibri"/>
          <w:snapToGrid w:val="0"/>
          <w:sz w:val="22"/>
          <w:szCs w:val="22"/>
          <w:lang w:eastAsia="en-US"/>
        </w:rPr>
        <w:t xml:space="preserve">průběhu zadávacího řízení, popřípadě po jeho ukončení, vyžaduje </w:t>
      </w:r>
      <w:r w:rsidR="003248BC">
        <w:rPr>
          <w:rFonts w:eastAsia="Calibri"/>
          <w:snapToGrid w:val="0"/>
          <w:sz w:val="22"/>
          <w:szCs w:val="22"/>
          <w:lang w:eastAsia="en-US"/>
        </w:rPr>
        <w:t>z</w:t>
      </w:r>
      <w:r w:rsidRPr="008240E5">
        <w:rPr>
          <w:rFonts w:eastAsia="Calibri"/>
          <w:snapToGrid w:val="0"/>
          <w:sz w:val="22"/>
          <w:szCs w:val="22"/>
          <w:lang w:eastAsia="en-US"/>
        </w:rPr>
        <w:t>ákon</w:t>
      </w:r>
      <w:r w:rsidR="003248BC">
        <w:rPr>
          <w:rFonts w:eastAsia="Calibri"/>
          <w:snapToGrid w:val="0"/>
          <w:sz w:val="22"/>
          <w:szCs w:val="22"/>
          <w:lang w:eastAsia="en-US"/>
        </w:rPr>
        <w:t xml:space="preserve"> nebo tato pravidla</w:t>
      </w:r>
      <w:r w:rsidRPr="008240E5">
        <w:rPr>
          <w:rFonts w:eastAsia="Calibri"/>
          <w:snapToGrid w:val="0"/>
          <w:sz w:val="22"/>
          <w:szCs w:val="22"/>
          <w:lang w:eastAsia="en-US"/>
        </w:rPr>
        <w:t xml:space="preserve">, včetně úplného znění originálů nabídek všech dodavatelů, a to po dobu 10 let ode dne ukončení zadávacího řízení nebo od </w:t>
      </w:r>
      <w:r w:rsidR="00691B7D">
        <w:rPr>
          <w:rFonts w:eastAsia="Calibri"/>
          <w:snapToGrid w:val="0"/>
          <w:sz w:val="22"/>
          <w:szCs w:val="22"/>
          <w:lang w:eastAsia="en-US"/>
        </w:rPr>
        <w:t xml:space="preserve">poslední </w:t>
      </w:r>
      <w:r w:rsidRPr="008240E5">
        <w:rPr>
          <w:rFonts w:eastAsia="Calibri"/>
          <w:snapToGrid w:val="0"/>
          <w:sz w:val="22"/>
          <w:szCs w:val="22"/>
          <w:lang w:eastAsia="en-US"/>
        </w:rPr>
        <w:t xml:space="preserve">změny závazku ze smlouvy na veřejnou zakázku, nestanoví-li </w:t>
      </w:r>
      <w:r>
        <w:rPr>
          <w:rFonts w:eastAsia="Calibri"/>
          <w:snapToGrid w:val="0"/>
          <w:sz w:val="22"/>
          <w:szCs w:val="22"/>
          <w:lang w:eastAsia="en-US"/>
        </w:rPr>
        <w:t xml:space="preserve">jiný </w:t>
      </w:r>
      <w:r w:rsidRPr="008240E5">
        <w:rPr>
          <w:sz w:val="22"/>
          <w:szCs w:val="22"/>
        </w:rPr>
        <w:t>právní předpis lhůtu delší.</w:t>
      </w:r>
    </w:p>
    <w:p w:rsidR="00F27E58" w:rsidRDefault="00F27E58" w:rsidP="00EF7495">
      <w:pPr>
        <w:widowControl w:val="0"/>
        <w:numPr>
          <w:ilvl w:val="0"/>
          <w:numId w:val="15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8240E5">
        <w:rPr>
          <w:rFonts w:eastAsia="Calibri"/>
          <w:snapToGrid w:val="0"/>
          <w:sz w:val="22"/>
          <w:szCs w:val="22"/>
          <w:lang w:eastAsia="en-US"/>
        </w:rPr>
        <w:t>Pokud je veřejná zakázka hrazena z externích dotačních titulů (např. fondy EU), je pověřený zaměstnanec zadavatele povinen uchovávat dokumentaci o veřejné zakázce po dobu stanovenou v pokynech pro daný dotační titul.</w:t>
      </w:r>
    </w:p>
    <w:p w:rsidR="008240E5" w:rsidRDefault="006D7565" w:rsidP="00EF7495">
      <w:pPr>
        <w:widowControl w:val="0"/>
        <w:numPr>
          <w:ilvl w:val="0"/>
          <w:numId w:val="15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6D7565">
        <w:rPr>
          <w:rFonts w:eastAsia="Calibri"/>
          <w:snapToGrid w:val="0"/>
          <w:sz w:val="22"/>
          <w:szCs w:val="22"/>
          <w:lang w:eastAsia="en-US"/>
        </w:rPr>
        <w:t xml:space="preserve">Pověřený zaměstnanec zadavatele je povinen </w:t>
      </w:r>
      <w:r w:rsidR="008240E5" w:rsidRPr="006D7565">
        <w:rPr>
          <w:rFonts w:eastAsia="Calibri"/>
          <w:snapToGrid w:val="0"/>
          <w:sz w:val="22"/>
          <w:szCs w:val="22"/>
          <w:lang w:eastAsia="en-US"/>
        </w:rPr>
        <w:t xml:space="preserve">pořizovat dokumentaci o zadávacím řízení takovým způsobem, aby byl schopen v případě potřeby doložit dokumentaci k aktuální fázi zadávacího řízení. </w:t>
      </w:r>
    </w:p>
    <w:p w:rsidR="00446DD8" w:rsidRPr="006D7565" w:rsidRDefault="00446DD8" w:rsidP="00EF7495">
      <w:pPr>
        <w:widowControl w:val="0"/>
        <w:numPr>
          <w:ilvl w:val="0"/>
          <w:numId w:val="15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>Dokumentace musí být také uchovávána způsobem a v souladu s platným a účinným spisovým a</w:t>
      </w:r>
      <w:r w:rsidR="002C4350">
        <w:rPr>
          <w:rFonts w:eastAsia="Calibri"/>
          <w:snapToGrid w:val="0"/>
          <w:sz w:val="22"/>
          <w:szCs w:val="22"/>
          <w:lang w:eastAsia="en-US"/>
        </w:rPr>
        <w:t> </w:t>
      </w:r>
      <w:r>
        <w:rPr>
          <w:rFonts w:eastAsia="Calibri"/>
          <w:snapToGrid w:val="0"/>
          <w:sz w:val="22"/>
          <w:szCs w:val="22"/>
          <w:lang w:eastAsia="en-US"/>
        </w:rPr>
        <w:t>skartačním řádem zadavatele.</w:t>
      </w:r>
    </w:p>
    <w:p w:rsidR="008240E5" w:rsidRDefault="008240E5" w:rsidP="00F61ED2">
      <w:pPr>
        <w:rPr>
          <w:sz w:val="22"/>
          <w:szCs w:val="22"/>
        </w:rPr>
      </w:pPr>
    </w:p>
    <w:p w:rsidR="00DA2BC8" w:rsidRPr="00F61ED2" w:rsidRDefault="00DA2BC8" w:rsidP="00F61ED2">
      <w:pPr>
        <w:rPr>
          <w:sz w:val="22"/>
          <w:szCs w:val="22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bookmarkStart w:id="74" w:name="_Toc399911844"/>
      <w:bookmarkStart w:id="75" w:name="_Toc403400660"/>
      <w:bookmarkStart w:id="76" w:name="_Toc453761105"/>
      <w:r w:rsidRPr="00DA2BC8">
        <w:rPr>
          <w:rFonts w:eastAsia="Calibri"/>
          <w:b/>
          <w:sz w:val="22"/>
          <w:szCs w:val="22"/>
        </w:rPr>
        <w:t>Čl. XX</w:t>
      </w:r>
      <w:bookmarkEnd w:id="74"/>
      <w:bookmarkEnd w:id="75"/>
      <w:bookmarkEnd w:id="76"/>
      <w:r w:rsidR="00773453" w:rsidRPr="00DA2BC8">
        <w:rPr>
          <w:rFonts w:eastAsia="Calibri"/>
          <w:b/>
          <w:sz w:val="22"/>
          <w:szCs w:val="22"/>
        </w:rPr>
        <w:t>I</w:t>
      </w:r>
      <w:r w:rsidR="00AF33FA" w:rsidRPr="00DA2BC8">
        <w:rPr>
          <w:rFonts w:eastAsia="Calibri"/>
          <w:b/>
          <w:sz w:val="22"/>
          <w:szCs w:val="22"/>
        </w:rPr>
        <w:t>I</w:t>
      </w:r>
      <w:r w:rsidR="00FB0BB5">
        <w:rPr>
          <w:rFonts w:eastAsia="Calibri"/>
          <w:b/>
          <w:sz w:val="22"/>
          <w:szCs w:val="22"/>
        </w:rPr>
        <w:t>I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E54D93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77" w:name="_Toc210984969"/>
      <w:r w:rsidRPr="00E54D93">
        <w:rPr>
          <w:rFonts w:eastAsia="Calibri"/>
          <w:sz w:val="22"/>
          <w:szCs w:val="22"/>
        </w:rPr>
        <w:t>Vnitřní kontrola veřejných zakázek zadávaných krajem</w:t>
      </w:r>
      <w:r w:rsidR="00A42395" w:rsidRPr="00E54D93">
        <w:rPr>
          <w:rFonts w:eastAsia="Calibri"/>
          <w:sz w:val="22"/>
          <w:szCs w:val="22"/>
        </w:rPr>
        <w:t xml:space="preserve"> a </w:t>
      </w:r>
      <w:r w:rsidRPr="00E54D93">
        <w:rPr>
          <w:rFonts w:eastAsia="Calibri"/>
          <w:sz w:val="22"/>
          <w:szCs w:val="22"/>
        </w:rPr>
        <w:t>financov</w:t>
      </w:r>
      <w:r w:rsidR="00A42395" w:rsidRPr="00E54D93">
        <w:rPr>
          <w:rFonts w:eastAsia="Calibri"/>
          <w:sz w:val="22"/>
          <w:szCs w:val="22"/>
        </w:rPr>
        <w:t>aných</w:t>
      </w:r>
      <w:r w:rsidRPr="00E54D93">
        <w:rPr>
          <w:rFonts w:eastAsia="Calibri"/>
          <w:sz w:val="22"/>
          <w:szCs w:val="22"/>
        </w:rPr>
        <w:t xml:space="preserve"> z</w:t>
      </w:r>
      <w:r w:rsidR="00F945A6" w:rsidRPr="00E54D93">
        <w:rPr>
          <w:rFonts w:eastAsia="Calibri"/>
          <w:sz w:val="22"/>
          <w:szCs w:val="22"/>
        </w:rPr>
        <w:t> </w:t>
      </w:r>
      <w:r w:rsidRPr="00E54D93">
        <w:rPr>
          <w:rFonts w:eastAsia="Calibri"/>
          <w:sz w:val="22"/>
          <w:szCs w:val="22"/>
        </w:rPr>
        <w:t>dotačních</w:t>
      </w:r>
      <w:r w:rsidR="00F945A6" w:rsidRPr="00E54D93">
        <w:rPr>
          <w:rFonts w:eastAsia="Calibri"/>
          <w:sz w:val="22"/>
          <w:szCs w:val="22"/>
        </w:rPr>
        <w:t xml:space="preserve"> </w:t>
      </w:r>
      <w:r w:rsidRPr="00E54D93">
        <w:rPr>
          <w:rFonts w:eastAsia="Calibri"/>
          <w:sz w:val="22"/>
          <w:szCs w:val="22"/>
        </w:rPr>
        <w:t>prostředků</w:t>
      </w:r>
      <w:bookmarkEnd w:id="77"/>
    </w:p>
    <w:p w:rsidR="00F27E58" w:rsidRPr="00A36875" w:rsidRDefault="00F27E58" w:rsidP="00292DC6">
      <w:pPr>
        <w:numPr>
          <w:ilvl w:val="0"/>
          <w:numId w:val="10"/>
        </w:numPr>
        <w:spacing w:before="240"/>
        <w:jc w:val="both"/>
        <w:rPr>
          <w:bCs/>
          <w:sz w:val="22"/>
          <w:szCs w:val="22"/>
        </w:rPr>
      </w:pPr>
      <w:r w:rsidRPr="00E54D93">
        <w:rPr>
          <w:bCs/>
          <w:sz w:val="22"/>
          <w:szCs w:val="22"/>
        </w:rPr>
        <w:t>V případě, že zadavatelem je kraj a zakázka bude financována z dotačních prostředků (tj. finanční podpory poskytované externím subjektem), bude probíhat v průběhu procesu zadávacího řízení vnitřní kontrola. Vnitřní kontrola bude vedena z </w:t>
      </w:r>
      <w:r w:rsidRPr="00A36875">
        <w:rPr>
          <w:bCs/>
          <w:sz w:val="22"/>
          <w:szCs w:val="22"/>
        </w:rPr>
        <w:t xml:space="preserve">úrovně </w:t>
      </w:r>
      <w:r w:rsidR="00773453" w:rsidRPr="00A36875">
        <w:rPr>
          <w:bCs/>
          <w:sz w:val="22"/>
          <w:szCs w:val="22"/>
        </w:rPr>
        <w:t>vedoucího odboru, jenž byl zpracovatelem žádosti o</w:t>
      </w:r>
      <w:r w:rsidR="002C4350">
        <w:rPr>
          <w:bCs/>
          <w:sz w:val="22"/>
          <w:szCs w:val="22"/>
        </w:rPr>
        <w:t> </w:t>
      </w:r>
      <w:r w:rsidR="00773453" w:rsidRPr="00A36875">
        <w:rPr>
          <w:bCs/>
          <w:sz w:val="22"/>
          <w:szCs w:val="22"/>
        </w:rPr>
        <w:t>dotaci</w:t>
      </w:r>
      <w:r w:rsidRPr="00A36875">
        <w:rPr>
          <w:bCs/>
          <w:sz w:val="22"/>
          <w:szCs w:val="22"/>
        </w:rPr>
        <w:t>.</w:t>
      </w:r>
    </w:p>
    <w:p w:rsidR="00F27E58" w:rsidRPr="00E54D93" w:rsidRDefault="00F27E58" w:rsidP="00292DC6">
      <w:pPr>
        <w:numPr>
          <w:ilvl w:val="0"/>
          <w:numId w:val="10"/>
        </w:numPr>
        <w:spacing w:before="240"/>
        <w:jc w:val="both"/>
        <w:rPr>
          <w:bCs/>
          <w:sz w:val="22"/>
          <w:szCs w:val="22"/>
        </w:rPr>
      </w:pPr>
      <w:r w:rsidRPr="00A36875">
        <w:rPr>
          <w:bCs/>
          <w:sz w:val="22"/>
          <w:szCs w:val="22"/>
        </w:rPr>
        <w:t>Výše uvedená kontrola bude zaměřena na</w:t>
      </w:r>
      <w:r w:rsidRPr="00E54D93">
        <w:rPr>
          <w:bCs/>
          <w:sz w:val="22"/>
          <w:szCs w:val="22"/>
        </w:rPr>
        <w:t xml:space="preserve"> soulad zadávacího procesu s pokyny pro čerpání dotace. V rámci této kontroly bude mj. kontrolováno:</w:t>
      </w:r>
    </w:p>
    <w:p w:rsidR="00F27E58" w:rsidRPr="00E54D93" w:rsidRDefault="00F27E58" w:rsidP="00292DC6">
      <w:pPr>
        <w:widowControl w:val="0"/>
        <w:numPr>
          <w:ilvl w:val="1"/>
          <w:numId w:val="10"/>
        </w:numPr>
        <w:spacing w:before="120"/>
        <w:ind w:left="681" w:hanging="284"/>
        <w:jc w:val="both"/>
        <w:rPr>
          <w:bCs/>
          <w:sz w:val="22"/>
          <w:szCs w:val="22"/>
        </w:rPr>
      </w:pPr>
      <w:r w:rsidRPr="00E54D93">
        <w:rPr>
          <w:bCs/>
          <w:sz w:val="22"/>
          <w:szCs w:val="22"/>
        </w:rPr>
        <w:t xml:space="preserve">zadávací dokumentace (specifikace způsobu vymezení předmětu plnění zakázky, požadavky na </w:t>
      </w:r>
      <w:r w:rsidR="005A2A2E">
        <w:rPr>
          <w:bCs/>
          <w:sz w:val="22"/>
          <w:szCs w:val="22"/>
        </w:rPr>
        <w:t xml:space="preserve">způsobilost a </w:t>
      </w:r>
      <w:r w:rsidRPr="00E54D93">
        <w:rPr>
          <w:bCs/>
          <w:sz w:val="22"/>
          <w:szCs w:val="22"/>
        </w:rPr>
        <w:t>kvalifikaci, způsob a kritéria hodnocení nabídek, platební podmínky, lhůty apod.),</w:t>
      </w:r>
    </w:p>
    <w:p w:rsidR="00F27E58" w:rsidRPr="00E54D93" w:rsidRDefault="00F27E58" w:rsidP="00292DC6">
      <w:pPr>
        <w:widowControl w:val="0"/>
        <w:numPr>
          <w:ilvl w:val="1"/>
          <w:numId w:val="10"/>
        </w:numPr>
        <w:spacing w:before="120"/>
        <w:ind w:left="681" w:hanging="284"/>
        <w:jc w:val="both"/>
        <w:rPr>
          <w:bCs/>
          <w:sz w:val="22"/>
          <w:szCs w:val="22"/>
        </w:rPr>
      </w:pPr>
      <w:r w:rsidRPr="00E54D93">
        <w:rPr>
          <w:bCs/>
          <w:sz w:val="22"/>
          <w:szCs w:val="22"/>
        </w:rPr>
        <w:t xml:space="preserve">průběh otevírání </w:t>
      </w:r>
      <w:r w:rsidR="00691B7D">
        <w:rPr>
          <w:bCs/>
          <w:sz w:val="22"/>
          <w:szCs w:val="22"/>
        </w:rPr>
        <w:t>nabídek</w:t>
      </w:r>
      <w:r w:rsidRPr="00E54D93">
        <w:rPr>
          <w:bCs/>
          <w:sz w:val="22"/>
          <w:szCs w:val="22"/>
        </w:rPr>
        <w:t xml:space="preserve"> a hodnocení nabídek,</w:t>
      </w:r>
    </w:p>
    <w:p w:rsidR="00F27E58" w:rsidRPr="00E54D93" w:rsidRDefault="00F27E58" w:rsidP="00292DC6">
      <w:pPr>
        <w:widowControl w:val="0"/>
        <w:numPr>
          <w:ilvl w:val="1"/>
          <w:numId w:val="10"/>
        </w:numPr>
        <w:spacing w:before="120"/>
        <w:ind w:left="681" w:hanging="284"/>
        <w:jc w:val="both"/>
        <w:rPr>
          <w:bCs/>
          <w:sz w:val="22"/>
          <w:szCs w:val="22"/>
        </w:rPr>
      </w:pPr>
      <w:r w:rsidRPr="00E54D93">
        <w:rPr>
          <w:bCs/>
          <w:sz w:val="22"/>
          <w:szCs w:val="22"/>
        </w:rPr>
        <w:t xml:space="preserve">uzavření smlouvy s vybraným </w:t>
      </w:r>
      <w:r w:rsidR="005A2A2E">
        <w:rPr>
          <w:bCs/>
          <w:sz w:val="22"/>
          <w:szCs w:val="22"/>
        </w:rPr>
        <w:t>dodavatelem</w:t>
      </w:r>
      <w:r w:rsidRPr="00E54D93">
        <w:rPr>
          <w:bCs/>
          <w:sz w:val="22"/>
          <w:szCs w:val="22"/>
        </w:rPr>
        <w:t>,</w:t>
      </w:r>
    </w:p>
    <w:p w:rsidR="00F27E58" w:rsidRPr="00E54D93" w:rsidRDefault="00F27E58" w:rsidP="00292DC6">
      <w:pPr>
        <w:widowControl w:val="0"/>
        <w:numPr>
          <w:ilvl w:val="1"/>
          <w:numId w:val="10"/>
        </w:numPr>
        <w:spacing w:before="120"/>
        <w:ind w:left="681" w:hanging="284"/>
        <w:jc w:val="both"/>
        <w:rPr>
          <w:bCs/>
          <w:sz w:val="22"/>
          <w:szCs w:val="22"/>
        </w:rPr>
      </w:pPr>
      <w:r w:rsidRPr="00E54D93">
        <w:rPr>
          <w:bCs/>
          <w:sz w:val="22"/>
          <w:szCs w:val="22"/>
        </w:rPr>
        <w:t>dokumentace o průběhu zadávacího řízení.</w:t>
      </w:r>
    </w:p>
    <w:p w:rsidR="00F27E58" w:rsidRDefault="00F27E58" w:rsidP="00F27E58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</w:p>
    <w:p w:rsidR="008C1F7A" w:rsidRPr="00924C0A" w:rsidRDefault="008C1F7A" w:rsidP="00F27E58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</w:p>
    <w:p w:rsidR="004B4010" w:rsidRPr="00DA2BC8" w:rsidRDefault="004B4010" w:rsidP="004B4010">
      <w:pPr>
        <w:jc w:val="center"/>
        <w:rPr>
          <w:rFonts w:eastAsia="Calibri"/>
          <w:b/>
          <w:sz w:val="22"/>
          <w:szCs w:val="22"/>
        </w:rPr>
      </w:pPr>
      <w:bookmarkStart w:id="78" w:name="_Toc399911846"/>
      <w:bookmarkStart w:id="79" w:name="_Toc403400662"/>
      <w:bookmarkStart w:id="80" w:name="_Toc453761107"/>
      <w:r w:rsidRPr="00DA2BC8">
        <w:rPr>
          <w:rFonts w:eastAsia="Calibri"/>
          <w:b/>
          <w:sz w:val="22"/>
          <w:szCs w:val="22"/>
        </w:rPr>
        <w:t xml:space="preserve">Čl. </w:t>
      </w:r>
      <w:r w:rsidR="00FB0BB5" w:rsidRPr="00DA2BC8">
        <w:rPr>
          <w:rFonts w:eastAsia="Calibri"/>
          <w:b/>
          <w:sz w:val="22"/>
          <w:szCs w:val="22"/>
        </w:rPr>
        <w:t>XX</w:t>
      </w:r>
      <w:r w:rsidR="00FB0BB5">
        <w:rPr>
          <w:rFonts w:eastAsia="Calibri"/>
          <w:b/>
          <w:sz w:val="22"/>
          <w:szCs w:val="22"/>
        </w:rPr>
        <w:t>IV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4B4010" w:rsidRPr="00F712F9" w:rsidRDefault="004B4010" w:rsidP="004B4010">
      <w:pPr>
        <w:pStyle w:val="Nadpis2"/>
        <w:jc w:val="center"/>
        <w:rPr>
          <w:rFonts w:eastAsia="Calibri"/>
          <w:sz w:val="22"/>
          <w:szCs w:val="22"/>
        </w:rPr>
      </w:pPr>
      <w:bookmarkStart w:id="81" w:name="_Toc516572662"/>
      <w:bookmarkStart w:id="82" w:name="_Toc210984970"/>
      <w:r w:rsidRPr="00F712F9">
        <w:rPr>
          <w:rFonts w:eastAsia="Calibri"/>
          <w:sz w:val="22"/>
          <w:szCs w:val="22"/>
        </w:rPr>
        <w:t>Externí administrátor</w:t>
      </w:r>
      <w:bookmarkEnd w:id="81"/>
      <w:bookmarkEnd w:id="82"/>
    </w:p>
    <w:p w:rsidR="004B4010" w:rsidRPr="00F712F9" w:rsidRDefault="004B4010" w:rsidP="00EF7495">
      <w:pPr>
        <w:numPr>
          <w:ilvl w:val="0"/>
          <w:numId w:val="2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bCs/>
          <w:sz w:val="22"/>
          <w:szCs w:val="22"/>
        </w:rPr>
        <w:t>Zadavatel může přípravou zadávacího řízení pověřit externí subjekt</w:t>
      </w:r>
      <w:r w:rsidR="00131A4A" w:rsidRPr="00F712F9">
        <w:rPr>
          <w:bCs/>
          <w:sz w:val="22"/>
          <w:szCs w:val="22"/>
        </w:rPr>
        <w:t>, po předchozím schválení radou</w:t>
      </w:r>
      <w:r w:rsidRPr="00F712F9">
        <w:rPr>
          <w:bCs/>
          <w:sz w:val="22"/>
          <w:szCs w:val="22"/>
        </w:rPr>
        <w:t xml:space="preserve">. </w:t>
      </w:r>
    </w:p>
    <w:p w:rsidR="004B4010" w:rsidRDefault="00F712F9" w:rsidP="00EF7495">
      <w:pPr>
        <w:widowControl w:val="0"/>
        <w:numPr>
          <w:ilvl w:val="0"/>
          <w:numId w:val="2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bCs/>
          <w:sz w:val="22"/>
          <w:szCs w:val="22"/>
        </w:rPr>
        <w:t xml:space="preserve">Pokud </w:t>
      </w:r>
      <w:r w:rsidR="004B4010" w:rsidRPr="00F712F9">
        <w:rPr>
          <w:rFonts w:eastAsia="Calibri"/>
          <w:snapToGrid w:val="0"/>
          <w:sz w:val="22"/>
          <w:szCs w:val="22"/>
          <w:lang w:eastAsia="en-US"/>
        </w:rPr>
        <w:t xml:space="preserve">je průběh zadávacího řízení zajišťován externím subjektem za úhradu, je hrazen u zakázek kraje </w:t>
      </w:r>
      <w:r w:rsidR="004B4010" w:rsidRPr="00F712F9">
        <w:rPr>
          <w:rFonts w:eastAsia="Calibri"/>
          <w:snapToGrid w:val="0"/>
          <w:sz w:val="22"/>
          <w:szCs w:val="22"/>
          <w:lang w:eastAsia="en-US"/>
        </w:rPr>
        <w:lastRenderedPageBreak/>
        <w:t>z</w:t>
      </w:r>
      <w:r w:rsidR="00E778B9">
        <w:rPr>
          <w:rFonts w:eastAsia="Calibri"/>
          <w:snapToGrid w:val="0"/>
          <w:sz w:val="22"/>
          <w:szCs w:val="22"/>
          <w:lang w:eastAsia="en-US"/>
        </w:rPr>
        <w:t> </w:t>
      </w:r>
      <w:r w:rsidR="004B4010" w:rsidRPr="00F712F9">
        <w:rPr>
          <w:rFonts w:eastAsia="Calibri"/>
          <w:snapToGrid w:val="0"/>
          <w:sz w:val="22"/>
          <w:szCs w:val="22"/>
          <w:lang w:eastAsia="en-US"/>
        </w:rPr>
        <w:t>prostředků schválených rozpočtem na přípravu nebo na realizaci veřejné zakázky.</w:t>
      </w:r>
      <w:r>
        <w:rPr>
          <w:rFonts w:eastAsia="Calibri"/>
          <w:snapToGrid w:val="0"/>
          <w:sz w:val="22"/>
          <w:szCs w:val="22"/>
          <w:lang w:eastAsia="en-US"/>
        </w:rPr>
        <w:t xml:space="preserve"> </w:t>
      </w:r>
    </w:p>
    <w:p w:rsidR="004B4010" w:rsidRPr="00F712F9" w:rsidRDefault="00F712F9" w:rsidP="00EF7495">
      <w:pPr>
        <w:widowControl w:val="0"/>
        <w:numPr>
          <w:ilvl w:val="0"/>
          <w:numId w:val="2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rFonts w:eastAsia="Calibri"/>
          <w:snapToGrid w:val="0"/>
          <w:sz w:val="22"/>
          <w:szCs w:val="22"/>
          <w:lang w:eastAsia="en-US"/>
        </w:rPr>
        <w:t xml:space="preserve">Externí </w:t>
      </w:r>
      <w:r w:rsidR="004B4010" w:rsidRPr="00F712F9">
        <w:rPr>
          <w:rFonts w:eastAsia="Calibri"/>
          <w:snapToGrid w:val="0"/>
          <w:sz w:val="22"/>
          <w:szCs w:val="22"/>
          <w:lang w:eastAsia="en-US"/>
        </w:rPr>
        <w:t xml:space="preserve">subjekt může provádět administraci veřejné zakázky pouze na základě příkazní smlouvy. </w:t>
      </w:r>
      <w:r w:rsidR="00FA21E4" w:rsidRPr="00FA21E4">
        <w:rPr>
          <w:rFonts w:eastAsia="Calibri"/>
          <w:snapToGrid w:val="0"/>
          <w:sz w:val="22"/>
          <w:szCs w:val="22"/>
          <w:lang w:eastAsia="en-US"/>
        </w:rPr>
        <w:t>V textu příkazní smlouvy bude vždy zakotvena odpovědnost externího administrátora za škody související s</w:t>
      </w:r>
      <w:r w:rsidR="002C4350">
        <w:rPr>
          <w:rFonts w:eastAsia="Calibri"/>
          <w:snapToGrid w:val="0"/>
          <w:sz w:val="22"/>
          <w:szCs w:val="22"/>
          <w:lang w:eastAsia="en-US"/>
        </w:rPr>
        <w:t> </w:t>
      </w:r>
      <w:r w:rsidR="00FA21E4" w:rsidRPr="00FA21E4">
        <w:rPr>
          <w:rFonts w:eastAsia="Calibri"/>
          <w:snapToGrid w:val="0"/>
          <w:sz w:val="22"/>
          <w:szCs w:val="22"/>
          <w:lang w:eastAsia="en-US"/>
        </w:rPr>
        <w:t>administrací veřejné zakázky, včetně jaký</w:t>
      </w:r>
      <w:r w:rsidR="00D65B3A">
        <w:rPr>
          <w:rFonts w:eastAsia="Calibri"/>
          <w:snapToGrid w:val="0"/>
          <w:sz w:val="22"/>
          <w:szCs w:val="22"/>
          <w:lang w:eastAsia="en-US"/>
        </w:rPr>
        <w:t>c</w:t>
      </w:r>
      <w:r w:rsidR="00FA21E4" w:rsidRPr="00FA21E4">
        <w:rPr>
          <w:rFonts w:eastAsia="Calibri"/>
          <w:snapToGrid w:val="0"/>
          <w:sz w:val="22"/>
          <w:szCs w:val="22"/>
          <w:lang w:eastAsia="en-US"/>
        </w:rPr>
        <w:t>hkoli finančních postihů vyměřených kterýmkoli kontrolním orgánem</w:t>
      </w:r>
      <w:r w:rsidR="00D65B3A">
        <w:rPr>
          <w:rFonts w:eastAsia="Calibri"/>
          <w:snapToGrid w:val="0"/>
          <w:sz w:val="22"/>
          <w:szCs w:val="22"/>
          <w:lang w:eastAsia="en-US"/>
        </w:rPr>
        <w:t>,</w:t>
      </w:r>
      <w:r w:rsidR="00FA21E4" w:rsidRPr="00FA21E4">
        <w:rPr>
          <w:rFonts w:eastAsia="Calibri"/>
          <w:snapToGrid w:val="0"/>
          <w:sz w:val="22"/>
          <w:szCs w:val="22"/>
          <w:lang w:eastAsia="en-US"/>
        </w:rPr>
        <w:t xml:space="preserve"> a povinnost externího administrátora zajistit si pojištění vztahující se na tato rizika</w:t>
      </w:r>
      <w:r w:rsidR="00D65B3A">
        <w:rPr>
          <w:rFonts w:eastAsia="Calibri"/>
          <w:snapToGrid w:val="0"/>
          <w:sz w:val="22"/>
          <w:szCs w:val="22"/>
          <w:lang w:eastAsia="en-US"/>
        </w:rPr>
        <w:t>.</w:t>
      </w:r>
    </w:p>
    <w:p w:rsidR="00773453" w:rsidRPr="00DA2BC8" w:rsidRDefault="00773453" w:rsidP="00DA2BC8">
      <w:pPr>
        <w:rPr>
          <w:rFonts w:eastAsia="Calibri"/>
          <w:sz w:val="22"/>
          <w:szCs w:val="22"/>
        </w:rPr>
      </w:pPr>
    </w:p>
    <w:p w:rsidR="00773453" w:rsidRPr="00DA2BC8" w:rsidRDefault="00773453" w:rsidP="00DA2BC8">
      <w:pPr>
        <w:rPr>
          <w:rFonts w:eastAsia="Calibri"/>
          <w:sz w:val="22"/>
          <w:szCs w:val="22"/>
        </w:rPr>
      </w:pPr>
    </w:p>
    <w:p w:rsidR="00F27E58" w:rsidRPr="00DA2BC8" w:rsidRDefault="00F27E58" w:rsidP="0026457D">
      <w:pPr>
        <w:jc w:val="center"/>
        <w:rPr>
          <w:rFonts w:eastAsia="Calibri"/>
          <w:b/>
          <w:sz w:val="22"/>
          <w:szCs w:val="22"/>
        </w:rPr>
      </w:pPr>
      <w:r w:rsidRPr="00DA2BC8">
        <w:rPr>
          <w:rFonts w:eastAsia="Calibri"/>
          <w:b/>
          <w:sz w:val="22"/>
          <w:szCs w:val="22"/>
        </w:rPr>
        <w:t xml:space="preserve">Čl. </w:t>
      </w:r>
      <w:bookmarkEnd w:id="78"/>
      <w:bookmarkEnd w:id="79"/>
      <w:bookmarkEnd w:id="80"/>
      <w:r w:rsidR="00AF33FA" w:rsidRPr="00DA2BC8">
        <w:rPr>
          <w:rFonts w:eastAsia="Calibri"/>
          <w:b/>
          <w:sz w:val="22"/>
          <w:szCs w:val="22"/>
        </w:rPr>
        <w:t>XXV</w:t>
      </w:r>
      <w:r w:rsidR="00D65B3A" w:rsidRPr="00DA2BC8">
        <w:rPr>
          <w:rFonts w:eastAsia="Calibri"/>
          <w:b/>
          <w:sz w:val="22"/>
          <w:szCs w:val="22"/>
        </w:rPr>
        <w:t>.</w:t>
      </w:r>
    </w:p>
    <w:p w:rsidR="00F27E58" w:rsidRPr="00F712F9" w:rsidRDefault="00F27E58" w:rsidP="00F303EF">
      <w:pPr>
        <w:pStyle w:val="Nadpis2"/>
        <w:jc w:val="center"/>
        <w:rPr>
          <w:rFonts w:eastAsia="Calibri"/>
          <w:sz w:val="22"/>
          <w:szCs w:val="22"/>
        </w:rPr>
      </w:pPr>
      <w:bookmarkStart w:id="83" w:name="_Toc210984971"/>
      <w:r w:rsidRPr="00F712F9">
        <w:rPr>
          <w:rFonts w:eastAsia="Calibri"/>
          <w:sz w:val="22"/>
          <w:szCs w:val="22"/>
        </w:rPr>
        <w:t>Přechodná a závěrečná ustanovení</w:t>
      </w:r>
      <w:bookmarkEnd w:id="83"/>
    </w:p>
    <w:p w:rsidR="00F27E58" w:rsidRPr="00F712F9" w:rsidRDefault="00F27E58" w:rsidP="00DA2BC8">
      <w:pPr>
        <w:widowControl w:val="0"/>
        <w:numPr>
          <w:ilvl w:val="0"/>
          <w:numId w:val="1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rFonts w:eastAsia="Calibri"/>
          <w:sz w:val="22"/>
          <w:szCs w:val="22"/>
          <w:lang w:eastAsia="en-US"/>
        </w:rPr>
        <w:t>Tímto předpisem se</w:t>
      </w:r>
      <w:r w:rsidR="00BC2A4B" w:rsidRPr="00F712F9">
        <w:rPr>
          <w:rFonts w:eastAsia="Calibri"/>
          <w:sz w:val="22"/>
          <w:szCs w:val="22"/>
          <w:lang w:eastAsia="en-US"/>
        </w:rPr>
        <w:t xml:space="preserve"> zrušuje a</w:t>
      </w:r>
      <w:r w:rsidR="006C22D6" w:rsidRPr="00F712F9">
        <w:rPr>
          <w:rFonts w:eastAsia="Calibri"/>
          <w:sz w:val="22"/>
          <w:szCs w:val="22"/>
          <w:lang w:eastAsia="en-US"/>
        </w:rPr>
        <w:t xml:space="preserve"> plně nahrazuje</w:t>
      </w:r>
      <w:r w:rsidRPr="00F712F9">
        <w:rPr>
          <w:rFonts w:eastAsia="Calibri"/>
          <w:sz w:val="22"/>
          <w:szCs w:val="22"/>
          <w:lang w:eastAsia="en-US"/>
        </w:rPr>
        <w:t xml:space="preserve"> předpis rady č. PR </w:t>
      </w:r>
      <w:r w:rsidR="007727D8">
        <w:rPr>
          <w:rFonts w:eastAsia="Calibri"/>
          <w:sz w:val="22"/>
          <w:szCs w:val="22"/>
          <w:lang w:eastAsia="en-US"/>
        </w:rPr>
        <w:t>02</w:t>
      </w:r>
      <w:r w:rsidR="004B4010" w:rsidRPr="00F712F9">
        <w:rPr>
          <w:rFonts w:eastAsia="Calibri"/>
          <w:sz w:val="22"/>
          <w:szCs w:val="22"/>
          <w:lang w:eastAsia="en-US"/>
        </w:rPr>
        <w:t>/20</w:t>
      </w:r>
      <w:r w:rsidR="007727D8">
        <w:rPr>
          <w:rFonts w:eastAsia="Calibri"/>
          <w:sz w:val="22"/>
          <w:szCs w:val="22"/>
          <w:lang w:eastAsia="en-US"/>
        </w:rPr>
        <w:t>22</w:t>
      </w:r>
      <w:r w:rsidR="006C22D6" w:rsidRPr="00F712F9">
        <w:rPr>
          <w:rFonts w:eastAsia="Calibri"/>
          <w:sz w:val="22"/>
          <w:szCs w:val="22"/>
          <w:lang w:eastAsia="en-US"/>
        </w:rPr>
        <w:t>.</w:t>
      </w:r>
    </w:p>
    <w:p w:rsidR="00F27E58" w:rsidRPr="00F712F9" w:rsidRDefault="00F27E58" w:rsidP="00DA2BC8">
      <w:pPr>
        <w:widowControl w:val="0"/>
        <w:numPr>
          <w:ilvl w:val="0"/>
          <w:numId w:val="1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rFonts w:eastAsia="Calibri"/>
          <w:snapToGrid w:val="0"/>
          <w:sz w:val="22"/>
          <w:szCs w:val="22"/>
          <w:lang w:eastAsia="en-US"/>
        </w:rPr>
        <w:t xml:space="preserve">Tato pravidla byla schválena usnesením rady č. </w:t>
      </w:r>
      <w:r w:rsidR="00A83C5E" w:rsidRPr="00F712F9">
        <w:rPr>
          <w:sz w:val="22"/>
          <w:szCs w:val="22"/>
        </w:rPr>
        <w:t>RK</w:t>
      </w:r>
      <w:r w:rsidR="009A17B0">
        <w:rPr>
          <w:sz w:val="22"/>
          <w:szCs w:val="22"/>
        </w:rPr>
        <w:t xml:space="preserve"> </w:t>
      </w:r>
      <w:r w:rsidR="000447C6" w:rsidRPr="000447C6">
        <w:rPr>
          <w:sz w:val="22"/>
          <w:szCs w:val="22"/>
        </w:rPr>
        <w:t>1246/10/25</w:t>
      </w:r>
      <w:r w:rsidR="000447C6">
        <w:rPr>
          <w:sz w:val="22"/>
          <w:szCs w:val="22"/>
        </w:rPr>
        <w:t xml:space="preserve"> </w:t>
      </w:r>
      <w:r w:rsidR="00A83C5E" w:rsidRPr="00F712F9">
        <w:rPr>
          <w:sz w:val="22"/>
          <w:szCs w:val="22"/>
        </w:rPr>
        <w:t>ze dne</w:t>
      </w:r>
      <w:r w:rsidR="009A17B0">
        <w:rPr>
          <w:sz w:val="22"/>
          <w:szCs w:val="22"/>
        </w:rPr>
        <w:t xml:space="preserve"> </w:t>
      </w:r>
      <w:r w:rsidR="000447C6" w:rsidRPr="000447C6">
        <w:rPr>
          <w:sz w:val="22"/>
          <w:szCs w:val="22"/>
        </w:rPr>
        <w:t>20.</w:t>
      </w:r>
      <w:r w:rsidR="000447C6">
        <w:rPr>
          <w:sz w:val="22"/>
          <w:szCs w:val="22"/>
        </w:rPr>
        <w:t xml:space="preserve"> </w:t>
      </w:r>
      <w:r w:rsidR="000447C6" w:rsidRPr="000447C6">
        <w:rPr>
          <w:sz w:val="22"/>
          <w:szCs w:val="22"/>
        </w:rPr>
        <w:t>10.</w:t>
      </w:r>
      <w:r w:rsidR="000447C6">
        <w:rPr>
          <w:sz w:val="22"/>
          <w:szCs w:val="22"/>
        </w:rPr>
        <w:t xml:space="preserve"> </w:t>
      </w:r>
      <w:r w:rsidR="000447C6" w:rsidRPr="000447C6">
        <w:rPr>
          <w:sz w:val="22"/>
          <w:szCs w:val="22"/>
        </w:rPr>
        <w:t>2025</w:t>
      </w:r>
      <w:r w:rsidR="00F4413E">
        <w:rPr>
          <w:sz w:val="22"/>
          <w:szCs w:val="22"/>
        </w:rPr>
        <w:t>.</w:t>
      </w:r>
    </w:p>
    <w:p w:rsidR="00F27E58" w:rsidRPr="00F712F9" w:rsidRDefault="00F27E58" w:rsidP="00DA2BC8">
      <w:pPr>
        <w:widowControl w:val="0"/>
        <w:numPr>
          <w:ilvl w:val="0"/>
          <w:numId w:val="11"/>
        </w:numPr>
        <w:spacing w:before="240"/>
        <w:jc w:val="both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rFonts w:eastAsia="Calibri"/>
          <w:snapToGrid w:val="0"/>
          <w:sz w:val="22"/>
          <w:szCs w:val="22"/>
          <w:lang w:eastAsia="en-US"/>
        </w:rPr>
        <w:t>Tato pravidla nabývají účin</w:t>
      </w:r>
      <w:bookmarkStart w:id="84" w:name="_GoBack"/>
      <w:bookmarkEnd w:id="84"/>
      <w:r w:rsidRPr="00F712F9">
        <w:rPr>
          <w:rFonts w:eastAsia="Calibri"/>
          <w:snapToGrid w:val="0"/>
          <w:sz w:val="22"/>
          <w:szCs w:val="22"/>
          <w:lang w:eastAsia="en-US"/>
        </w:rPr>
        <w:t>nosti dne</w:t>
      </w:r>
      <w:r w:rsidR="009D1AB5" w:rsidRPr="00F712F9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0447C6">
        <w:rPr>
          <w:rFonts w:eastAsia="Calibri"/>
          <w:snapToGrid w:val="0"/>
          <w:sz w:val="22"/>
          <w:szCs w:val="22"/>
          <w:lang w:eastAsia="en-US"/>
        </w:rPr>
        <w:t>20. 10</w:t>
      </w:r>
      <w:r w:rsidR="004B4010" w:rsidRPr="00F712F9">
        <w:rPr>
          <w:rFonts w:eastAsia="Calibri"/>
          <w:snapToGrid w:val="0"/>
          <w:sz w:val="22"/>
          <w:szCs w:val="22"/>
          <w:lang w:eastAsia="en-US"/>
        </w:rPr>
        <w:t>.</w:t>
      </w:r>
      <w:r w:rsidR="00F04A21">
        <w:rPr>
          <w:rFonts w:eastAsia="Calibri"/>
          <w:snapToGrid w:val="0"/>
          <w:sz w:val="22"/>
          <w:szCs w:val="22"/>
          <w:lang w:eastAsia="en-US"/>
        </w:rPr>
        <w:t xml:space="preserve"> </w:t>
      </w:r>
      <w:r w:rsidR="007727D8">
        <w:rPr>
          <w:rFonts w:eastAsia="Calibri"/>
          <w:snapToGrid w:val="0"/>
          <w:sz w:val="22"/>
          <w:szCs w:val="22"/>
          <w:lang w:eastAsia="en-US"/>
        </w:rPr>
        <w:t>2025</w:t>
      </w:r>
      <w:r w:rsidRPr="00F712F9">
        <w:rPr>
          <w:rFonts w:eastAsia="Calibri"/>
          <w:snapToGrid w:val="0"/>
          <w:sz w:val="22"/>
          <w:szCs w:val="22"/>
          <w:lang w:eastAsia="en-US"/>
        </w:rPr>
        <w:t>.</w:t>
      </w:r>
    </w:p>
    <w:p w:rsidR="00F27E58" w:rsidRDefault="00F27E5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717459" w:rsidRDefault="00717459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2932D8" w:rsidRDefault="002932D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>Přílohy</w:t>
      </w:r>
      <w:r w:rsidR="00717459">
        <w:rPr>
          <w:rFonts w:eastAsia="Calibri"/>
          <w:snapToGrid w:val="0"/>
          <w:sz w:val="22"/>
          <w:szCs w:val="22"/>
          <w:lang w:eastAsia="en-US"/>
        </w:rPr>
        <w:t xml:space="preserve">: </w:t>
      </w:r>
    </w:p>
    <w:p w:rsidR="00717459" w:rsidRPr="00BA6E13" w:rsidRDefault="002932D8" w:rsidP="00F27E58">
      <w:pPr>
        <w:widowControl w:val="0"/>
        <w:jc w:val="both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 xml:space="preserve">1. </w:t>
      </w:r>
      <w:r w:rsidR="00717459">
        <w:rPr>
          <w:rFonts w:eastAsia="Calibri"/>
          <w:snapToGrid w:val="0"/>
          <w:sz w:val="22"/>
          <w:szCs w:val="22"/>
          <w:lang w:eastAsia="en-US"/>
        </w:rPr>
        <w:t xml:space="preserve">Složení </w:t>
      </w:r>
      <w:r w:rsidR="000833D6">
        <w:rPr>
          <w:rFonts w:eastAsia="Calibri"/>
          <w:snapToGrid w:val="0"/>
          <w:sz w:val="22"/>
          <w:szCs w:val="22"/>
          <w:lang w:eastAsia="en-US"/>
        </w:rPr>
        <w:t xml:space="preserve">hodnotící </w:t>
      </w:r>
      <w:r w:rsidR="00717459">
        <w:rPr>
          <w:rFonts w:eastAsia="Calibri"/>
          <w:snapToGrid w:val="0"/>
          <w:sz w:val="22"/>
          <w:szCs w:val="22"/>
          <w:lang w:eastAsia="en-US"/>
        </w:rPr>
        <w:t>komise</w:t>
      </w:r>
    </w:p>
    <w:p w:rsidR="00F27E58" w:rsidRDefault="00F27E58" w:rsidP="00F27E58">
      <w:pPr>
        <w:widowControl w:val="0"/>
        <w:ind w:left="907" w:hanging="907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7E1A85" w:rsidRDefault="007E1A85" w:rsidP="00F27E58">
      <w:pPr>
        <w:widowControl w:val="0"/>
        <w:ind w:left="907" w:hanging="907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7E1A85" w:rsidRPr="00924C0A" w:rsidRDefault="007E1A85" w:rsidP="00F27E58">
      <w:pPr>
        <w:widowControl w:val="0"/>
        <w:ind w:left="907" w:hanging="907"/>
        <w:jc w:val="both"/>
        <w:rPr>
          <w:rFonts w:eastAsia="Calibri"/>
          <w:snapToGrid w:val="0"/>
          <w:sz w:val="22"/>
          <w:szCs w:val="22"/>
          <w:lang w:eastAsia="en-US"/>
        </w:rPr>
      </w:pPr>
    </w:p>
    <w:p w:rsidR="00F27E58" w:rsidRPr="00F712F9" w:rsidRDefault="007727D8" w:rsidP="007E1A85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  <w:r>
        <w:rPr>
          <w:rFonts w:eastAsia="Calibri"/>
          <w:snapToGrid w:val="0"/>
          <w:sz w:val="22"/>
          <w:szCs w:val="22"/>
          <w:lang w:eastAsia="en-US"/>
        </w:rPr>
        <w:t xml:space="preserve">Mgr. Jana Mračková </w:t>
      </w:r>
      <w:proofErr w:type="spellStart"/>
      <w:r>
        <w:rPr>
          <w:rFonts w:eastAsia="Calibri"/>
          <w:snapToGrid w:val="0"/>
          <w:sz w:val="22"/>
          <w:szCs w:val="22"/>
          <w:lang w:eastAsia="en-US"/>
        </w:rPr>
        <w:t>Vildumetzová</w:t>
      </w:r>
      <w:proofErr w:type="spellEnd"/>
      <w:r w:rsidR="00D27B4A">
        <w:rPr>
          <w:rFonts w:eastAsia="Calibri"/>
          <w:snapToGrid w:val="0"/>
          <w:sz w:val="22"/>
          <w:szCs w:val="22"/>
          <w:lang w:eastAsia="en-US"/>
        </w:rPr>
        <w:t xml:space="preserve"> v. r.</w:t>
      </w:r>
    </w:p>
    <w:p w:rsidR="00F27E58" w:rsidRDefault="00F27E58" w:rsidP="00810256">
      <w:pPr>
        <w:widowControl w:val="0"/>
        <w:rPr>
          <w:rFonts w:eastAsia="Calibri"/>
          <w:snapToGrid w:val="0"/>
          <w:sz w:val="22"/>
          <w:szCs w:val="22"/>
          <w:lang w:eastAsia="en-US"/>
        </w:rPr>
      </w:pPr>
      <w:r w:rsidRPr="00F712F9">
        <w:rPr>
          <w:rFonts w:eastAsia="Calibri"/>
          <w:snapToGrid w:val="0"/>
          <w:sz w:val="22"/>
          <w:szCs w:val="22"/>
          <w:lang w:eastAsia="en-US"/>
        </w:rPr>
        <w:t>hejtman</w:t>
      </w:r>
      <w:r w:rsidR="007727D8">
        <w:rPr>
          <w:rFonts w:eastAsia="Calibri"/>
          <w:snapToGrid w:val="0"/>
          <w:sz w:val="22"/>
          <w:szCs w:val="22"/>
          <w:lang w:eastAsia="en-US"/>
        </w:rPr>
        <w:t>ka</w:t>
      </w:r>
      <w:r w:rsidRPr="00F712F9">
        <w:rPr>
          <w:rFonts w:eastAsia="Calibri"/>
          <w:snapToGrid w:val="0"/>
          <w:sz w:val="22"/>
          <w:szCs w:val="22"/>
          <w:lang w:eastAsia="en-US"/>
        </w:rPr>
        <w:t xml:space="preserve"> Karlovarského</w:t>
      </w:r>
      <w:r w:rsidRPr="001256D7">
        <w:rPr>
          <w:rFonts w:eastAsia="Calibri"/>
          <w:snapToGrid w:val="0"/>
          <w:sz w:val="22"/>
          <w:szCs w:val="22"/>
          <w:lang w:eastAsia="en-US"/>
        </w:rPr>
        <w:t xml:space="preserve"> kraje</w:t>
      </w:r>
    </w:p>
    <w:p w:rsidR="004D5E83" w:rsidRDefault="004D5E83" w:rsidP="00810256">
      <w:pPr>
        <w:widowControl w:val="0"/>
        <w:rPr>
          <w:caps/>
          <w:sz w:val="22"/>
          <w:szCs w:val="22"/>
        </w:rPr>
      </w:pPr>
    </w:p>
    <w:sectPr w:rsidR="004D5E83" w:rsidSect="00F13E72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6C" w:rsidRDefault="00C7536C">
      <w:r>
        <w:separator/>
      </w:r>
    </w:p>
  </w:endnote>
  <w:endnote w:type="continuationSeparator" w:id="0">
    <w:p w:rsidR="00C7536C" w:rsidRDefault="00C7536C">
      <w:r>
        <w:continuationSeparator/>
      </w:r>
    </w:p>
  </w:endnote>
  <w:endnote w:type="continuationNotice" w:id="1">
    <w:p w:rsidR="00C7536C" w:rsidRDefault="00C75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4" w:rsidRDefault="00A82F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2FC4" w:rsidRDefault="00A82F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4" w:rsidRPr="008C1486" w:rsidRDefault="00A82FC4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PAGE  </w:instrText>
    </w:r>
    <w:r w:rsidRPr="008C1486">
      <w:rPr>
        <w:rStyle w:val="slostrnky"/>
        <w:sz w:val="20"/>
        <w:szCs w:val="20"/>
      </w:rPr>
      <w:fldChar w:fldCharType="separate"/>
    </w:r>
    <w:r w:rsidR="00FF78B1">
      <w:rPr>
        <w:rStyle w:val="slostrnky"/>
        <w:noProof/>
        <w:sz w:val="20"/>
        <w:szCs w:val="20"/>
      </w:rPr>
      <w:t>16</w:t>
    </w:r>
    <w:r w:rsidRPr="008C1486">
      <w:rPr>
        <w:rStyle w:val="slostrnky"/>
        <w:sz w:val="20"/>
        <w:szCs w:val="20"/>
      </w:rPr>
      <w:fldChar w:fldCharType="end"/>
    </w:r>
    <w:r w:rsidRPr="008C1486">
      <w:rPr>
        <w:rStyle w:val="slostrnky"/>
        <w:sz w:val="20"/>
        <w:szCs w:val="20"/>
      </w:rPr>
      <w:t>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 w:rsidR="00FF78B1">
      <w:rPr>
        <w:rStyle w:val="slostrnky"/>
        <w:noProof/>
        <w:sz w:val="20"/>
        <w:szCs w:val="20"/>
      </w:rPr>
      <w:t>17</w:t>
    </w:r>
    <w:r w:rsidRPr="008C1486">
      <w:rPr>
        <w:rStyle w:val="slostrnky"/>
        <w:sz w:val="20"/>
        <w:szCs w:val="20"/>
      </w:rPr>
      <w:fldChar w:fldCharType="end"/>
    </w:r>
  </w:p>
  <w:p w:rsidR="00A82FC4" w:rsidRDefault="00A82FC4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4" w:rsidRPr="008C1486" w:rsidRDefault="00A82FC4">
    <w:pPr>
      <w:pStyle w:val="Zpat"/>
      <w:tabs>
        <w:tab w:val="center" w:pos="4818"/>
      </w:tabs>
      <w:rPr>
        <w:sz w:val="20"/>
        <w:szCs w:val="20"/>
      </w:rPr>
    </w:pPr>
    <w:r>
      <w:tab/>
    </w:r>
    <w:r w:rsidRPr="008C1486">
      <w:rPr>
        <w:sz w:val="20"/>
        <w:szCs w:val="20"/>
      </w:rPr>
      <w:t>1/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 w:rsidR="00746A52">
      <w:rPr>
        <w:rStyle w:val="slostrnky"/>
        <w:noProof/>
        <w:sz w:val="20"/>
        <w:szCs w:val="20"/>
      </w:rPr>
      <w:t>17</w:t>
    </w:r>
    <w:r w:rsidRPr="008C1486">
      <w:rPr>
        <w:rStyle w:val="slostrnky"/>
        <w:sz w:val="20"/>
        <w:szCs w:val="20"/>
      </w:rPr>
      <w:fldChar w:fldCharType="end"/>
    </w:r>
  </w:p>
  <w:p w:rsidR="00A82FC4" w:rsidRDefault="00A82FC4">
    <w:pPr>
      <w:pStyle w:val="Zpat"/>
    </w:pPr>
  </w:p>
  <w:p w:rsidR="00A82FC4" w:rsidRDefault="00A82FC4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6C" w:rsidRDefault="00C7536C">
      <w:r>
        <w:separator/>
      </w:r>
    </w:p>
  </w:footnote>
  <w:footnote w:type="continuationSeparator" w:id="0">
    <w:p w:rsidR="00C7536C" w:rsidRDefault="00C7536C">
      <w:r>
        <w:continuationSeparator/>
      </w:r>
    </w:p>
  </w:footnote>
  <w:footnote w:type="continuationNotice" w:id="1">
    <w:p w:rsidR="00C7536C" w:rsidRDefault="00C7536C"/>
  </w:footnote>
  <w:footnote w:id="2">
    <w:p w:rsidR="00F27E58" w:rsidRDefault="00F27E58" w:rsidP="00F27E58">
      <w:pPr>
        <w:pStyle w:val="Textpoznpodarou"/>
      </w:pPr>
      <w:r>
        <w:rPr>
          <w:rStyle w:val="Znakapoznpodarou"/>
        </w:rPr>
        <w:footnoteRef/>
      </w:r>
      <w:r w:rsidR="001D3FA6">
        <w:t xml:space="preserve"> Zákon č. </w:t>
      </w:r>
      <w:r w:rsidR="00DD4070">
        <w:t>134/2016</w:t>
      </w:r>
      <w:r>
        <w:t xml:space="preserve"> Sb., </w:t>
      </w:r>
      <w:r w:rsidR="004C72B3">
        <w:t>o zadávání veřejných zakázek</w:t>
      </w:r>
      <w:r w:rsidR="002A7659">
        <w:t>, v platném znění</w:t>
      </w:r>
      <w:r w:rsidR="00AD65AC">
        <w:t xml:space="preserve"> (dále jen „zákon“)</w:t>
      </w:r>
      <w:r>
        <w:t>.</w:t>
      </w:r>
    </w:p>
  </w:footnote>
  <w:footnote w:id="3">
    <w:p w:rsidR="00ED568E" w:rsidRDefault="00ED568E" w:rsidP="002E1ACA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Předpis </w:t>
      </w:r>
      <w:r w:rsidR="002D60B5">
        <w:t>r</w:t>
      </w:r>
      <w:r>
        <w:t>ady kraje č.</w:t>
      </w:r>
      <w:r w:rsidR="002E1ACA">
        <w:t xml:space="preserve"> PR</w:t>
      </w:r>
      <w:r>
        <w:t xml:space="preserve"> </w:t>
      </w:r>
      <w:r w:rsidR="00766354">
        <w:t>03</w:t>
      </w:r>
      <w:r>
        <w:t>/</w:t>
      </w:r>
      <w:r w:rsidR="006D0AD6">
        <w:t>2025</w:t>
      </w:r>
      <w:r w:rsidR="007E3CD0">
        <w:t>, P</w:t>
      </w:r>
      <w:r>
        <w:t>ravidla pro zadávání veřejných zakázek Karlovarským krajem a jeho příspěvkovými organizacemi prostřednictvím centrálního zadávání</w:t>
      </w:r>
      <w:r w:rsidR="00CD3F89">
        <w:t>.</w:t>
      </w:r>
    </w:p>
  </w:footnote>
  <w:footnote w:id="4">
    <w:p w:rsidR="00EF39C6" w:rsidRDefault="00EF39C6">
      <w:pPr>
        <w:pStyle w:val="Textpoznpodarou"/>
      </w:pPr>
      <w:r>
        <w:rPr>
          <w:rStyle w:val="Znakapoznpodarou"/>
        </w:rPr>
        <w:footnoteRef/>
      </w:r>
      <w:r>
        <w:t xml:space="preserve"> § 3 zákona</w:t>
      </w:r>
      <w:r w:rsidR="004F03D9">
        <w:t>.</w:t>
      </w:r>
    </w:p>
  </w:footnote>
  <w:footnote w:id="5">
    <w:p w:rsidR="00042878" w:rsidRDefault="00042878" w:rsidP="00042878">
      <w:pPr>
        <w:pStyle w:val="Textpoznpodarou"/>
      </w:pPr>
      <w:r>
        <w:rPr>
          <w:rStyle w:val="Znakapoznpodarou"/>
        </w:rPr>
        <w:footnoteRef/>
      </w:r>
      <w:r>
        <w:t xml:space="preserve"> § 211 zákona</w:t>
      </w:r>
      <w:r w:rsidR="004F03D9">
        <w:t>.</w:t>
      </w:r>
    </w:p>
  </w:footnote>
  <w:footnote w:id="6">
    <w:p w:rsidR="003A1ACF" w:rsidRDefault="003A1ACF" w:rsidP="003A1ACF">
      <w:pPr>
        <w:pStyle w:val="Textpoznpodarou"/>
      </w:pPr>
      <w:r>
        <w:rPr>
          <w:rStyle w:val="Znakapoznpodarou"/>
        </w:rPr>
        <w:footnoteRef/>
      </w:r>
      <w:r>
        <w:t xml:space="preserve"> Nařízení vlády č. 172/2016 Sb., o stanovení finančních limitů a částek pro účely zákona o zadávání veřejných zakázek, v platném znění</w:t>
      </w:r>
      <w:r w:rsidR="00913520">
        <w:t>.</w:t>
      </w:r>
    </w:p>
  </w:footnote>
  <w:footnote w:id="7">
    <w:p w:rsidR="00BF0643" w:rsidRDefault="00BF0643">
      <w:pPr>
        <w:pStyle w:val="Textpoznpodarou"/>
      </w:pPr>
      <w:r>
        <w:rPr>
          <w:rStyle w:val="Znakapoznpodarou"/>
        </w:rPr>
        <w:footnoteRef/>
      </w:r>
      <w:r>
        <w:t xml:space="preserve"> § 129 zákona</w:t>
      </w:r>
      <w:r w:rsidR="009D6BD0">
        <w:t>.</w:t>
      </w:r>
    </w:p>
  </w:footnote>
  <w:footnote w:id="8">
    <w:p w:rsidR="007E6FA0" w:rsidRDefault="007E6FA0" w:rsidP="007E6FA0">
      <w:pPr>
        <w:pStyle w:val="Textpoznpodarou"/>
      </w:pPr>
      <w:r>
        <w:rPr>
          <w:rStyle w:val="Znakapoznpodarou"/>
        </w:rPr>
        <w:footnoteRef/>
      </w:r>
      <w:r>
        <w:t xml:space="preserve"> § 6 zákona.</w:t>
      </w:r>
    </w:p>
  </w:footnote>
  <w:footnote w:id="9">
    <w:p w:rsidR="00794986" w:rsidRDefault="00794986" w:rsidP="007949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3783">
        <w:t>Čl. VII. odst. 1 d) řádu ředitel</w:t>
      </w:r>
      <w:r>
        <w:t>ky</w:t>
      </w:r>
      <w:r w:rsidRPr="00113783">
        <w:t xml:space="preserve"> č. </w:t>
      </w:r>
      <w:r>
        <w:t>R 07/2016</w:t>
      </w:r>
      <w:r w:rsidR="00913520">
        <w:t>,</w:t>
      </w:r>
      <w:r w:rsidR="00EC2057">
        <w:t xml:space="preserve"> Podpisový řád</w:t>
      </w:r>
      <w:r>
        <w:t>.</w:t>
      </w:r>
    </w:p>
  </w:footnote>
  <w:footnote w:id="10">
    <w:p w:rsidR="00C91D19" w:rsidRDefault="00C91D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3783">
        <w:t>Čl. VII. odst. 1 d) řádu ředitel</w:t>
      </w:r>
      <w:r w:rsidR="003B123F">
        <w:t>ky</w:t>
      </w:r>
      <w:r w:rsidRPr="00113783">
        <w:t xml:space="preserve"> č. </w:t>
      </w:r>
      <w:r w:rsidR="003B123F">
        <w:t>R 07/2016</w:t>
      </w:r>
      <w:r>
        <w:t>.</w:t>
      </w:r>
    </w:p>
  </w:footnote>
  <w:footnote w:id="11">
    <w:p w:rsidR="00F27E58" w:rsidRPr="005C3C27" w:rsidRDefault="00F27E58" w:rsidP="00F27E58">
      <w:pPr>
        <w:pStyle w:val="Textpoznpodarou"/>
      </w:pPr>
      <w:r w:rsidRPr="005C3C27">
        <w:rPr>
          <w:rStyle w:val="Znakapoznpodarou"/>
        </w:rPr>
        <w:footnoteRef/>
      </w:r>
      <w:r w:rsidRPr="005C3C27">
        <w:t xml:space="preserve"> § 6 zákona.</w:t>
      </w:r>
    </w:p>
  </w:footnote>
  <w:footnote w:id="12">
    <w:p w:rsidR="00F27E58" w:rsidRPr="005C3C27" w:rsidRDefault="00F27E58" w:rsidP="00F27E58">
      <w:pPr>
        <w:pStyle w:val="Textpoznpodarou"/>
      </w:pPr>
      <w:r w:rsidRPr="005C3C27">
        <w:rPr>
          <w:rStyle w:val="Znakapoznpodarou"/>
        </w:rPr>
        <w:footnoteRef/>
      </w:r>
      <w:r w:rsidRPr="005C3C27">
        <w:t xml:space="preserve"> </w:t>
      </w:r>
      <w:r w:rsidR="003B123F" w:rsidRPr="00113783">
        <w:t>Čl. VII. odst. 1 d) řádu ředitel</w:t>
      </w:r>
      <w:r w:rsidR="003B123F">
        <w:t>ky</w:t>
      </w:r>
      <w:r w:rsidR="003B123F" w:rsidRPr="00113783">
        <w:t xml:space="preserve"> č. </w:t>
      </w:r>
      <w:r w:rsidR="003B123F">
        <w:t>R 07/2016.</w:t>
      </w:r>
    </w:p>
  </w:footnote>
  <w:footnote w:id="13">
    <w:p w:rsidR="00ED29BE" w:rsidRDefault="00ED29BE">
      <w:pPr>
        <w:pStyle w:val="Textpoznpodarou"/>
      </w:pPr>
      <w:r>
        <w:rPr>
          <w:rStyle w:val="Znakapoznpodarou"/>
        </w:rPr>
        <w:footnoteRef/>
      </w:r>
      <w:r>
        <w:t xml:space="preserve"> § 214 zákona</w:t>
      </w:r>
      <w:r w:rsidR="009D6BD0">
        <w:t>.</w:t>
      </w:r>
    </w:p>
  </w:footnote>
  <w:footnote w:id="14">
    <w:p w:rsidR="00ED29BE" w:rsidRDefault="00ED29BE">
      <w:pPr>
        <w:pStyle w:val="Textpoznpodarou"/>
      </w:pPr>
      <w:r>
        <w:rPr>
          <w:rStyle w:val="Znakapoznpodarou"/>
        </w:rPr>
        <w:footnoteRef/>
      </w:r>
      <w:r>
        <w:t xml:space="preserve"> § 115 zákona</w:t>
      </w:r>
      <w:r w:rsidR="009D6BD0">
        <w:t>.</w:t>
      </w:r>
    </w:p>
  </w:footnote>
  <w:footnote w:id="15">
    <w:p w:rsidR="00ED29BE" w:rsidRDefault="00ED29BE">
      <w:pPr>
        <w:pStyle w:val="Textpoznpodarou"/>
      </w:pPr>
      <w:r>
        <w:rPr>
          <w:rStyle w:val="Znakapoznpodarou"/>
        </w:rPr>
        <w:footnoteRef/>
      </w:r>
      <w:r>
        <w:t xml:space="preserve"> § 211 odst. </w:t>
      </w:r>
      <w:r w:rsidR="00CD15E7">
        <w:t xml:space="preserve">5 </w:t>
      </w:r>
      <w:r>
        <w:t>písm. a), b)</w:t>
      </w:r>
      <w:r w:rsidR="0083615B">
        <w:t>, c)</w:t>
      </w:r>
      <w:r>
        <w:t xml:space="preserve"> a d) nebo v případě postupu podle § 36 odst. 8</w:t>
      </w:r>
      <w:r w:rsidR="0068259E">
        <w:t xml:space="preserve"> zákona</w:t>
      </w:r>
      <w:r w:rsidR="009D6BD0">
        <w:t>.</w:t>
      </w:r>
    </w:p>
  </w:footnote>
  <w:footnote w:id="16">
    <w:p w:rsidR="003E63F0" w:rsidRDefault="003E63F0">
      <w:pPr>
        <w:pStyle w:val="Textpoznpodarou"/>
      </w:pPr>
      <w:r>
        <w:rPr>
          <w:rStyle w:val="Znakapoznpodarou"/>
        </w:rPr>
        <w:footnoteRef/>
      </w:r>
      <w:r>
        <w:t xml:space="preserve"> § 98 a 99 zákona</w:t>
      </w:r>
      <w:r w:rsidR="002E5AF3">
        <w:t>.</w:t>
      </w:r>
    </w:p>
  </w:footnote>
  <w:footnote w:id="17">
    <w:p w:rsidR="00F27E58" w:rsidRPr="00C969F3" w:rsidRDefault="00F27E58" w:rsidP="00F27E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3AC2">
        <w:t xml:space="preserve">§ </w:t>
      </w:r>
      <w:r w:rsidR="00333B16" w:rsidRPr="00C969F3">
        <w:t xml:space="preserve">54 </w:t>
      </w:r>
      <w:r w:rsidRPr="00C969F3">
        <w:t>zákona</w:t>
      </w:r>
      <w:r w:rsidR="009D6BD0">
        <w:t>.</w:t>
      </w:r>
    </w:p>
  </w:footnote>
  <w:footnote w:id="18">
    <w:p w:rsidR="001F15B3" w:rsidRDefault="001F15B3" w:rsidP="003A0BD2">
      <w:pPr>
        <w:pStyle w:val="Textpoznpodarou"/>
        <w:ind w:left="227" w:hanging="227"/>
      </w:pPr>
      <w:r>
        <w:rPr>
          <w:rStyle w:val="Znakapoznpodarou"/>
        </w:rPr>
        <w:footnoteRef/>
      </w:r>
      <w:r>
        <w:t xml:space="preserve"> Čl. IX. předpisu Rady kraje č. PR 03/2021</w:t>
      </w:r>
      <w:r w:rsidR="003A0BD2">
        <w:t xml:space="preserve">, Pravidla pro přípravu a předkládání materiálů pro jednání </w:t>
      </w:r>
      <w:r w:rsidR="007E3CD0">
        <w:t>R</w:t>
      </w:r>
      <w:r w:rsidR="003A0BD2">
        <w:t xml:space="preserve">ady a </w:t>
      </w:r>
      <w:r w:rsidR="007E3CD0">
        <w:t>Z</w:t>
      </w:r>
      <w:r w:rsidR="003A0BD2">
        <w:t>astupitelstva kraje</w:t>
      </w:r>
      <w:r>
        <w:t>.</w:t>
      </w:r>
    </w:p>
  </w:footnote>
  <w:footnote w:id="19">
    <w:p w:rsidR="00087D3B" w:rsidRDefault="00087D3B">
      <w:pPr>
        <w:pStyle w:val="Textpoznpodarou"/>
      </w:pPr>
      <w:r>
        <w:rPr>
          <w:rStyle w:val="Znakapoznpodarou"/>
        </w:rPr>
        <w:footnoteRef/>
      </w:r>
      <w:r>
        <w:t xml:space="preserve"> § 104 odst. 1 zákona</w:t>
      </w:r>
      <w:r w:rsidR="00EA2EDB">
        <w:t>; § 122 odst. 3 zákona</w:t>
      </w:r>
    </w:p>
  </w:footnote>
  <w:footnote w:id="20">
    <w:p w:rsidR="00F27E58" w:rsidRPr="00EF7486" w:rsidRDefault="00F27E58" w:rsidP="00F27E58">
      <w:pPr>
        <w:pStyle w:val="Textpoznpodarou"/>
      </w:pPr>
      <w:r w:rsidRPr="00EF7486">
        <w:rPr>
          <w:rStyle w:val="Znakapoznpodarou"/>
        </w:rPr>
        <w:footnoteRef/>
      </w:r>
      <w:r w:rsidR="00287B8F" w:rsidRPr="00EF7486">
        <w:t xml:space="preserve"> Čl. V. </w:t>
      </w:r>
      <w:r w:rsidR="003B123F" w:rsidRPr="00113783">
        <w:t>řádu ředitel</w:t>
      </w:r>
      <w:r w:rsidR="003B123F">
        <w:t>ky</w:t>
      </w:r>
      <w:r w:rsidR="003B123F" w:rsidRPr="00113783">
        <w:t xml:space="preserve"> č. </w:t>
      </w:r>
      <w:r w:rsidR="003B123F">
        <w:t>R 07/2016</w:t>
      </w:r>
      <w:r w:rsidR="008C1CF3">
        <w:t>, Podpisový řád</w:t>
      </w:r>
      <w:r w:rsidR="00745F19">
        <w:t>.</w:t>
      </w:r>
    </w:p>
  </w:footnote>
  <w:footnote w:id="21">
    <w:p w:rsidR="00204400" w:rsidRDefault="00204400">
      <w:pPr>
        <w:pStyle w:val="Textpoznpodarou"/>
      </w:pPr>
      <w:r>
        <w:rPr>
          <w:rStyle w:val="Znakapoznpodarou"/>
        </w:rPr>
        <w:footnoteRef/>
      </w:r>
      <w:r>
        <w:t xml:space="preserve"> § 212 zákona</w:t>
      </w:r>
      <w:r w:rsidR="009D6BD0">
        <w:t>.</w:t>
      </w:r>
    </w:p>
  </w:footnote>
  <w:footnote w:id="22">
    <w:p w:rsidR="00087D3B" w:rsidRDefault="00087D3B">
      <w:pPr>
        <w:pStyle w:val="Textpoznpodarou"/>
      </w:pPr>
      <w:r>
        <w:rPr>
          <w:rStyle w:val="Znakapoznpodarou"/>
        </w:rPr>
        <w:footnoteRef/>
      </w:r>
      <w:r>
        <w:t xml:space="preserve"> § 217 zákona</w:t>
      </w:r>
      <w:r w:rsidR="009D6BD0">
        <w:t>.</w:t>
      </w:r>
    </w:p>
  </w:footnote>
  <w:footnote w:id="23">
    <w:p w:rsidR="006A1340" w:rsidRDefault="006A1340">
      <w:pPr>
        <w:pStyle w:val="Textpoznpodarou"/>
      </w:pPr>
      <w:r>
        <w:rPr>
          <w:rStyle w:val="Znakapoznpodarou"/>
        </w:rPr>
        <w:footnoteRef/>
      </w:r>
      <w:r>
        <w:t xml:space="preserve"> § 34 zákona</w:t>
      </w:r>
      <w:r w:rsidR="009D6BD0">
        <w:t>.</w:t>
      </w:r>
    </w:p>
  </w:footnote>
  <w:footnote w:id="24">
    <w:p w:rsidR="00AF5DEB" w:rsidRDefault="00AF5DEB">
      <w:pPr>
        <w:pStyle w:val="Textpoznpodarou"/>
      </w:pPr>
      <w:r>
        <w:rPr>
          <w:rStyle w:val="Znakapoznpodarou"/>
        </w:rPr>
        <w:footnoteRef/>
      </w:r>
      <w:r>
        <w:t xml:space="preserve"> § 212 zákona</w:t>
      </w:r>
      <w:r w:rsidR="009D6BD0">
        <w:t>.</w:t>
      </w:r>
    </w:p>
  </w:footnote>
  <w:footnote w:id="25">
    <w:p w:rsidR="00AF5DEB" w:rsidRPr="00AF5DEB" w:rsidRDefault="00AF5D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5DEB">
        <w:rPr>
          <w:rFonts w:eastAsia="Calibri"/>
          <w:lang w:eastAsia="en-US"/>
        </w:rPr>
        <w:t xml:space="preserve">§ 211 odst. </w:t>
      </w:r>
      <w:r w:rsidR="00CD15E7">
        <w:rPr>
          <w:rFonts w:eastAsia="Calibri"/>
          <w:lang w:eastAsia="en-US"/>
        </w:rPr>
        <w:t>5</w:t>
      </w:r>
      <w:r w:rsidR="00CD15E7" w:rsidRPr="00AF5DEB">
        <w:rPr>
          <w:rFonts w:eastAsia="Calibri"/>
          <w:lang w:eastAsia="en-US"/>
        </w:rPr>
        <w:t xml:space="preserve"> </w:t>
      </w:r>
      <w:r w:rsidRPr="00AF5DEB">
        <w:rPr>
          <w:rFonts w:eastAsia="Calibri"/>
          <w:lang w:eastAsia="en-US"/>
        </w:rPr>
        <w:t>písm. a), b)</w:t>
      </w:r>
      <w:r w:rsidR="00EA2EDB">
        <w:rPr>
          <w:rFonts w:eastAsia="Calibri"/>
          <w:lang w:eastAsia="en-US"/>
        </w:rPr>
        <w:t>, c)</w:t>
      </w:r>
      <w:r w:rsidRPr="00AF5DEB">
        <w:rPr>
          <w:rFonts w:eastAsia="Calibri"/>
          <w:lang w:eastAsia="en-US"/>
        </w:rPr>
        <w:t xml:space="preserve"> a d) nebo v případě postupu podle § 36 odst. 8</w:t>
      </w:r>
      <w:r>
        <w:rPr>
          <w:rFonts w:eastAsia="Calibri"/>
          <w:lang w:eastAsia="en-US"/>
        </w:rPr>
        <w:t xml:space="preserve"> zákona</w:t>
      </w:r>
      <w:r w:rsidR="009D6BD0">
        <w:rPr>
          <w:rFonts w:eastAsia="Calibri"/>
          <w:lang w:eastAsia="en-US"/>
        </w:rPr>
        <w:t>.</w:t>
      </w:r>
    </w:p>
  </w:footnote>
  <w:footnote w:id="26">
    <w:p w:rsidR="00B50A0D" w:rsidRDefault="00B50A0D" w:rsidP="00B50A0D">
      <w:pPr>
        <w:pStyle w:val="Textpoznpodarou"/>
      </w:pPr>
      <w:r>
        <w:rPr>
          <w:rStyle w:val="Znakapoznpodarou"/>
        </w:rPr>
        <w:footnoteRef/>
      </w:r>
      <w:r>
        <w:t xml:space="preserve"> § 98 a 99 zákona</w:t>
      </w:r>
      <w:r w:rsidR="00913520">
        <w:t>.</w:t>
      </w:r>
    </w:p>
  </w:footnote>
  <w:footnote w:id="27">
    <w:p w:rsidR="00AF5DEB" w:rsidRDefault="00AF5DEB">
      <w:pPr>
        <w:pStyle w:val="Textpoznpodarou"/>
      </w:pPr>
      <w:r>
        <w:rPr>
          <w:rStyle w:val="Znakapoznpodarou"/>
        </w:rPr>
        <w:footnoteRef/>
      </w:r>
      <w:r>
        <w:t xml:space="preserve"> § 54 a § 57 zákona</w:t>
      </w:r>
      <w:r w:rsidR="009D6BD0">
        <w:t>.</w:t>
      </w:r>
    </w:p>
  </w:footnote>
  <w:footnote w:id="28">
    <w:p w:rsidR="001F15B3" w:rsidRDefault="001F15B3">
      <w:pPr>
        <w:pStyle w:val="Textpoznpodarou"/>
      </w:pPr>
      <w:r>
        <w:rPr>
          <w:rStyle w:val="Znakapoznpodarou"/>
        </w:rPr>
        <w:footnoteRef/>
      </w:r>
      <w:r>
        <w:t xml:space="preserve"> Čl. IX. předpisu Rady kraje č. PR 03/2021.</w:t>
      </w:r>
    </w:p>
  </w:footnote>
  <w:footnote w:id="29">
    <w:p w:rsidR="008C24AF" w:rsidRDefault="008C24AF" w:rsidP="008C24AF">
      <w:pPr>
        <w:pStyle w:val="Textpoznpodarou"/>
      </w:pPr>
      <w:r>
        <w:rPr>
          <w:rStyle w:val="Znakapoznpodarou"/>
        </w:rPr>
        <w:footnoteRef/>
      </w:r>
      <w:r>
        <w:t xml:space="preserve"> § 104 odst. 1 zákona</w:t>
      </w:r>
      <w:r w:rsidR="000C5880">
        <w:t>; § 122 odst. 3 zákona</w:t>
      </w:r>
      <w:r>
        <w:t>.</w:t>
      </w:r>
    </w:p>
  </w:footnote>
  <w:footnote w:id="30">
    <w:p w:rsidR="00D076F3" w:rsidRDefault="00D076F3">
      <w:pPr>
        <w:pStyle w:val="Textpoznpodarou"/>
      </w:pPr>
      <w:r>
        <w:rPr>
          <w:rStyle w:val="Znakapoznpodarou"/>
        </w:rPr>
        <w:footnoteRef/>
      </w:r>
      <w:r>
        <w:t xml:space="preserve"> § 123 písm. b) zákona</w:t>
      </w:r>
      <w:r w:rsidR="009D6BD0">
        <w:t>.</w:t>
      </w:r>
    </w:p>
  </w:footnote>
  <w:footnote w:id="31">
    <w:p w:rsidR="003B123F" w:rsidRPr="00EF7486" w:rsidRDefault="003B123F" w:rsidP="003B123F">
      <w:pPr>
        <w:pStyle w:val="Textpoznpodarou"/>
      </w:pPr>
      <w:r w:rsidRPr="00EF7486">
        <w:rPr>
          <w:rStyle w:val="Znakapoznpodarou"/>
        </w:rPr>
        <w:footnoteRef/>
      </w:r>
      <w:r w:rsidRPr="00EF7486">
        <w:t xml:space="preserve"> Čl. V. </w:t>
      </w:r>
      <w:r w:rsidRPr="00113783">
        <w:t>řádu ředitel</w:t>
      </w:r>
      <w:r>
        <w:t>ky</w:t>
      </w:r>
      <w:r w:rsidRPr="00113783">
        <w:t xml:space="preserve"> č. </w:t>
      </w:r>
      <w:r>
        <w:t>R 07/2016</w:t>
      </w:r>
      <w:r w:rsidR="00E778B9">
        <w:t>.</w:t>
      </w:r>
    </w:p>
  </w:footnote>
  <w:footnote w:id="32">
    <w:p w:rsidR="00D076F3" w:rsidRDefault="00D076F3">
      <w:pPr>
        <w:pStyle w:val="Textpoznpodarou"/>
      </w:pPr>
      <w:r>
        <w:rPr>
          <w:rStyle w:val="Znakapoznpodarou"/>
        </w:rPr>
        <w:footnoteRef/>
      </w:r>
      <w:r>
        <w:t xml:space="preserve"> § 212 zákona</w:t>
      </w:r>
      <w:r w:rsidR="009D6BD0">
        <w:t>.</w:t>
      </w:r>
    </w:p>
  </w:footnote>
  <w:footnote w:id="33">
    <w:p w:rsidR="00D076F3" w:rsidRDefault="00D076F3">
      <w:pPr>
        <w:pStyle w:val="Textpoznpodarou"/>
      </w:pPr>
      <w:r>
        <w:rPr>
          <w:rStyle w:val="Znakapoznpodarou"/>
        </w:rPr>
        <w:footnoteRef/>
      </w:r>
      <w:r>
        <w:t xml:space="preserve"> § 212 zákona</w:t>
      </w:r>
      <w:r w:rsidR="009D6BD0">
        <w:t>.</w:t>
      </w:r>
    </w:p>
  </w:footnote>
  <w:footnote w:id="34">
    <w:p w:rsidR="00D076F3" w:rsidRDefault="00D076F3">
      <w:pPr>
        <w:pStyle w:val="Textpoznpodarou"/>
      </w:pPr>
      <w:r>
        <w:rPr>
          <w:rStyle w:val="Znakapoznpodarou"/>
        </w:rPr>
        <w:footnoteRef/>
      </w:r>
      <w:r>
        <w:t xml:space="preserve"> § 217 zákona</w:t>
      </w:r>
      <w:r w:rsidR="009D6BD0">
        <w:t>.</w:t>
      </w:r>
    </w:p>
  </w:footnote>
  <w:footnote w:id="35">
    <w:p w:rsidR="000B09C9" w:rsidRDefault="000B09C9">
      <w:pPr>
        <w:pStyle w:val="Textpoznpodarou"/>
      </w:pPr>
      <w:r>
        <w:rPr>
          <w:rStyle w:val="Znakapoznpodarou"/>
        </w:rPr>
        <w:footnoteRef/>
      </w:r>
      <w:r>
        <w:t xml:space="preserve"> § 5</w:t>
      </w:r>
      <w:r w:rsidR="00CD15E7">
        <w:t>8</w:t>
      </w:r>
      <w:r>
        <w:t xml:space="preserve"> a 59 zákona</w:t>
      </w:r>
      <w:r w:rsidR="002E5AF3">
        <w:t>.</w:t>
      </w:r>
    </w:p>
  </w:footnote>
  <w:footnote w:id="36">
    <w:p w:rsidR="00585126" w:rsidRDefault="00585126" w:rsidP="00585126">
      <w:pPr>
        <w:pStyle w:val="Textpoznpodarou"/>
      </w:pPr>
      <w:r>
        <w:rPr>
          <w:rStyle w:val="Znakapoznpodarou"/>
        </w:rPr>
        <w:footnoteRef/>
      </w:r>
      <w:r>
        <w:t xml:space="preserve"> § 212 zákona.</w:t>
      </w:r>
    </w:p>
  </w:footnote>
  <w:footnote w:id="37">
    <w:p w:rsidR="00305EFF" w:rsidRDefault="00305EFF">
      <w:pPr>
        <w:pStyle w:val="Textpoznpodarou"/>
      </w:pPr>
      <w:r>
        <w:rPr>
          <w:rStyle w:val="Znakapoznpodarou"/>
        </w:rPr>
        <w:footnoteRef/>
      </w:r>
      <w:r>
        <w:t xml:space="preserve"> § 141 zákona</w:t>
      </w:r>
      <w:r w:rsidR="00E778B9">
        <w:t>.</w:t>
      </w:r>
    </w:p>
  </w:footnote>
  <w:footnote w:id="38">
    <w:p w:rsidR="00305EFF" w:rsidRDefault="00305EFF">
      <w:pPr>
        <w:pStyle w:val="Textpoznpodarou"/>
      </w:pPr>
      <w:r>
        <w:rPr>
          <w:rStyle w:val="Znakapoznpodarou"/>
        </w:rPr>
        <w:footnoteRef/>
      </w:r>
      <w:r>
        <w:t xml:space="preserve"> §141 zákona</w:t>
      </w:r>
      <w:r w:rsidR="00E778B9">
        <w:t>.</w:t>
      </w:r>
    </w:p>
  </w:footnote>
  <w:footnote w:id="39">
    <w:p w:rsidR="00DF04E5" w:rsidRDefault="00DF04E5" w:rsidP="00DF04E5">
      <w:pPr>
        <w:pStyle w:val="Textpoznpodarou"/>
      </w:pPr>
      <w:r>
        <w:rPr>
          <w:rStyle w:val="Znakapoznpodarou"/>
        </w:rPr>
        <w:footnoteRef/>
      </w:r>
      <w:r>
        <w:t xml:space="preserve"> § 212 zákona.</w:t>
      </w:r>
    </w:p>
  </w:footnote>
  <w:footnote w:id="40">
    <w:p w:rsidR="00025E92" w:rsidRDefault="00025E92" w:rsidP="00025E92">
      <w:pPr>
        <w:pStyle w:val="Textpoznpodarou"/>
      </w:pPr>
      <w:r>
        <w:rPr>
          <w:rStyle w:val="Znakapoznpodarou"/>
        </w:rPr>
        <w:footnoteRef/>
      </w:r>
      <w:r>
        <w:t xml:space="preserve"> § 6 zákona.</w:t>
      </w:r>
    </w:p>
  </w:footnote>
  <w:footnote w:id="41">
    <w:p w:rsidR="003C373F" w:rsidRDefault="003C373F" w:rsidP="003C373F">
      <w:pPr>
        <w:pStyle w:val="Textpoznpodarou"/>
      </w:pPr>
      <w:r>
        <w:rPr>
          <w:rStyle w:val="Znakapoznpodarou"/>
        </w:rPr>
        <w:footnoteRef/>
      </w:r>
      <w:r>
        <w:t xml:space="preserve"> č. 340/2015 Sb., zákon o zvláštních podmínkách účinnosti některých smluv, uveřejňování těchto smluv a o registru smluv (zákon o registru smluv), ve znění pozdějších předpisů</w:t>
      </w:r>
    </w:p>
  </w:footnote>
  <w:footnote w:id="42">
    <w:p w:rsidR="00314CCB" w:rsidRPr="00B70651" w:rsidRDefault="00314CCB">
      <w:pPr>
        <w:pStyle w:val="Textpoznpodarou"/>
      </w:pPr>
      <w:r w:rsidRPr="00B70651">
        <w:rPr>
          <w:rStyle w:val="Znakapoznpodarou"/>
        </w:rPr>
        <w:footnoteRef/>
      </w:r>
      <w:r w:rsidRPr="00B70651">
        <w:t xml:space="preserve"> Směrnice ředitelky č. SE 0</w:t>
      </w:r>
      <w:r w:rsidR="001F15B3">
        <w:t>3</w:t>
      </w:r>
      <w:r w:rsidRPr="00B70651">
        <w:t>/201</w:t>
      </w:r>
      <w:r w:rsidR="001F15B3">
        <w:t>9</w:t>
      </w:r>
      <w:r w:rsidRPr="00B70651">
        <w:t xml:space="preserve"> Uveřejňování smluv v registru smluv.</w:t>
      </w:r>
    </w:p>
  </w:footnote>
  <w:footnote w:id="43">
    <w:p w:rsidR="007B1AB1" w:rsidRDefault="007B1AB1" w:rsidP="007B1A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1AB1">
        <w:t>§ 36 zákona</w:t>
      </w:r>
      <w:r>
        <w:t>.</w:t>
      </w:r>
    </w:p>
  </w:footnote>
  <w:footnote w:id="44">
    <w:p w:rsidR="00F27E58" w:rsidRDefault="00F27E58" w:rsidP="00F27E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68A5">
        <w:t xml:space="preserve">§ </w:t>
      </w:r>
      <w:r w:rsidR="00EC53B7">
        <w:t>241 a násl. zákona</w:t>
      </w:r>
      <w:r w:rsidR="009D6BD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C4" w:rsidRDefault="00A82FC4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A82FC4" w:rsidRDefault="005F089F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6BEC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A82FC4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24EF"/>
    <w:multiLevelType w:val="multilevel"/>
    <w:tmpl w:val="36DE2B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A2150E"/>
    <w:multiLevelType w:val="multilevel"/>
    <w:tmpl w:val="39643638"/>
    <w:numStyleLink w:val="Pedpisy971"/>
  </w:abstractNum>
  <w:abstractNum w:abstractNumId="2" w15:restartNumberingAfterBreak="0">
    <w:nsid w:val="0B032985"/>
    <w:multiLevelType w:val="multilevel"/>
    <w:tmpl w:val="F82C655A"/>
    <w:numStyleLink w:val="Pedpisy97"/>
  </w:abstractNum>
  <w:abstractNum w:abstractNumId="3" w15:restartNumberingAfterBreak="0">
    <w:nsid w:val="0E417C81"/>
    <w:multiLevelType w:val="multilevel"/>
    <w:tmpl w:val="F82C655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6B483C"/>
    <w:multiLevelType w:val="multilevel"/>
    <w:tmpl w:val="F82C655A"/>
    <w:numStyleLink w:val="Pedpisy97"/>
  </w:abstractNum>
  <w:abstractNum w:abstractNumId="5" w15:restartNumberingAfterBreak="0">
    <w:nsid w:val="12E87109"/>
    <w:multiLevelType w:val="multilevel"/>
    <w:tmpl w:val="39643638"/>
    <w:numStyleLink w:val="Pedpisy971"/>
  </w:abstractNum>
  <w:abstractNum w:abstractNumId="6" w15:restartNumberingAfterBreak="0">
    <w:nsid w:val="12F74997"/>
    <w:multiLevelType w:val="multilevel"/>
    <w:tmpl w:val="F82C655A"/>
    <w:numStyleLink w:val="Pedpisy97"/>
  </w:abstractNum>
  <w:abstractNum w:abstractNumId="7" w15:restartNumberingAfterBreak="0">
    <w:nsid w:val="13FB2FBC"/>
    <w:multiLevelType w:val="multilevel"/>
    <w:tmpl w:val="F82C655A"/>
    <w:numStyleLink w:val="Pedpisy97"/>
  </w:abstractNum>
  <w:abstractNum w:abstractNumId="8" w15:restartNumberingAfterBreak="0">
    <w:nsid w:val="162C3FD2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7F74EF"/>
    <w:multiLevelType w:val="multilevel"/>
    <w:tmpl w:val="396436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9115B61"/>
    <w:multiLevelType w:val="multilevel"/>
    <w:tmpl w:val="F82C655A"/>
    <w:numStyleLink w:val="Pedpisy97"/>
  </w:abstractNum>
  <w:abstractNum w:abstractNumId="11" w15:restartNumberingAfterBreak="0">
    <w:nsid w:val="191B65BE"/>
    <w:multiLevelType w:val="hybridMultilevel"/>
    <w:tmpl w:val="77E61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C1C5B"/>
    <w:multiLevelType w:val="multilevel"/>
    <w:tmpl w:val="F82C655A"/>
    <w:numStyleLink w:val="Pedpisy97"/>
  </w:abstractNum>
  <w:abstractNum w:abstractNumId="13" w15:restartNumberingAfterBreak="0">
    <w:nsid w:val="1973064A"/>
    <w:multiLevelType w:val="multilevel"/>
    <w:tmpl w:val="F82C655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C55989"/>
    <w:multiLevelType w:val="multilevel"/>
    <w:tmpl w:val="39643638"/>
    <w:styleLink w:val="Pedpisy97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590D53"/>
    <w:multiLevelType w:val="multilevel"/>
    <w:tmpl w:val="F82C655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9D5169B"/>
    <w:multiLevelType w:val="multilevel"/>
    <w:tmpl w:val="F82C655A"/>
    <w:numStyleLink w:val="Pedpisy97"/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EB2B48"/>
    <w:multiLevelType w:val="multilevel"/>
    <w:tmpl w:val="F82C655A"/>
    <w:numStyleLink w:val="Pedpisy97"/>
  </w:abstractNum>
  <w:abstractNum w:abstractNumId="19" w15:restartNumberingAfterBreak="0">
    <w:nsid w:val="32C85EB3"/>
    <w:multiLevelType w:val="multilevel"/>
    <w:tmpl w:val="F82C655A"/>
    <w:numStyleLink w:val="Pedpisy97"/>
  </w:abstractNum>
  <w:abstractNum w:abstractNumId="20" w15:restartNumberingAfterBreak="0">
    <w:nsid w:val="33ED3860"/>
    <w:multiLevelType w:val="multilevel"/>
    <w:tmpl w:val="39643638"/>
    <w:numStyleLink w:val="Pedpisy971"/>
  </w:abstractNum>
  <w:abstractNum w:abstractNumId="21" w15:restartNumberingAfterBreak="0">
    <w:nsid w:val="3A255B01"/>
    <w:multiLevelType w:val="multilevel"/>
    <w:tmpl w:val="39643638"/>
    <w:numStyleLink w:val="Pedpisy971"/>
  </w:abstractNum>
  <w:abstractNum w:abstractNumId="22" w15:restartNumberingAfterBreak="0">
    <w:nsid w:val="3B8406E1"/>
    <w:multiLevelType w:val="multilevel"/>
    <w:tmpl w:val="F82C655A"/>
    <w:numStyleLink w:val="Pedpisy97"/>
  </w:abstractNum>
  <w:abstractNum w:abstractNumId="23" w15:restartNumberingAfterBreak="0">
    <w:nsid w:val="41912038"/>
    <w:multiLevelType w:val="multilevel"/>
    <w:tmpl w:val="F82C655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755599A"/>
    <w:multiLevelType w:val="multilevel"/>
    <w:tmpl w:val="F82C655A"/>
    <w:numStyleLink w:val="Pedpisy97"/>
  </w:abstractNum>
  <w:abstractNum w:abstractNumId="25" w15:restartNumberingAfterBreak="0">
    <w:nsid w:val="483E2FA0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940BA0"/>
    <w:multiLevelType w:val="multilevel"/>
    <w:tmpl w:val="39643638"/>
    <w:numStyleLink w:val="Pedpisy971"/>
  </w:abstractNum>
  <w:abstractNum w:abstractNumId="27" w15:restartNumberingAfterBreak="0">
    <w:nsid w:val="4A5F6B40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Zero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B64DCD"/>
    <w:multiLevelType w:val="multilevel"/>
    <w:tmpl w:val="F82C655A"/>
    <w:numStyleLink w:val="Pedpisy97"/>
  </w:abstractNum>
  <w:abstractNum w:abstractNumId="29" w15:restartNumberingAfterBreak="0">
    <w:nsid w:val="4FB5198A"/>
    <w:multiLevelType w:val="multilevel"/>
    <w:tmpl w:val="F82C655A"/>
    <w:numStyleLink w:val="Pedpisy97"/>
  </w:abstractNum>
  <w:abstractNum w:abstractNumId="30" w15:restartNumberingAfterBreak="0">
    <w:nsid w:val="50685C3A"/>
    <w:multiLevelType w:val="hybridMultilevel"/>
    <w:tmpl w:val="A8AE8FB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572B6F"/>
    <w:multiLevelType w:val="multilevel"/>
    <w:tmpl w:val="F82C655A"/>
    <w:numStyleLink w:val="Pedpisy97"/>
  </w:abstractNum>
  <w:abstractNum w:abstractNumId="32" w15:restartNumberingAfterBreak="0">
    <w:nsid w:val="568B594F"/>
    <w:multiLevelType w:val="hybridMultilevel"/>
    <w:tmpl w:val="8160A600"/>
    <w:lvl w:ilvl="0" w:tplc="DE2820D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6C6022"/>
    <w:multiLevelType w:val="multilevel"/>
    <w:tmpl w:val="39643638"/>
    <w:numStyleLink w:val="Pedpisy971"/>
  </w:abstractNum>
  <w:abstractNum w:abstractNumId="34" w15:restartNumberingAfterBreak="0">
    <w:nsid w:val="6088085E"/>
    <w:multiLevelType w:val="multilevel"/>
    <w:tmpl w:val="396436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0D21990"/>
    <w:multiLevelType w:val="multilevel"/>
    <w:tmpl w:val="F82C655A"/>
    <w:numStyleLink w:val="Pedpisy97"/>
  </w:abstractNum>
  <w:abstractNum w:abstractNumId="36" w15:restartNumberingAfterBreak="0">
    <w:nsid w:val="6596762A"/>
    <w:multiLevelType w:val="multilevel"/>
    <w:tmpl w:val="F82C655A"/>
    <w:numStyleLink w:val="Pedpisy97"/>
  </w:abstractNum>
  <w:abstractNum w:abstractNumId="37" w15:restartNumberingAfterBreak="0">
    <w:nsid w:val="66A8051D"/>
    <w:multiLevelType w:val="multilevel"/>
    <w:tmpl w:val="0C741C7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8332E45"/>
    <w:multiLevelType w:val="multilevel"/>
    <w:tmpl w:val="F82C655A"/>
    <w:numStyleLink w:val="Pedpisy97"/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3"/>
        </w:tabs>
        <w:ind w:left="851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BA4928"/>
    <w:multiLevelType w:val="hybridMultilevel"/>
    <w:tmpl w:val="D3BEA9E2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1" w15:restartNumberingAfterBreak="0">
    <w:nsid w:val="7342695B"/>
    <w:multiLevelType w:val="multilevel"/>
    <w:tmpl w:val="F82C655A"/>
    <w:numStyleLink w:val="Pedpisy97"/>
  </w:abstractNum>
  <w:abstractNum w:abstractNumId="42" w15:restartNumberingAfterBreak="0">
    <w:nsid w:val="758700CE"/>
    <w:multiLevelType w:val="multilevel"/>
    <w:tmpl w:val="F82C655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AF608FA"/>
    <w:multiLevelType w:val="hybridMultilevel"/>
    <w:tmpl w:val="3C3053A4"/>
    <w:lvl w:ilvl="0" w:tplc="B548FB0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5351D"/>
    <w:multiLevelType w:val="hybridMultilevel"/>
    <w:tmpl w:val="A0008B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F40941"/>
    <w:multiLevelType w:val="hybridMultilevel"/>
    <w:tmpl w:val="5058D762"/>
    <w:lvl w:ilvl="0" w:tplc="040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0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 w:val="0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91" w:hanging="397"/>
        </w:pPr>
        <w:rPr>
          <w:rFonts w:ascii="Symbol" w:hAnsi="Symbol" w:hint="default"/>
        </w:rPr>
      </w:lvl>
    </w:lvlOverride>
    <w:lvlOverride w:ilvl="3">
      <w:lvl w:ilvl="3">
        <w:start w:val="1"/>
        <w:numFmt w:val="lowerRoman"/>
        <w:lvlText w:val="%4."/>
        <w:lvlJc w:val="right"/>
        <w:pPr>
          <w:ind w:left="158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1"/>
  </w:num>
  <w:num w:numId="7">
    <w:abstractNumId w:val="21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91" w:hanging="397"/>
        </w:pPr>
        <w:rPr>
          <w:rFonts w:ascii="Symbol" w:hAnsi="Symbol" w:hint="default"/>
        </w:rPr>
      </w:lvl>
    </w:lvlOverride>
    <w:lvlOverride w:ilvl="3">
      <w:lvl w:ilvl="3">
        <w:start w:val="1"/>
        <w:numFmt w:val="lowerRoman"/>
        <w:lvlText w:val="%4."/>
        <w:lvlJc w:val="right"/>
        <w:pPr>
          <w:ind w:left="158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23"/>
  </w:num>
  <w:num w:numId="9">
    <w:abstractNumId w:val="15"/>
  </w:num>
  <w:num w:numId="10">
    <w:abstractNumId w:val="26"/>
  </w:num>
  <w:num w:numId="11">
    <w:abstractNumId w:val="33"/>
  </w:num>
  <w:num w:numId="12">
    <w:abstractNumId w:val="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3"/>
  </w:num>
  <w:num w:numId="16">
    <w:abstractNumId w:val="32"/>
  </w:num>
  <w:num w:numId="17">
    <w:abstractNumId w:val="11"/>
  </w:num>
  <w:num w:numId="18">
    <w:abstractNumId w:val="7"/>
  </w:num>
  <w:num w:numId="19">
    <w:abstractNumId w:val="10"/>
    <w:lvlOverride w:ilvl="1">
      <w:lvl w:ilvl="1">
        <w:start w:val="1"/>
        <w:numFmt w:val="lowerLetter"/>
        <w:lvlText w:val="%2)"/>
        <w:lvlJc w:val="left"/>
        <w:pPr>
          <w:ind w:left="680" w:hanging="283"/>
        </w:pPr>
        <w:rPr>
          <w:rFonts w:hint="default"/>
          <w:b w:val="0"/>
        </w:rPr>
      </w:lvl>
    </w:lvlOverride>
  </w:num>
  <w:num w:numId="20">
    <w:abstractNumId w:val="16"/>
  </w:num>
  <w:num w:numId="21">
    <w:abstractNumId w:val="3"/>
  </w:num>
  <w:num w:numId="22">
    <w:abstractNumId w:val="43"/>
  </w:num>
  <w:num w:numId="23">
    <w:abstractNumId w:val="4"/>
  </w:num>
  <w:num w:numId="24">
    <w:abstractNumId w:val="42"/>
  </w:num>
  <w:num w:numId="25">
    <w:abstractNumId w:val="37"/>
  </w:num>
  <w:num w:numId="26">
    <w:abstractNumId w:val="9"/>
  </w:num>
  <w:num w:numId="27">
    <w:abstractNumId w:val="36"/>
  </w:num>
  <w:num w:numId="28">
    <w:abstractNumId w:val="2"/>
  </w:num>
  <w:num w:numId="29">
    <w:abstractNumId w:val="27"/>
  </w:num>
  <w:num w:numId="30">
    <w:abstractNumId w:val="8"/>
  </w:num>
  <w:num w:numId="31">
    <w:abstractNumId w:val="25"/>
  </w:num>
  <w:num w:numId="32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3">
    <w:abstractNumId w:val="34"/>
  </w:num>
  <w:num w:numId="34">
    <w:abstractNumId w:val="44"/>
  </w:num>
  <w:num w:numId="35">
    <w:abstractNumId w:val="40"/>
  </w:num>
  <w:num w:numId="36">
    <w:abstractNumId w:val="30"/>
  </w:num>
  <w:num w:numId="37">
    <w:abstractNumId w:val="38"/>
  </w:num>
  <w:num w:numId="38">
    <w:abstractNumId w:val="22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hint="default"/>
          <w:b w:val="0"/>
        </w:rPr>
      </w:lvl>
    </w:lvlOverride>
  </w:num>
  <w:num w:numId="39">
    <w:abstractNumId w:val="35"/>
  </w:num>
  <w:num w:numId="40">
    <w:abstractNumId w:val="31"/>
  </w:num>
  <w:num w:numId="41">
    <w:abstractNumId w:val="28"/>
    <w:lvlOverride w:ilvl="1">
      <w:lvl w:ilvl="1">
        <w:start w:val="1"/>
        <w:numFmt w:val="lowerLetter"/>
        <w:lvlText w:val="%2)"/>
        <w:lvlJc w:val="left"/>
        <w:pPr>
          <w:ind w:left="680" w:hanging="283"/>
        </w:pPr>
        <w:rPr>
          <w:rFonts w:hint="default"/>
          <w:b w:val="0"/>
        </w:rPr>
      </w:lvl>
    </w:lvlOverride>
  </w:num>
  <w:num w:numId="42">
    <w:abstractNumId w:val="29"/>
  </w:num>
  <w:num w:numId="43">
    <w:abstractNumId w:val="41"/>
  </w:num>
  <w:num w:numId="44">
    <w:abstractNumId w:val="18"/>
  </w:num>
  <w:num w:numId="45">
    <w:abstractNumId w:val="19"/>
  </w:num>
  <w:num w:numId="46">
    <w:abstractNumId w:val="24"/>
  </w:num>
  <w:num w:numId="47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C"/>
    <w:rsid w:val="00004974"/>
    <w:rsid w:val="00010C1A"/>
    <w:rsid w:val="0001354C"/>
    <w:rsid w:val="000150FC"/>
    <w:rsid w:val="00025088"/>
    <w:rsid w:val="00025E92"/>
    <w:rsid w:val="0003014A"/>
    <w:rsid w:val="0003133F"/>
    <w:rsid w:val="00035C7F"/>
    <w:rsid w:val="0003683F"/>
    <w:rsid w:val="000370FD"/>
    <w:rsid w:val="00041136"/>
    <w:rsid w:val="00041368"/>
    <w:rsid w:val="0004273D"/>
    <w:rsid w:val="00042878"/>
    <w:rsid w:val="00042E64"/>
    <w:rsid w:val="00043D43"/>
    <w:rsid w:val="000447C6"/>
    <w:rsid w:val="000448A0"/>
    <w:rsid w:val="000479CD"/>
    <w:rsid w:val="00057E32"/>
    <w:rsid w:val="00063A51"/>
    <w:rsid w:val="00064768"/>
    <w:rsid w:val="000724FE"/>
    <w:rsid w:val="00072ACE"/>
    <w:rsid w:val="00072D38"/>
    <w:rsid w:val="000822BF"/>
    <w:rsid w:val="000833D6"/>
    <w:rsid w:val="00084B40"/>
    <w:rsid w:val="00085470"/>
    <w:rsid w:val="00086105"/>
    <w:rsid w:val="000863FB"/>
    <w:rsid w:val="00086443"/>
    <w:rsid w:val="00087D3B"/>
    <w:rsid w:val="0009451F"/>
    <w:rsid w:val="000947AE"/>
    <w:rsid w:val="00095B8A"/>
    <w:rsid w:val="00096BFD"/>
    <w:rsid w:val="000A15BE"/>
    <w:rsid w:val="000A273F"/>
    <w:rsid w:val="000A2E1C"/>
    <w:rsid w:val="000B09C9"/>
    <w:rsid w:val="000B37ED"/>
    <w:rsid w:val="000B72B1"/>
    <w:rsid w:val="000C5880"/>
    <w:rsid w:val="000C6753"/>
    <w:rsid w:val="000D08D1"/>
    <w:rsid w:val="000D6A90"/>
    <w:rsid w:val="000D789E"/>
    <w:rsid w:val="000E2096"/>
    <w:rsid w:val="000E2E9E"/>
    <w:rsid w:val="000E3A0B"/>
    <w:rsid w:val="000E792F"/>
    <w:rsid w:val="000F0F8A"/>
    <w:rsid w:val="000F1146"/>
    <w:rsid w:val="000F4370"/>
    <w:rsid w:val="00100ED8"/>
    <w:rsid w:val="0010504B"/>
    <w:rsid w:val="001057DF"/>
    <w:rsid w:val="001131F4"/>
    <w:rsid w:val="00114866"/>
    <w:rsid w:val="00115BCA"/>
    <w:rsid w:val="00116C50"/>
    <w:rsid w:val="00117486"/>
    <w:rsid w:val="001227F3"/>
    <w:rsid w:val="001256D7"/>
    <w:rsid w:val="00126370"/>
    <w:rsid w:val="001314F2"/>
    <w:rsid w:val="00131A4A"/>
    <w:rsid w:val="0013301C"/>
    <w:rsid w:val="00133088"/>
    <w:rsid w:val="00137055"/>
    <w:rsid w:val="00141F03"/>
    <w:rsid w:val="00142B5B"/>
    <w:rsid w:val="00142F71"/>
    <w:rsid w:val="00145C10"/>
    <w:rsid w:val="00145D1E"/>
    <w:rsid w:val="0014627B"/>
    <w:rsid w:val="00146AE4"/>
    <w:rsid w:val="00151BF7"/>
    <w:rsid w:val="00154F8F"/>
    <w:rsid w:val="0015515B"/>
    <w:rsid w:val="0015692E"/>
    <w:rsid w:val="001570AA"/>
    <w:rsid w:val="00163B7C"/>
    <w:rsid w:val="00165EB7"/>
    <w:rsid w:val="001662B7"/>
    <w:rsid w:val="00170EFF"/>
    <w:rsid w:val="00171757"/>
    <w:rsid w:val="00176196"/>
    <w:rsid w:val="0017744A"/>
    <w:rsid w:val="001859C4"/>
    <w:rsid w:val="00187C3A"/>
    <w:rsid w:val="001901F1"/>
    <w:rsid w:val="00192BCD"/>
    <w:rsid w:val="00193B6F"/>
    <w:rsid w:val="001976E0"/>
    <w:rsid w:val="001A07A8"/>
    <w:rsid w:val="001A42B3"/>
    <w:rsid w:val="001A446D"/>
    <w:rsid w:val="001A55F0"/>
    <w:rsid w:val="001B2143"/>
    <w:rsid w:val="001B45BE"/>
    <w:rsid w:val="001B478B"/>
    <w:rsid w:val="001B58C1"/>
    <w:rsid w:val="001B623B"/>
    <w:rsid w:val="001C3DD4"/>
    <w:rsid w:val="001C7007"/>
    <w:rsid w:val="001C702C"/>
    <w:rsid w:val="001D250D"/>
    <w:rsid w:val="001D3571"/>
    <w:rsid w:val="001D3FA6"/>
    <w:rsid w:val="001E0C3C"/>
    <w:rsid w:val="001E133B"/>
    <w:rsid w:val="001E6528"/>
    <w:rsid w:val="001E6A9D"/>
    <w:rsid w:val="001E6DDC"/>
    <w:rsid w:val="001E70CD"/>
    <w:rsid w:val="001F09CA"/>
    <w:rsid w:val="001F15B3"/>
    <w:rsid w:val="001F2432"/>
    <w:rsid w:val="001F6562"/>
    <w:rsid w:val="002031B3"/>
    <w:rsid w:val="00203752"/>
    <w:rsid w:val="00204400"/>
    <w:rsid w:val="0020451B"/>
    <w:rsid w:val="00207027"/>
    <w:rsid w:val="00210D58"/>
    <w:rsid w:val="00211196"/>
    <w:rsid w:val="002116BE"/>
    <w:rsid w:val="0021341B"/>
    <w:rsid w:val="00214CBE"/>
    <w:rsid w:val="002212E7"/>
    <w:rsid w:val="0022205A"/>
    <w:rsid w:val="00222D11"/>
    <w:rsid w:val="00223873"/>
    <w:rsid w:val="00226ED1"/>
    <w:rsid w:val="00231BDE"/>
    <w:rsid w:val="002322F3"/>
    <w:rsid w:val="00232B2E"/>
    <w:rsid w:val="00233188"/>
    <w:rsid w:val="00233380"/>
    <w:rsid w:val="0023468F"/>
    <w:rsid w:val="00234F42"/>
    <w:rsid w:val="00240A98"/>
    <w:rsid w:val="002410E1"/>
    <w:rsid w:val="0024645B"/>
    <w:rsid w:val="00257E8B"/>
    <w:rsid w:val="00262250"/>
    <w:rsid w:val="0026457D"/>
    <w:rsid w:val="002645DE"/>
    <w:rsid w:val="0026524C"/>
    <w:rsid w:val="002706EC"/>
    <w:rsid w:val="00271E27"/>
    <w:rsid w:val="002764A9"/>
    <w:rsid w:val="00283531"/>
    <w:rsid w:val="002867BD"/>
    <w:rsid w:val="0028699B"/>
    <w:rsid w:val="002869D1"/>
    <w:rsid w:val="00286ADB"/>
    <w:rsid w:val="00286E26"/>
    <w:rsid w:val="00287318"/>
    <w:rsid w:val="00287B8F"/>
    <w:rsid w:val="00292DC6"/>
    <w:rsid w:val="002932D8"/>
    <w:rsid w:val="002A0F39"/>
    <w:rsid w:val="002A1807"/>
    <w:rsid w:val="002A5052"/>
    <w:rsid w:val="002A6860"/>
    <w:rsid w:val="002A7659"/>
    <w:rsid w:val="002B4899"/>
    <w:rsid w:val="002B665A"/>
    <w:rsid w:val="002B7B89"/>
    <w:rsid w:val="002C0875"/>
    <w:rsid w:val="002C1A58"/>
    <w:rsid w:val="002C2771"/>
    <w:rsid w:val="002C2DF5"/>
    <w:rsid w:val="002C4350"/>
    <w:rsid w:val="002C49CE"/>
    <w:rsid w:val="002C4A01"/>
    <w:rsid w:val="002C5FB1"/>
    <w:rsid w:val="002C6337"/>
    <w:rsid w:val="002C6472"/>
    <w:rsid w:val="002D0C30"/>
    <w:rsid w:val="002D2720"/>
    <w:rsid w:val="002D53B0"/>
    <w:rsid w:val="002D54FE"/>
    <w:rsid w:val="002D60B5"/>
    <w:rsid w:val="002D6C02"/>
    <w:rsid w:val="002D6C10"/>
    <w:rsid w:val="002D6DA2"/>
    <w:rsid w:val="002D764E"/>
    <w:rsid w:val="002D7D0B"/>
    <w:rsid w:val="002E1226"/>
    <w:rsid w:val="002E1ACA"/>
    <w:rsid w:val="002E5AF3"/>
    <w:rsid w:val="002E5FD8"/>
    <w:rsid w:val="002F0172"/>
    <w:rsid w:val="002F0E50"/>
    <w:rsid w:val="002F1D89"/>
    <w:rsid w:val="003034C1"/>
    <w:rsid w:val="00305EFF"/>
    <w:rsid w:val="0030657A"/>
    <w:rsid w:val="00312EA3"/>
    <w:rsid w:val="00314CCB"/>
    <w:rsid w:val="00315E47"/>
    <w:rsid w:val="00315E4E"/>
    <w:rsid w:val="00315E54"/>
    <w:rsid w:val="0031772E"/>
    <w:rsid w:val="00317C9E"/>
    <w:rsid w:val="00320292"/>
    <w:rsid w:val="00320A60"/>
    <w:rsid w:val="00322F89"/>
    <w:rsid w:val="003248BC"/>
    <w:rsid w:val="0033053F"/>
    <w:rsid w:val="00331175"/>
    <w:rsid w:val="00333B16"/>
    <w:rsid w:val="003364F4"/>
    <w:rsid w:val="00336644"/>
    <w:rsid w:val="00343DE2"/>
    <w:rsid w:val="0034798B"/>
    <w:rsid w:val="00347D1A"/>
    <w:rsid w:val="00350123"/>
    <w:rsid w:val="00350503"/>
    <w:rsid w:val="0035333A"/>
    <w:rsid w:val="003538DB"/>
    <w:rsid w:val="00361C03"/>
    <w:rsid w:val="00365151"/>
    <w:rsid w:val="003651D5"/>
    <w:rsid w:val="00373404"/>
    <w:rsid w:val="003743C7"/>
    <w:rsid w:val="00382067"/>
    <w:rsid w:val="00383D0E"/>
    <w:rsid w:val="00383E9C"/>
    <w:rsid w:val="003840B5"/>
    <w:rsid w:val="0039500E"/>
    <w:rsid w:val="00395578"/>
    <w:rsid w:val="00396201"/>
    <w:rsid w:val="003A086F"/>
    <w:rsid w:val="003A0BD2"/>
    <w:rsid w:val="003A1ACF"/>
    <w:rsid w:val="003A4FA4"/>
    <w:rsid w:val="003A6671"/>
    <w:rsid w:val="003A7D17"/>
    <w:rsid w:val="003B123F"/>
    <w:rsid w:val="003B1262"/>
    <w:rsid w:val="003B18D1"/>
    <w:rsid w:val="003B1B62"/>
    <w:rsid w:val="003B1DBD"/>
    <w:rsid w:val="003C08BC"/>
    <w:rsid w:val="003C11AF"/>
    <w:rsid w:val="003C373F"/>
    <w:rsid w:val="003C5176"/>
    <w:rsid w:val="003D3836"/>
    <w:rsid w:val="003D57FC"/>
    <w:rsid w:val="003D6937"/>
    <w:rsid w:val="003D7DF5"/>
    <w:rsid w:val="003E3C1A"/>
    <w:rsid w:val="003E3F76"/>
    <w:rsid w:val="003E542D"/>
    <w:rsid w:val="003E63F0"/>
    <w:rsid w:val="003F52E4"/>
    <w:rsid w:val="003F698D"/>
    <w:rsid w:val="003F7D53"/>
    <w:rsid w:val="00401F84"/>
    <w:rsid w:val="00405FB0"/>
    <w:rsid w:val="004065C5"/>
    <w:rsid w:val="00407F24"/>
    <w:rsid w:val="00412107"/>
    <w:rsid w:val="00412598"/>
    <w:rsid w:val="0041708C"/>
    <w:rsid w:val="0041720C"/>
    <w:rsid w:val="00421C34"/>
    <w:rsid w:val="004341E7"/>
    <w:rsid w:val="00440ED2"/>
    <w:rsid w:val="004413CE"/>
    <w:rsid w:val="00445136"/>
    <w:rsid w:val="00446DD8"/>
    <w:rsid w:val="00451113"/>
    <w:rsid w:val="004524CC"/>
    <w:rsid w:val="0045296F"/>
    <w:rsid w:val="00456285"/>
    <w:rsid w:val="00457045"/>
    <w:rsid w:val="00460EB6"/>
    <w:rsid w:val="00471D55"/>
    <w:rsid w:val="00473E1B"/>
    <w:rsid w:val="00481344"/>
    <w:rsid w:val="0049058A"/>
    <w:rsid w:val="00491434"/>
    <w:rsid w:val="00491F58"/>
    <w:rsid w:val="004924E1"/>
    <w:rsid w:val="00493289"/>
    <w:rsid w:val="00493806"/>
    <w:rsid w:val="00497E45"/>
    <w:rsid w:val="004A04A3"/>
    <w:rsid w:val="004A3BC5"/>
    <w:rsid w:val="004A6634"/>
    <w:rsid w:val="004B0E4F"/>
    <w:rsid w:val="004B4010"/>
    <w:rsid w:val="004C1D46"/>
    <w:rsid w:val="004C4044"/>
    <w:rsid w:val="004C5871"/>
    <w:rsid w:val="004C6D9F"/>
    <w:rsid w:val="004C72B3"/>
    <w:rsid w:val="004D001B"/>
    <w:rsid w:val="004D1801"/>
    <w:rsid w:val="004D2905"/>
    <w:rsid w:val="004D3A23"/>
    <w:rsid w:val="004D4577"/>
    <w:rsid w:val="004D5E83"/>
    <w:rsid w:val="004D73BE"/>
    <w:rsid w:val="004E1521"/>
    <w:rsid w:val="004E160A"/>
    <w:rsid w:val="004E2C2D"/>
    <w:rsid w:val="004E696D"/>
    <w:rsid w:val="004E6D87"/>
    <w:rsid w:val="004E6D89"/>
    <w:rsid w:val="004E7D00"/>
    <w:rsid w:val="004F03D9"/>
    <w:rsid w:val="004F2E4A"/>
    <w:rsid w:val="004F6288"/>
    <w:rsid w:val="00501F4C"/>
    <w:rsid w:val="00502367"/>
    <w:rsid w:val="0050323B"/>
    <w:rsid w:val="00503E5F"/>
    <w:rsid w:val="005055C0"/>
    <w:rsid w:val="00507900"/>
    <w:rsid w:val="00507E6A"/>
    <w:rsid w:val="005102BF"/>
    <w:rsid w:val="0051436E"/>
    <w:rsid w:val="00514698"/>
    <w:rsid w:val="005154E5"/>
    <w:rsid w:val="00520210"/>
    <w:rsid w:val="00522E4A"/>
    <w:rsid w:val="00530BEA"/>
    <w:rsid w:val="0053139E"/>
    <w:rsid w:val="00532B5E"/>
    <w:rsid w:val="00532FB0"/>
    <w:rsid w:val="00537733"/>
    <w:rsid w:val="00540C11"/>
    <w:rsid w:val="00542777"/>
    <w:rsid w:val="0054739F"/>
    <w:rsid w:val="0055378A"/>
    <w:rsid w:val="0056125A"/>
    <w:rsid w:val="0056216D"/>
    <w:rsid w:val="005647C5"/>
    <w:rsid w:val="00566635"/>
    <w:rsid w:val="00566CB1"/>
    <w:rsid w:val="00572B68"/>
    <w:rsid w:val="005760ED"/>
    <w:rsid w:val="00576FD0"/>
    <w:rsid w:val="005827B2"/>
    <w:rsid w:val="00585126"/>
    <w:rsid w:val="0058620F"/>
    <w:rsid w:val="0059010C"/>
    <w:rsid w:val="00590339"/>
    <w:rsid w:val="00590523"/>
    <w:rsid w:val="00590641"/>
    <w:rsid w:val="00591BDA"/>
    <w:rsid w:val="0059212F"/>
    <w:rsid w:val="00597095"/>
    <w:rsid w:val="005A1707"/>
    <w:rsid w:val="005A2A2E"/>
    <w:rsid w:val="005A3697"/>
    <w:rsid w:val="005A47F7"/>
    <w:rsid w:val="005A500A"/>
    <w:rsid w:val="005A799D"/>
    <w:rsid w:val="005B4D77"/>
    <w:rsid w:val="005C051C"/>
    <w:rsid w:val="005C3681"/>
    <w:rsid w:val="005C3C27"/>
    <w:rsid w:val="005C410D"/>
    <w:rsid w:val="005C4482"/>
    <w:rsid w:val="005C5810"/>
    <w:rsid w:val="005C69A0"/>
    <w:rsid w:val="005C75A1"/>
    <w:rsid w:val="005D0617"/>
    <w:rsid w:val="005D10D7"/>
    <w:rsid w:val="005D1455"/>
    <w:rsid w:val="005D220C"/>
    <w:rsid w:val="005D5D66"/>
    <w:rsid w:val="005D716F"/>
    <w:rsid w:val="005E11DC"/>
    <w:rsid w:val="005E1E22"/>
    <w:rsid w:val="005E33AB"/>
    <w:rsid w:val="005E579D"/>
    <w:rsid w:val="005F089F"/>
    <w:rsid w:val="005F0996"/>
    <w:rsid w:val="005F09F0"/>
    <w:rsid w:val="005F134D"/>
    <w:rsid w:val="005F2221"/>
    <w:rsid w:val="005F2246"/>
    <w:rsid w:val="005F5163"/>
    <w:rsid w:val="005F55B6"/>
    <w:rsid w:val="005F5763"/>
    <w:rsid w:val="005F70B1"/>
    <w:rsid w:val="00601C7C"/>
    <w:rsid w:val="006022DA"/>
    <w:rsid w:val="00602C8D"/>
    <w:rsid w:val="006048D3"/>
    <w:rsid w:val="00605466"/>
    <w:rsid w:val="00627278"/>
    <w:rsid w:val="006274B5"/>
    <w:rsid w:val="00631FF0"/>
    <w:rsid w:val="00632D7F"/>
    <w:rsid w:val="00633387"/>
    <w:rsid w:val="006345D8"/>
    <w:rsid w:val="0064059A"/>
    <w:rsid w:val="00641D03"/>
    <w:rsid w:val="0065293B"/>
    <w:rsid w:val="006532F9"/>
    <w:rsid w:val="00653C6C"/>
    <w:rsid w:val="00657167"/>
    <w:rsid w:val="00657ACD"/>
    <w:rsid w:val="0066363E"/>
    <w:rsid w:val="006655B1"/>
    <w:rsid w:val="00667D62"/>
    <w:rsid w:val="00670F8D"/>
    <w:rsid w:val="00671D4B"/>
    <w:rsid w:val="0067627E"/>
    <w:rsid w:val="00676B7B"/>
    <w:rsid w:val="00680729"/>
    <w:rsid w:val="00681196"/>
    <w:rsid w:val="0068259E"/>
    <w:rsid w:val="00682778"/>
    <w:rsid w:val="006828C6"/>
    <w:rsid w:val="0068479F"/>
    <w:rsid w:val="00685CA0"/>
    <w:rsid w:val="00686970"/>
    <w:rsid w:val="00690FC2"/>
    <w:rsid w:val="00691B7D"/>
    <w:rsid w:val="00692BFC"/>
    <w:rsid w:val="0069339D"/>
    <w:rsid w:val="0069694E"/>
    <w:rsid w:val="006A1340"/>
    <w:rsid w:val="006A1465"/>
    <w:rsid w:val="006B51AC"/>
    <w:rsid w:val="006B6299"/>
    <w:rsid w:val="006C177E"/>
    <w:rsid w:val="006C22D6"/>
    <w:rsid w:val="006C3A37"/>
    <w:rsid w:val="006C73C6"/>
    <w:rsid w:val="006C73D9"/>
    <w:rsid w:val="006D0AD6"/>
    <w:rsid w:val="006D4968"/>
    <w:rsid w:val="006D59B2"/>
    <w:rsid w:val="006D627F"/>
    <w:rsid w:val="006D69CF"/>
    <w:rsid w:val="006D7565"/>
    <w:rsid w:val="006E0EC5"/>
    <w:rsid w:val="006E2180"/>
    <w:rsid w:val="006E229F"/>
    <w:rsid w:val="006E3C94"/>
    <w:rsid w:val="006E4AEA"/>
    <w:rsid w:val="006E7647"/>
    <w:rsid w:val="006F4092"/>
    <w:rsid w:val="006F44A2"/>
    <w:rsid w:val="006F4D17"/>
    <w:rsid w:val="00704DC9"/>
    <w:rsid w:val="007066B8"/>
    <w:rsid w:val="00710D2F"/>
    <w:rsid w:val="00711867"/>
    <w:rsid w:val="007118DE"/>
    <w:rsid w:val="007127BE"/>
    <w:rsid w:val="00713099"/>
    <w:rsid w:val="00714169"/>
    <w:rsid w:val="00714624"/>
    <w:rsid w:val="00715CEF"/>
    <w:rsid w:val="00717459"/>
    <w:rsid w:val="00720301"/>
    <w:rsid w:val="00721042"/>
    <w:rsid w:val="00723BA1"/>
    <w:rsid w:val="007243AC"/>
    <w:rsid w:val="00727270"/>
    <w:rsid w:val="007274E7"/>
    <w:rsid w:val="00730F9E"/>
    <w:rsid w:val="00731374"/>
    <w:rsid w:val="00731450"/>
    <w:rsid w:val="00732F4A"/>
    <w:rsid w:val="0073603C"/>
    <w:rsid w:val="007361D1"/>
    <w:rsid w:val="00737329"/>
    <w:rsid w:val="00737D3F"/>
    <w:rsid w:val="00743167"/>
    <w:rsid w:val="00743C86"/>
    <w:rsid w:val="007447E4"/>
    <w:rsid w:val="007450EF"/>
    <w:rsid w:val="00745EDA"/>
    <w:rsid w:val="00745F19"/>
    <w:rsid w:val="00746A52"/>
    <w:rsid w:val="007473A9"/>
    <w:rsid w:val="0075159F"/>
    <w:rsid w:val="00751667"/>
    <w:rsid w:val="00753252"/>
    <w:rsid w:val="00753A90"/>
    <w:rsid w:val="00754A66"/>
    <w:rsid w:val="00755662"/>
    <w:rsid w:val="00755D94"/>
    <w:rsid w:val="007604AB"/>
    <w:rsid w:val="00761144"/>
    <w:rsid w:val="007634B2"/>
    <w:rsid w:val="00764C23"/>
    <w:rsid w:val="0076502B"/>
    <w:rsid w:val="00765B21"/>
    <w:rsid w:val="007661F1"/>
    <w:rsid w:val="00766354"/>
    <w:rsid w:val="007663B7"/>
    <w:rsid w:val="00770B29"/>
    <w:rsid w:val="00772743"/>
    <w:rsid w:val="007727D8"/>
    <w:rsid w:val="00773453"/>
    <w:rsid w:val="00773C8B"/>
    <w:rsid w:val="00774F40"/>
    <w:rsid w:val="00776425"/>
    <w:rsid w:val="007830E5"/>
    <w:rsid w:val="0078485B"/>
    <w:rsid w:val="00786E39"/>
    <w:rsid w:val="00787327"/>
    <w:rsid w:val="00793422"/>
    <w:rsid w:val="00794986"/>
    <w:rsid w:val="00796019"/>
    <w:rsid w:val="00796125"/>
    <w:rsid w:val="007A2EDA"/>
    <w:rsid w:val="007A353E"/>
    <w:rsid w:val="007B1AB1"/>
    <w:rsid w:val="007B3FA0"/>
    <w:rsid w:val="007C3CDA"/>
    <w:rsid w:val="007D0ED3"/>
    <w:rsid w:val="007D275E"/>
    <w:rsid w:val="007D584B"/>
    <w:rsid w:val="007E1A85"/>
    <w:rsid w:val="007E1F0F"/>
    <w:rsid w:val="007E273A"/>
    <w:rsid w:val="007E28DF"/>
    <w:rsid w:val="007E36CE"/>
    <w:rsid w:val="007E3CD0"/>
    <w:rsid w:val="007E4F58"/>
    <w:rsid w:val="007E6FA0"/>
    <w:rsid w:val="007F0D6E"/>
    <w:rsid w:val="007F1568"/>
    <w:rsid w:val="007F376D"/>
    <w:rsid w:val="007F6E64"/>
    <w:rsid w:val="0080227A"/>
    <w:rsid w:val="00804316"/>
    <w:rsid w:val="00804639"/>
    <w:rsid w:val="00805F99"/>
    <w:rsid w:val="00806D8E"/>
    <w:rsid w:val="0080754C"/>
    <w:rsid w:val="00810256"/>
    <w:rsid w:val="0081218C"/>
    <w:rsid w:val="00815D8B"/>
    <w:rsid w:val="0081740C"/>
    <w:rsid w:val="00817CDE"/>
    <w:rsid w:val="008240E5"/>
    <w:rsid w:val="00827DDB"/>
    <w:rsid w:val="008317A7"/>
    <w:rsid w:val="008323CB"/>
    <w:rsid w:val="008326F6"/>
    <w:rsid w:val="00833A19"/>
    <w:rsid w:val="0083615B"/>
    <w:rsid w:val="0083773F"/>
    <w:rsid w:val="00837982"/>
    <w:rsid w:val="008421A6"/>
    <w:rsid w:val="00842549"/>
    <w:rsid w:val="008435AD"/>
    <w:rsid w:val="00844DE3"/>
    <w:rsid w:val="008538B4"/>
    <w:rsid w:val="00866229"/>
    <w:rsid w:val="0086679B"/>
    <w:rsid w:val="00867E4D"/>
    <w:rsid w:val="0087004D"/>
    <w:rsid w:val="00876409"/>
    <w:rsid w:val="0088052B"/>
    <w:rsid w:val="008805DA"/>
    <w:rsid w:val="0088793B"/>
    <w:rsid w:val="00895943"/>
    <w:rsid w:val="00896289"/>
    <w:rsid w:val="008963AF"/>
    <w:rsid w:val="0089680D"/>
    <w:rsid w:val="008A0852"/>
    <w:rsid w:val="008A1A0A"/>
    <w:rsid w:val="008A2263"/>
    <w:rsid w:val="008B03FB"/>
    <w:rsid w:val="008B066D"/>
    <w:rsid w:val="008B1316"/>
    <w:rsid w:val="008B45EE"/>
    <w:rsid w:val="008B4D4B"/>
    <w:rsid w:val="008B50EC"/>
    <w:rsid w:val="008B526E"/>
    <w:rsid w:val="008C1CF3"/>
    <w:rsid w:val="008C1F7A"/>
    <w:rsid w:val="008C24AF"/>
    <w:rsid w:val="008C4D45"/>
    <w:rsid w:val="008C66BA"/>
    <w:rsid w:val="008C73F9"/>
    <w:rsid w:val="008D43A3"/>
    <w:rsid w:val="008D590A"/>
    <w:rsid w:val="008E2FF9"/>
    <w:rsid w:val="008E7E46"/>
    <w:rsid w:val="008F0550"/>
    <w:rsid w:val="008F0B34"/>
    <w:rsid w:val="008F0B9D"/>
    <w:rsid w:val="008F4969"/>
    <w:rsid w:val="008F7452"/>
    <w:rsid w:val="00902BE8"/>
    <w:rsid w:val="00904233"/>
    <w:rsid w:val="00907207"/>
    <w:rsid w:val="00907C70"/>
    <w:rsid w:val="00912653"/>
    <w:rsid w:val="00913509"/>
    <w:rsid w:val="00913520"/>
    <w:rsid w:val="009150FF"/>
    <w:rsid w:val="00915CF7"/>
    <w:rsid w:val="00915D01"/>
    <w:rsid w:val="009227C0"/>
    <w:rsid w:val="00922807"/>
    <w:rsid w:val="00923BE3"/>
    <w:rsid w:val="00924C0A"/>
    <w:rsid w:val="00926D25"/>
    <w:rsid w:val="00927FA9"/>
    <w:rsid w:val="00930DA1"/>
    <w:rsid w:val="0093219D"/>
    <w:rsid w:val="0093387B"/>
    <w:rsid w:val="00935745"/>
    <w:rsid w:val="009371D5"/>
    <w:rsid w:val="009377C1"/>
    <w:rsid w:val="009426EE"/>
    <w:rsid w:val="009432AE"/>
    <w:rsid w:val="00943A21"/>
    <w:rsid w:val="00947EF9"/>
    <w:rsid w:val="009547CC"/>
    <w:rsid w:val="00956BE0"/>
    <w:rsid w:val="00957778"/>
    <w:rsid w:val="009640BC"/>
    <w:rsid w:val="00965A60"/>
    <w:rsid w:val="00974BC9"/>
    <w:rsid w:val="00975533"/>
    <w:rsid w:val="00976727"/>
    <w:rsid w:val="00983653"/>
    <w:rsid w:val="009848F9"/>
    <w:rsid w:val="00984C53"/>
    <w:rsid w:val="00984D80"/>
    <w:rsid w:val="009873A7"/>
    <w:rsid w:val="00992560"/>
    <w:rsid w:val="00993ECB"/>
    <w:rsid w:val="009A1633"/>
    <w:rsid w:val="009A1694"/>
    <w:rsid w:val="009A17B0"/>
    <w:rsid w:val="009A6703"/>
    <w:rsid w:val="009B1D2C"/>
    <w:rsid w:val="009B2F69"/>
    <w:rsid w:val="009B358A"/>
    <w:rsid w:val="009B36E5"/>
    <w:rsid w:val="009B4A96"/>
    <w:rsid w:val="009B704B"/>
    <w:rsid w:val="009C0069"/>
    <w:rsid w:val="009C1557"/>
    <w:rsid w:val="009C30D2"/>
    <w:rsid w:val="009C4896"/>
    <w:rsid w:val="009C497D"/>
    <w:rsid w:val="009C68E8"/>
    <w:rsid w:val="009C7A98"/>
    <w:rsid w:val="009D1AB5"/>
    <w:rsid w:val="009D3520"/>
    <w:rsid w:val="009D4625"/>
    <w:rsid w:val="009D6BD0"/>
    <w:rsid w:val="009E1790"/>
    <w:rsid w:val="009E34F6"/>
    <w:rsid w:val="009E6115"/>
    <w:rsid w:val="009E62F9"/>
    <w:rsid w:val="009E7E9C"/>
    <w:rsid w:val="009F29F0"/>
    <w:rsid w:val="009F3251"/>
    <w:rsid w:val="009F486D"/>
    <w:rsid w:val="00A015EC"/>
    <w:rsid w:val="00A06D3C"/>
    <w:rsid w:val="00A11D48"/>
    <w:rsid w:val="00A138A9"/>
    <w:rsid w:val="00A21A98"/>
    <w:rsid w:val="00A21AA6"/>
    <w:rsid w:val="00A21AE0"/>
    <w:rsid w:val="00A2255E"/>
    <w:rsid w:val="00A227B4"/>
    <w:rsid w:val="00A22FAE"/>
    <w:rsid w:val="00A24F9C"/>
    <w:rsid w:val="00A25837"/>
    <w:rsid w:val="00A26DDC"/>
    <w:rsid w:val="00A27E5E"/>
    <w:rsid w:val="00A35708"/>
    <w:rsid w:val="00A360BA"/>
    <w:rsid w:val="00A36875"/>
    <w:rsid w:val="00A37A41"/>
    <w:rsid w:val="00A416AE"/>
    <w:rsid w:val="00A42395"/>
    <w:rsid w:val="00A42A30"/>
    <w:rsid w:val="00A5179E"/>
    <w:rsid w:val="00A53AF0"/>
    <w:rsid w:val="00A54E25"/>
    <w:rsid w:val="00A60BB0"/>
    <w:rsid w:val="00A610F0"/>
    <w:rsid w:val="00A61E51"/>
    <w:rsid w:val="00A721E8"/>
    <w:rsid w:val="00A72247"/>
    <w:rsid w:val="00A729D6"/>
    <w:rsid w:val="00A738AC"/>
    <w:rsid w:val="00A73CD8"/>
    <w:rsid w:val="00A75DCF"/>
    <w:rsid w:val="00A76B77"/>
    <w:rsid w:val="00A82FC4"/>
    <w:rsid w:val="00A833DC"/>
    <w:rsid w:val="00A83A7C"/>
    <w:rsid w:val="00A83C5E"/>
    <w:rsid w:val="00A85B4A"/>
    <w:rsid w:val="00A91019"/>
    <w:rsid w:val="00A926A0"/>
    <w:rsid w:val="00A92B18"/>
    <w:rsid w:val="00A94962"/>
    <w:rsid w:val="00A94FB6"/>
    <w:rsid w:val="00A96947"/>
    <w:rsid w:val="00AA0D8B"/>
    <w:rsid w:val="00AA398A"/>
    <w:rsid w:val="00AA639C"/>
    <w:rsid w:val="00AB44F2"/>
    <w:rsid w:val="00AB63B8"/>
    <w:rsid w:val="00AC167C"/>
    <w:rsid w:val="00AC377C"/>
    <w:rsid w:val="00AC6BCC"/>
    <w:rsid w:val="00AC7769"/>
    <w:rsid w:val="00AD1E22"/>
    <w:rsid w:val="00AD480F"/>
    <w:rsid w:val="00AD5ACD"/>
    <w:rsid w:val="00AD65AC"/>
    <w:rsid w:val="00AD78C8"/>
    <w:rsid w:val="00AE240F"/>
    <w:rsid w:val="00AE37F2"/>
    <w:rsid w:val="00AE6895"/>
    <w:rsid w:val="00AF01F6"/>
    <w:rsid w:val="00AF2457"/>
    <w:rsid w:val="00AF2C6D"/>
    <w:rsid w:val="00AF33FA"/>
    <w:rsid w:val="00AF3653"/>
    <w:rsid w:val="00AF39B5"/>
    <w:rsid w:val="00AF48BA"/>
    <w:rsid w:val="00AF5BE1"/>
    <w:rsid w:val="00AF5DEB"/>
    <w:rsid w:val="00AF6952"/>
    <w:rsid w:val="00B01B03"/>
    <w:rsid w:val="00B02110"/>
    <w:rsid w:val="00B025D5"/>
    <w:rsid w:val="00B038B0"/>
    <w:rsid w:val="00B03F4A"/>
    <w:rsid w:val="00B0575A"/>
    <w:rsid w:val="00B14BA5"/>
    <w:rsid w:val="00B16A46"/>
    <w:rsid w:val="00B26A74"/>
    <w:rsid w:val="00B279CA"/>
    <w:rsid w:val="00B27C42"/>
    <w:rsid w:val="00B3159F"/>
    <w:rsid w:val="00B33814"/>
    <w:rsid w:val="00B34266"/>
    <w:rsid w:val="00B357ED"/>
    <w:rsid w:val="00B35862"/>
    <w:rsid w:val="00B36414"/>
    <w:rsid w:val="00B368DC"/>
    <w:rsid w:val="00B36FD1"/>
    <w:rsid w:val="00B3730A"/>
    <w:rsid w:val="00B3778B"/>
    <w:rsid w:val="00B437A5"/>
    <w:rsid w:val="00B50A0D"/>
    <w:rsid w:val="00B50F4C"/>
    <w:rsid w:val="00B5211E"/>
    <w:rsid w:val="00B529D8"/>
    <w:rsid w:val="00B52B42"/>
    <w:rsid w:val="00B55F0B"/>
    <w:rsid w:val="00B566D1"/>
    <w:rsid w:val="00B61366"/>
    <w:rsid w:val="00B61865"/>
    <w:rsid w:val="00B63991"/>
    <w:rsid w:val="00B647EB"/>
    <w:rsid w:val="00B66BC5"/>
    <w:rsid w:val="00B67FEE"/>
    <w:rsid w:val="00B70651"/>
    <w:rsid w:val="00B70CB1"/>
    <w:rsid w:val="00B742A3"/>
    <w:rsid w:val="00B77E3E"/>
    <w:rsid w:val="00B810CD"/>
    <w:rsid w:val="00B82304"/>
    <w:rsid w:val="00B8256D"/>
    <w:rsid w:val="00B83880"/>
    <w:rsid w:val="00B83D09"/>
    <w:rsid w:val="00B87D1D"/>
    <w:rsid w:val="00B9054C"/>
    <w:rsid w:val="00B9198B"/>
    <w:rsid w:val="00B9264C"/>
    <w:rsid w:val="00B933B1"/>
    <w:rsid w:val="00B96316"/>
    <w:rsid w:val="00BA1258"/>
    <w:rsid w:val="00BA248D"/>
    <w:rsid w:val="00BA3B2A"/>
    <w:rsid w:val="00BA5718"/>
    <w:rsid w:val="00BA6E13"/>
    <w:rsid w:val="00BA7EFC"/>
    <w:rsid w:val="00BB32CB"/>
    <w:rsid w:val="00BB49E7"/>
    <w:rsid w:val="00BB5FCF"/>
    <w:rsid w:val="00BB6812"/>
    <w:rsid w:val="00BB711E"/>
    <w:rsid w:val="00BB7D8D"/>
    <w:rsid w:val="00BC1B6D"/>
    <w:rsid w:val="00BC2A4B"/>
    <w:rsid w:val="00BC46A5"/>
    <w:rsid w:val="00BC54A6"/>
    <w:rsid w:val="00BC728C"/>
    <w:rsid w:val="00BD01A9"/>
    <w:rsid w:val="00BD09C7"/>
    <w:rsid w:val="00BD2457"/>
    <w:rsid w:val="00BD3114"/>
    <w:rsid w:val="00BD49A0"/>
    <w:rsid w:val="00BD55FF"/>
    <w:rsid w:val="00BD5B04"/>
    <w:rsid w:val="00BD5FD6"/>
    <w:rsid w:val="00BE65CB"/>
    <w:rsid w:val="00BE780D"/>
    <w:rsid w:val="00BF0643"/>
    <w:rsid w:val="00BF0E72"/>
    <w:rsid w:val="00BF2C2A"/>
    <w:rsid w:val="00BF7315"/>
    <w:rsid w:val="00C055AB"/>
    <w:rsid w:val="00C1489F"/>
    <w:rsid w:val="00C14C30"/>
    <w:rsid w:val="00C151D5"/>
    <w:rsid w:val="00C17FB4"/>
    <w:rsid w:val="00C21912"/>
    <w:rsid w:val="00C24CC5"/>
    <w:rsid w:val="00C32161"/>
    <w:rsid w:val="00C324C3"/>
    <w:rsid w:val="00C34A1F"/>
    <w:rsid w:val="00C37EE9"/>
    <w:rsid w:val="00C4478D"/>
    <w:rsid w:val="00C448F0"/>
    <w:rsid w:val="00C450ED"/>
    <w:rsid w:val="00C5324E"/>
    <w:rsid w:val="00C53C5B"/>
    <w:rsid w:val="00C55890"/>
    <w:rsid w:val="00C575AE"/>
    <w:rsid w:val="00C6073F"/>
    <w:rsid w:val="00C6219E"/>
    <w:rsid w:val="00C65238"/>
    <w:rsid w:val="00C66CBA"/>
    <w:rsid w:val="00C678E7"/>
    <w:rsid w:val="00C70888"/>
    <w:rsid w:val="00C71385"/>
    <w:rsid w:val="00C71EA2"/>
    <w:rsid w:val="00C7474C"/>
    <w:rsid w:val="00C7536C"/>
    <w:rsid w:val="00C75DAA"/>
    <w:rsid w:val="00C778B1"/>
    <w:rsid w:val="00C85360"/>
    <w:rsid w:val="00C90D35"/>
    <w:rsid w:val="00C912CA"/>
    <w:rsid w:val="00C91D19"/>
    <w:rsid w:val="00C93B4D"/>
    <w:rsid w:val="00C969F3"/>
    <w:rsid w:val="00C9718A"/>
    <w:rsid w:val="00C97895"/>
    <w:rsid w:val="00CA4610"/>
    <w:rsid w:val="00CB5317"/>
    <w:rsid w:val="00CB6C8E"/>
    <w:rsid w:val="00CC054E"/>
    <w:rsid w:val="00CC28B4"/>
    <w:rsid w:val="00CC7FFA"/>
    <w:rsid w:val="00CD15E7"/>
    <w:rsid w:val="00CD1802"/>
    <w:rsid w:val="00CD3F89"/>
    <w:rsid w:val="00CD502A"/>
    <w:rsid w:val="00CE0919"/>
    <w:rsid w:val="00CE1DC2"/>
    <w:rsid w:val="00CE4E21"/>
    <w:rsid w:val="00CE6941"/>
    <w:rsid w:val="00CF1392"/>
    <w:rsid w:val="00CF1F79"/>
    <w:rsid w:val="00CF21C6"/>
    <w:rsid w:val="00CF6926"/>
    <w:rsid w:val="00D0073A"/>
    <w:rsid w:val="00D02E9C"/>
    <w:rsid w:val="00D0451F"/>
    <w:rsid w:val="00D04694"/>
    <w:rsid w:val="00D05F74"/>
    <w:rsid w:val="00D06203"/>
    <w:rsid w:val="00D06EEB"/>
    <w:rsid w:val="00D076F3"/>
    <w:rsid w:val="00D1136F"/>
    <w:rsid w:val="00D12E22"/>
    <w:rsid w:val="00D13C3E"/>
    <w:rsid w:val="00D13FB3"/>
    <w:rsid w:val="00D16DF9"/>
    <w:rsid w:val="00D22906"/>
    <w:rsid w:val="00D24ACD"/>
    <w:rsid w:val="00D25751"/>
    <w:rsid w:val="00D261CE"/>
    <w:rsid w:val="00D27B4A"/>
    <w:rsid w:val="00D34560"/>
    <w:rsid w:val="00D346CA"/>
    <w:rsid w:val="00D3619B"/>
    <w:rsid w:val="00D46E6E"/>
    <w:rsid w:val="00D476D9"/>
    <w:rsid w:val="00D5026C"/>
    <w:rsid w:val="00D52021"/>
    <w:rsid w:val="00D522AF"/>
    <w:rsid w:val="00D529D9"/>
    <w:rsid w:val="00D56045"/>
    <w:rsid w:val="00D56B53"/>
    <w:rsid w:val="00D62220"/>
    <w:rsid w:val="00D622DF"/>
    <w:rsid w:val="00D64B0F"/>
    <w:rsid w:val="00D65118"/>
    <w:rsid w:val="00D65B3A"/>
    <w:rsid w:val="00D66735"/>
    <w:rsid w:val="00D722D4"/>
    <w:rsid w:val="00D729BC"/>
    <w:rsid w:val="00D73E84"/>
    <w:rsid w:val="00D741A7"/>
    <w:rsid w:val="00D74BDE"/>
    <w:rsid w:val="00D76789"/>
    <w:rsid w:val="00D77C28"/>
    <w:rsid w:val="00D826D7"/>
    <w:rsid w:val="00D83570"/>
    <w:rsid w:val="00D83BE6"/>
    <w:rsid w:val="00D873BD"/>
    <w:rsid w:val="00D87745"/>
    <w:rsid w:val="00D87A27"/>
    <w:rsid w:val="00D921B4"/>
    <w:rsid w:val="00D9709E"/>
    <w:rsid w:val="00DA1682"/>
    <w:rsid w:val="00DA2BC8"/>
    <w:rsid w:val="00DA6562"/>
    <w:rsid w:val="00DB3433"/>
    <w:rsid w:val="00DB354E"/>
    <w:rsid w:val="00DB40ED"/>
    <w:rsid w:val="00DB58D8"/>
    <w:rsid w:val="00DB6097"/>
    <w:rsid w:val="00DB73CF"/>
    <w:rsid w:val="00DC01E7"/>
    <w:rsid w:val="00DC2CF9"/>
    <w:rsid w:val="00DC3E0F"/>
    <w:rsid w:val="00DC6852"/>
    <w:rsid w:val="00DD0952"/>
    <w:rsid w:val="00DD1140"/>
    <w:rsid w:val="00DD4070"/>
    <w:rsid w:val="00DD5D95"/>
    <w:rsid w:val="00DD6846"/>
    <w:rsid w:val="00DE0679"/>
    <w:rsid w:val="00DE135E"/>
    <w:rsid w:val="00DE2BF7"/>
    <w:rsid w:val="00DE35AC"/>
    <w:rsid w:val="00DE7858"/>
    <w:rsid w:val="00DE7A50"/>
    <w:rsid w:val="00DF04E5"/>
    <w:rsid w:val="00DF73AD"/>
    <w:rsid w:val="00E00A26"/>
    <w:rsid w:val="00E04D11"/>
    <w:rsid w:val="00E058ED"/>
    <w:rsid w:val="00E07A97"/>
    <w:rsid w:val="00E12830"/>
    <w:rsid w:val="00E27377"/>
    <w:rsid w:val="00E30D70"/>
    <w:rsid w:val="00E31994"/>
    <w:rsid w:val="00E32437"/>
    <w:rsid w:val="00E34F26"/>
    <w:rsid w:val="00E41F13"/>
    <w:rsid w:val="00E43CA4"/>
    <w:rsid w:val="00E44A78"/>
    <w:rsid w:val="00E500B3"/>
    <w:rsid w:val="00E508A3"/>
    <w:rsid w:val="00E5134E"/>
    <w:rsid w:val="00E54D93"/>
    <w:rsid w:val="00E56504"/>
    <w:rsid w:val="00E61CD4"/>
    <w:rsid w:val="00E62538"/>
    <w:rsid w:val="00E645B2"/>
    <w:rsid w:val="00E70A0A"/>
    <w:rsid w:val="00E72B36"/>
    <w:rsid w:val="00E75D7F"/>
    <w:rsid w:val="00E77376"/>
    <w:rsid w:val="00E778B9"/>
    <w:rsid w:val="00E77EEA"/>
    <w:rsid w:val="00E80116"/>
    <w:rsid w:val="00E81B1B"/>
    <w:rsid w:val="00E81C74"/>
    <w:rsid w:val="00E821F8"/>
    <w:rsid w:val="00E855AF"/>
    <w:rsid w:val="00E85E3E"/>
    <w:rsid w:val="00E86E63"/>
    <w:rsid w:val="00E92D5B"/>
    <w:rsid w:val="00EA0B7C"/>
    <w:rsid w:val="00EA12A3"/>
    <w:rsid w:val="00EA1865"/>
    <w:rsid w:val="00EA1F58"/>
    <w:rsid w:val="00EA2EDB"/>
    <w:rsid w:val="00EA3DEF"/>
    <w:rsid w:val="00EA411B"/>
    <w:rsid w:val="00EA5A91"/>
    <w:rsid w:val="00EA6CFE"/>
    <w:rsid w:val="00EB25EA"/>
    <w:rsid w:val="00EB48A2"/>
    <w:rsid w:val="00EB5BB9"/>
    <w:rsid w:val="00EB7597"/>
    <w:rsid w:val="00EB799D"/>
    <w:rsid w:val="00EC2057"/>
    <w:rsid w:val="00EC350D"/>
    <w:rsid w:val="00EC53B7"/>
    <w:rsid w:val="00EC7B2B"/>
    <w:rsid w:val="00ED0290"/>
    <w:rsid w:val="00ED1090"/>
    <w:rsid w:val="00ED29BE"/>
    <w:rsid w:val="00ED4ADD"/>
    <w:rsid w:val="00ED5272"/>
    <w:rsid w:val="00ED568E"/>
    <w:rsid w:val="00EE1096"/>
    <w:rsid w:val="00EE5177"/>
    <w:rsid w:val="00EF0780"/>
    <w:rsid w:val="00EF39C6"/>
    <w:rsid w:val="00EF3AC9"/>
    <w:rsid w:val="00EF4AFD"/>
    <w:rsid w:val="00EF73A2"/>
    <w:rsid w:val="00EF7486"/>
    <w:rsid w:val="00EF7495"/>
    <w:rsid w:val="00F0246E"/>
    <w:rsid w:val="00F04839"/>
    <w:rsid w:val="00F04998"/>
    <w:rsid w:val="00F04A21"/>
    <w:rsid w:val="00F04B4C"/>
    <w:rsid w:val="00F055A9"/>
    <w:rsid w:val="00F05748"/>
    <w:rsid w:val="00F12C14"/>
    <w:rsid w:val="00F13E72"/>
    <w:rsid w:val="00F1675F"/>
    <w:rsid w:val="00F249D8"/>
    <w:rsid w:val="00F27E58"/>
    <w:rsid w:val="00F303EF"/>
    <w:rsid w:val="00F312F4"/>
    <w:rsid w:val="00F35789"/>
    <w:rsid w:val="00F4413E"/>
    <w:rsid w:val="00F44543"/>
    <w:rsid w:val="00F4699F"/>
    <w:rsid w:val="00F479FB"/>
    <w:rsid w:val="00F47F26"/>
    <w:rsid w:val="00F50314"/>
    <w:rsid w:val="00F504F5"/>
    <w:rsid w:val="00F525A4"/>
    <w:rsid w:val="00F540EE"/>
    <w:rsid w:val="00F54E07"/>
    <w:rsid w:val="00F57AF6"/>
    <w:rsid w:val="00F6048F"/>
    <w:rsid w:val="00F61282"/>
    <w:rsid w:val="00F61ED2"/>
    <w:rsid w:val="00F622D6"/>
    <w:rsid w:val="00F64A39"/>
    <w:rsid w:val="00F70BE6"/>
    <w:rsid w:val="00F70D52"/>
    <w:rsid w:val="00F712F9"/>
    <w:rsid w:val="00F72C73"/>
    <w:rsid w:val="00F73768"/>
    <w:rsid w:val="00F7528C"/>
    <w:rsid w:val="00F77065"/>
    <w:rsid w:val="00F80C1A"/>
    <w:rsid w:val="00F80ED2"/>
    <w:rsid w:val="00F815ED"/>
    <w:rsid w:val="00F81758"/>
    <w:rsid w:val="00F822A5"/>
    <w:rsid w:val="00F834A2"/>
    <w:rsid w:val="00F83D94"/>
    <w:rsid w:val="00F84836"/>
    <w:rsid w:val="00F85A2C"/>
    <w:rsid w:val="00F86C44"/>
    <w:rsid w:val="00F871F7"/>
    <w:rsid w:val="00F87777"/>
    <w:rsid w:val="00F87817"/>
    <w:rsid w:val="00F90887"/>
    <w:rsid w:val="00F945A6"/>
    <w:rsid w:val="00F94DEF"/>
    <w:rsid w:val="00F969DE"/>
    <w:rsid w:val="00FA21E4"/>
    <w:rsid w:val="00FA5C08"/>
    <w:rsid w:val="00FA618B"/>
    <w:rsid w:val="00FA642B"/>
    <w:rsid w:val="00FA7030"/>
    <w:rsid w:val="00FB0BB5"/>
    <w:rsid w:val="00FB1ED5"/>
    <w:rsid w:val="00FB61BB"/>
    <w:rsid w:val="00FB6577"/>
    <w:rsid w:val="00FB7D77"/>
    <w:rsid w:val="00FC08A6"/>
    <w:rsid w:val="00FC2332"/>
    <w:rsid w:val="00FC3ADF"/>
    <w:rsid w:val="00FC4B9C"/>
    <w:rsid w:val="00FC52A1"/>
    <w:rsid w:val="00FD4C64"/>
    <w:rsid w:val="00FD6726"/>
    <w:rsid w:val="00FE1BC4"/>
    <w:rsid w:val="00FE21DE"/>
    <w:rsid w:val="00FE54B6"/>
    <w:rsid w:val="00FE6447"/>
    <w:rsid w:val="00FE7275"/>
    <w:rsid w:val="00FE7ED8"/>
    <w:rsid w:val="00FF0320"/>
    <w:rsid w:val="00FF2798"/>
    <w:rsid w:val="00FF2AD5"/>
    <w:rsid w:val="00FF54D0"/>
    <w:rsid w:val="00FF5EF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A334A6C"/>
  <w15:chartTrackingRefBased/>
  <w15:docId w15:val="{A5376635-B99D-42A5-A501-F45EF8A8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30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</w:style>
  <w:style w:type="paragraph" w:styleId="Textvysvtlivek">
    <w:name w:val="endnote text"/>
    <w:basedOn w:val="Normln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itulek">
    <w:name w:val="titulek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ostrnky">
    <w:name w:val="page number"/>
    <w:basedOn w:val="Standardnpsmoodstavce"/>
  </w:style>
  <w:style w:type="numbering" w:customStyle="1" w:styleId="Vnitnpedpis">
    <w:name w:val="Vnitřní předpis"/>
    <w:uiPriority w:val="99"/>
    <w:rsid w:val="00F27E58"/>
  </w:style>
  <w:style w:type="numbering" w:customStyle="1" w:styleId="Pedpisy97">
    <w:name w:val="Předpisy 97"/>
    <w:uiPriority w:val="99"/>
    <w:rsid w:val="00F27E58"/>
    <w:pPr>
      <w:numPr>
        <w:numId w:val="2"/>
      </w:numPr>
    </w:pPr>
  </w:style>
  <w:style w:type="numbering" w:customStyle="1" w:styleId="Pedpisy971">
    <w:name w:val="Předpisy 971"/>
    <w:uiPriority w:val="99"/>
    <w:rsid w:val="00F27E58"/>
    <w:pPr>
      <w:numPr>
        <w:numId w:val="1"/>
      </w:numPr>
    </w:pPr>
  </w:style>
  <w:style w:type="paragraph" w:customStyle="1" w:styleId="Default">
    <w:name w:val="Default"/>
    <w:rsid w:val="00765B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74">
    <w:name w:val="Font Style74"/>
    <w:uiPriority w:val="99"/>
    <w:rsid w:val="004D2905"/>
    <w:rPr>
      <w:rFonts w:ascii="Microsoft Sans Serif" w:hAnsi="Microsoft Sans Serif" w:cs="Microsoft Sans Serif"/>
      <w:sz w:val="22"/>
      <w:szCs w:val="22"/>
    </w:rPr>
  </w:style>
  <w:style w:type="character" w:customStyle="1" w:styleId="Nadpis1Char">
    <w:name w:val="Nadpis 1 Char"/>
    <w:link w:val="Nadpis1"/>
    <w:rsid w:val="00F303E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qFormat/>
    <w:rsid w:val="002C08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leader="dot" w:pos="9628"/>
      </w:tabs>
      <w:ind w:left="240"/>
    </w:pPr>
    <w:rPr>
      <w:rFonts w:eastAsia="Calibri"/>
      <w:noProof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2F7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42F71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42F7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Textbodu">
    <w:name w:val="Text bodu"/>
    <w:basedOn w:val="Normln"/>
    <w:rsid w:val="0066363E"/>
    <w:pPr>
      <w:numPr>
        <w:ilvl w:val="2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66363E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66363E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Normln"/>
    <w:rsid w:val="0066363E"/>
    <w:pPr>
      <w:keepNext/>
      <w:spacing w:before="240"/>
      <w:jc w:val="center"/>
    </w:pPr>
    <w:rPr>
      <w:szCs w:val="20"/>
    </w:rPr>
  </w:style>
  <w:style w:type="character" w:customStyle="1" w:styleId="tituleknadpisu">
    <w:name w:val="titulek nadpisu"/>
    <w:rsid w:val="0066363E"/>
    <w:rPr>
      <w:b/>
    </w:rPr>
  </w:style>
  <w:style w:type="paragraph" w:customStyle="1" w:styleId="Textlnku">
    <w:name w:val="Text článku"/>
    <w:basedOn w:val="Normln"/>
    <w:rsid w:val="0066363E"/>
    <w:pPr>
      <w:spacing w:before="240"/>
      <w:ind w:firstLine="425"/>
      <w:jc w:val="both"/>
      <w:outlineLvl w:val="5"/>
    </w:pPr>
    <w:rPr>
      <w:szCs w:val="20"/>
    </w:rPr>
  </w:style>
  <w:style w:type="paragraph" w:customStyle="1" w:styleId="dl">
    <w:name w:val="díl"/>
    <w:basedOn w:val="Normln"/>
    <w:next w:val="Normln"/>
    <w:rsid w:val="00FE6447"/>
    <w:pPr>
      <w:keepNext/>
      <w:spacing w:before="240"/>
      <w:jc w:val="center"/>
      <w:outlineLvl w:val="2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A0D8B"/>
    <w:pPr>
      <w:spacing w:before="120" w:after="120"/>
      <w:ind w:left="720"/>
      <w:contextualSpacing/>
      <w:jc w:val="both"/>
    </w:pPr>
    <w:rPr>
      <w:rFonts w:ascii="Garamond" w:hAnsi="Garamond"/>
      <w:szCs w:val="20"/>
    </w:rPr>
  </w:style>
  <w:style w:type="character" w:customStyle="1" w:styleId="TextpoznpodarouChar">
    <w:name w:val="Text pozn. pod čarou Char"/>
    <w:link w:val="Textpoznpodarou"/>
    <w:rsid w:val="008240E5"/>
  </w:style>
  <w:style w:type="character" w:styleId="Odkaznavysvtlivky">
    <w:name w:val="endnote reference"/>
    <w:rsid w:val="00BF0643"/>
    <w:rPr>
      <w:vertAlign w:val="superscript"/>
    </w:rPr>
  </w:style>
  <w:style w:type="table" w:styleId="Mkatabulky">
    <w:name w:val="Table Grid"/>
    <w:basedOn w:val="Normlntabulka"/>
    <w:uiPriority w:val="59"/>
    <w:rsid w:val="00B639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F969DE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969DE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969DE"/>
    <w:rPr>
      <w:b/>
      <w:bCs/>
      <w:sz w:val="22"/>
      <w:szCs w:val="22"/>
    </w:rPr>
  </w:style>
  <w:style w:type="character" w:customStyle="1" w:styleId="NzevChar">
    <w:name w:val="Název Char"/>
    <w:link w:val="Nzev"/>
    <w:rsid w:val="00F969DE"/>
    <w:rPr>
      <w:sz w:val="24"/>
    </w:rPr>
  </w:style>
  <w:style w:type="paragraph" w:styleId="Revize">
    <w:name w:val="Revision"/>
    <w:hidden/>
    <w:uiPriority w:val="99"/>
    <w:semiHidden/>
    <w:rsid w:val="00B14BA5"/>
    <w:rPr>
      <w:sz w:val="24"/>
      <w:szCs w:val="24"/>
    </w:rPr>
  </w:style>
  <w:style w:type="numbering" w:customStyle="1" w:styleId="Styl1">
    <w:name w:val="Styl1"/>
    <w:uiPriority w:val="99"/>
    <w:rsid w:val="00DA2BC8"/>
    <w:pPr>
      <w:numPr>
        <w:numId w:val="29"/>
      </w:numPr>
    </w:pPr>
  </w:style>
  <w:style w:type="numbering" w:customStyle="1" w:styleId="Styl2">
    <w:name w:val="Styl2"/>
    <w:uiPriority w:val="99"/>
    <w:rsid w:val="00DA2BC8"/>
    <w:pPr>
      <w:numPr>
        <w:numId w:val="30"/>
      </w:numPr>
    </w:pPr>
  </w:style>
  <w:style w:type="numbering" w:customStyle="1" w:styleId="Styl3">
    <w:name w:val="Styl3"/>
    <w:uiPriority w:val="99"/>
    <w:rsid w:val="00DA2BC8"/>
    <w:pPr>
      <w:numPr>
        <w:numId w:val="31"/>
      </w:numPr>
    </w:pPr>
  </w:style>
  <w:style w:type="paragraph" w:customStyle="1" w:styleId="paragraph">
    <w:name w:val="paragraph"/>
    <w:basedOn w:val="Normln"/>
    <w:rsid w:val="00F7528C"/>
    <w:pPr>
      <w:spacing w:before="100" w:beforeAutospacing="1" w:after="100" w:afterAutospacing="1"/>
    </w:pPr>
  </w:style>
  <w:style w:type="character" w:customStyle="1" w:styleId="normaltextrun">
    <w:name w:val="normaltextrun"/>
    <w:rsid w:val="00F7528C"/>
  </w:style>
  <w:style w:type="character" w:customStyle="1" w:styleId="eop">
    <w:name w:val="eop"/>
    <w:rsid w:val="00F7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 xmlns="24af59be-3b01-433e-b2ca-a93a11c1c558">12</Odbor>
    <Duvodova_zprava xmlns="24af59be-3b01-433e-b2ca-a93a11c1c558" xsi:nil="true"/>
    <Ucinny_do xmlns="24af59be-3b01-433e-b2ca-a93a11c1c558" xsi:nil="true"/>
    <Nazev_predpisu xmlns="24af59be-3b01-433e-b2ca-a93a11c1c558">Pravidla pro zadávání veřejných zakázek Karlovarským krajem a jeho příspěvkovými organizacemi</Nazev_predpisu>
    <Stav xmlns="24af59be-3b01-433e-b2ca-a93a11c1c558">schválený</Stav>
    <Zadavatel xmlns="24af59be-3b01-433e-b2ca-a93a11c1c558">
      <UserInfo>
        <DisplayName>Lehocký Pavel</DisplayName>
        <AccountId>29</AccountId>
        <AccountType/>
      </UserInfo>
    </Zadavatel>
    <Pripominky_do xmlns="24af59be-3b01-433e-b2ca-a93a11c1c558" xsi:nil="true"/>
    <Publikovat_verejnosti xmlns="24af59be-3b01-433e-b2ca-a93a11c1c558">true</Publikovat_verejnosti>
    <Poverene_osoby xmlns="24af59be-3b01-433e-b2ca-a93a11c1c558">
      <UserInfo>
        <DisplayName/>
        <AccountId xsi:nil="true"/>
        <AccountType/>
      </UserInfo>
    </Poverene_osoby>
    <Schvalovatele xmlns="24af59be-3b01-433e-b2ca-a93a11c1c558">
      <UserInfo>
        <DisplayName>Lehocký Pavel</DisplayName>
        <AccountId>29</AccountId>
        <AccountType/>
      </UserInfo>
    </Schvalovatele>
    <Nadrazeny xmlns="24af59be-3b01-433e-b2ca-a93a11c1c558" xsi:nil="true"/>
    <Typ_predpisu xmlns="24af59be-3b01-433e-b2ca-a93a11c1c558">předpisy rady</Typ_predpisu>
    <Evidencni_cislo xmlns="24af59be-3b01-433e-b2ca-a93a11c1c558">PR 02/2025</Evidencni_cislo>
    <Bez_pripominkoveho_rizeni xmlns="24af59be-3b01-433e-b2ca-a93a11c1c558">true</Bez_pripominkoveho_rizeni>
    <Nahrazuje xmlns="24af59be-3b01-433e-b2ca-a93a11c1c558">
      <Value>271</Value>
    </Nahrazuje>
    <Duvod_nezverejneni xmlns="24af59be-3b01-433e-b2ca-a93a11c1c558" xsi:nil="true"/>
    <Ucinny_od xmlns="24af59be-3b01-433e-b2ca-a93a11c1c558">2025-10-19T22:00:00+00:00</Ucinny_od>
    <Poradi xmlns="24af59be-3b01-433e-b2ca-a93a11c1c558" xsi:nil="true"/>
    <Zruseno xmlns="24af59be-3b01-433e-b2ca-a93a11c1c558" xsi:nil="true"/>
    <Platny xmlns="24af59be-3b01-433e-b2ca-a93a11c1c558">true</Platny>
    <TaxCatchAll xmlns="61d128ea-d0e3-49fb-a491-efe3e7a441ce" xsi:nil="true"/>
    <lcf76f155ced4ddcb4097134ff3c332f xmlns="24af59be-3b01-433e-b2ca-a93a11c1c558">
      <Terms xmlns="http://schemas.microsoft.com/office/infopath/2007/PartnerControls"/>
    </lcf76f155ced4ddcb4097134ff3c332f>
    <Prilohy xmlns="24af59be-3b01-433e-b2ca-a93a11c1c558">
      <Value>1410</Value>
    </Prilohy>
    <Publikovano xmlns="24af59be-3b01-433e-b2ca-a93a11c1c558">2025-10-30T13:21:29+00:00</Publikovano>
    <Rok xmlns="24af59be-3b01-433e-b2ca-a93a11c1c558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4D01CFA67DC4F895CC96320E41719" ma:contentTypeVersion="53" ma:contentTypeDescription="Vytvoří nový dokument" ma:contentTypeScope="" ma:versionID="f1e0b35365faa8d2b0d24734fa579a84">
  <xsd:schema xmlns:xsd="http://www.w3.org/2001/XMLSchema" xmlns:xs="http://www.w3.org/2001/XMLSchema" xmlns:p="http://schemas.microsoft.com/office/2006/metadata/properties" xmlns:ns2="24af59be-3b01-433e-b2ca-a93a11c1c558" xmlns:ns3="61d128ea-d0e3-49fb-a491-efe3e7a441ce" targetNamespace="http://schemas.microsoft.com/office/2006/metadata/properties" ma:root="true" ma:fieldsID="f9c1ffeb353f5c3c91de0a540507e854" ns2:_="" ns3:_="">
    <xsd:import namespace="24af59be-3b01-433e-b2ca-a93a11c1c558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latny" minOccurs="0"/>
                <xsd:element ref="ns2:Ucinny_od" minOccurs="0"/>
                <xsd:element ref="ns2:Nahrazuje" minOccurs="0"/>
                <xsd:element ref="ns2:Ucinny_do" minOccurs="0"/>
                <xsd:element ref="ns2:Nadrazeny" minOccurs="0"/>
                <xsd:element ref="ns2:Publikovano" minOccurs="0"/>
                <xsd:element ref="ns2:Poverene_osoby" minOccurs="0"/>
                <xsd:element ref="ns2:Schvalovatele" minOccurs="0"/>
                <xsd:element ref="ns2:Zadavatel" minOccurs="0"/>
                <xsd:element ref="ns2:Pripominky_do" minOccurs="0"/>
                <xsd:element ref="ns2:Evidencni_cislo" minOccurs="0"/>
                <xsd:element ref="ns2:Odbor" minOccurs="0"/>
                <xsd:element ref="ns2:Typ_predpisu" minOccurs="0"/>
                <xsd:element ref="ns2:Stav" minOccurs="0"/>
                <xsd:element ref="ns2:MediaServiceMetadata" minOccurs="0"/>
                <xsd:element ref="ns2:MediaServiceFastMetadata" minOccurs="0"/>
                <xsd:element ref="ns2:Prilohy" minOccurs="0"/>
                <xsd:element ref="ns2:MediaServiceAutoKeyPoints" minOccurs="0"/>
                <xsd:element ref="ns2:MediaServiceKeyPoints" minOccurs="0"/>
                <xsd:element ref="ns2:Publikovat_verejnosti" minOccurs="0"/>
                <xsd:element ref="ns2:Duvod_nezverejneni" minOccurs="0"/>
                <xsd:element ref="ns2:Bez_pripominkoveho_rizeni" minOccurs="0"/>
                <xsd:element ref="ns2:Duvodova_zprava" minOccurs="0"/>
                <xsd:element ref="ns2:Nazev_predpisu" minOccurs="0"/>
                <xsd:element ref="ns2:Zruse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ok" minOccurs="0"/>
                <xsd:element ref="ns2:Poradi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59be-3b01-433e-b2ca-a93a11c1c558" elementFormDefault="qualified">
    <xsd:import namespace="http://schemas.microsoft.com/office/2006/documentManagement/types"/>
    <xsd:import namespace="http://schemas.microsoft.com/office/infopath/2007/PartnerControls"/>
    <xsd:element name="Platny" ma:index="8" nillable="true" ma:displayName="Platny" ma:default="1" ma:internalName="Platny">
      <xsd:simpleType>
        <xsd:restriction base="dms:Boolean"/>
      </xsd:simpleType>
    </xsd:element>
    <xsd:element name="Ucinny_od" ma:index="9" nillable="true" ma:displayName="Ucinny_od" ma:format="DateOnly" ma:internalName="Ucinny_od">
      <xsd:simpleType>
        <xsd:restriction base="dms:DateTime"/>
      </xsd:simpleType>
    </xsd:element>
    <xsd:element name="Nahrazuje" ma:index="10" nillable="true" ma:displayName="Nahrazuje" ma:list="{24af59be-3b01-433e-b2ca-a93a11c1c558}" ma:internalName="Nahrazuje" ma:readOnly="false" ma:showField="Evidencni_cis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inny_do" ma:index="11" nillable="true" ma:displayName="Ucinny_do" ma:format="DateOnly" ma:internalName="Ucinny_do">
      <xsd:simpleType>
        <xsd:restriction base="dms:DateTime"/>
      </xsd:simpleType>
    </xsd:element>
    <xsd:element name="Nadrazeny" ma:index="12" nillable="true" ma:displayName="Nadrazeny" ma:list="{24af59be-3b01-433e-b2ca-a93a11c1c558}" ma:internalName="Nadrazeny" ma:readOnly="false" ma:showField="Evidencni_cislo">
      <xsd:simpleType>
        <xsd:restriction base="dms:Lookup"/>
      </xsd:simpleType>
    </xsd:element>
    <xsd:element name="Publikovano" ma:index="13" nillable="true" ma:displayName="Publikovano" ma:format="DateTime" ma:internalName="Publikovano">
      <xsd:simpleType>
        <xsd:restriction base="dms:DateTime"/>
      </xsd:simpleType>
    </xsd:element>
    <xsd:element name="Poverene_osoby" ma:index="14" nillable="true" ma:displayName="Poverene_osoby" ma:list="UserInfo" ma:SearchPeopleOnly="false" ma:SharePointGroup="0" ma:internalName="Poverene_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e" ma:index="15" nillable="true" ma:displayName="Schvalovatele" ma:list="UserInfo" ma:SearchPeopleOnly="false" ma:SharePointGroup="0" ma:internalName="Schval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davatel" ma:index="16" nillable="true" ma:displayName="Zadavatel" ma:list="UserInfo" ma:SharePointGroup="0" ma:internalName="Zada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nky_do" ma:index="17" nillable="true" ma:displayName="Pripominky_do" ma:format="DateOnly" ma:internalName="Pripominky_do">
      <xsd:simpleType>
        <xsd:restriction base="dms:DateTime"/>
      </xsd:simpleType>
    </xsd:element>
    <xsd:element name="Evidencni_cislo" ma:index="18" nillable="true" ma:displayName="Evidencni_cislo" ma:internalName="Evidencni_cislo">
      <xsd:simpleType>
        <xsd:restriction base="dms:Text">
          <xsd:maxLength value="255"/>
        </xsd:restriction>
      </xsd:simpleType>
    </xsd:element>
    <xsd:element name="Odbor" ma:index="19" nillable="true" ma:displayName="Odbor" ma:list="{3617563f-a971-416a-ab92-5d8f6ec4bee8}" ma:internalName="Odbor" ma:showField="Title">
      <xsd:simpleType>
        <xsd:restriction base="dms:Lookup"/>
      </xsd:simpleType>
    </xsd:element>
    <xsd:element name="Typ_predpisu" ma:index="20" nillable="true" ma:displayName="Typ_predpisu" ma:default="nařízení hejtmana" ma:format="Dropdown" ma:internalName="Typ_predpisu">
      <xsd:simpleType>
        <xsd:restriction base="dms:Choice">
          <xsd:enumeration value="nařízení hejtmana"/>
          <xsd:enumeration value="pokyny ředitelky"/>
          <xsd:enumeration value="řády ředitelky"/>
          <xsd:enumeration value="směrnice ředitelky"/>
          <xsd:enumeration value="předpisy rady"/>
          <xsd:enumeration value="předpisy ředitelky"/>
          <xsd:enumeration value="předpisy zastupitelstva"/>
        </xsd:restriction>
      </xsd:simpleType>
    </xsd:element>
    <xsd:element name="Stav" ma:index="21" nillable="true" ma:displayName="Stav" ma:default="návrh" ma:format="Dropdown" ma:internalName="Stav">
      <xsd:simpleType>
        <xsd:restriction base="dms:Choice">
          <xsd:enumeration value="návrh"/>
          <xsd:enumeration value="ke schválení"/>
          <xsd:enumeration value="schvalování"/>
          <xsd:enumeration value="schválený"/>
          <xsd:enumeration value="zamítnutý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Prilohy" ma:index="24" nillable="true" ma:displayName="Prilohy" ma:list="{740be294-62a9-4336-899d-4a1b1b92d61b}" ma:internalName="Priloh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kovat_verejnosti" ma:index="27" nillable="true" ma:displayName="Publikovat_verejnosti" ma:default="1" ma:internalName="Publikovat_verejnosti">
      <xsd:simpleType>
        <xsd:restriction base="dms:Boolean"/>
      </xsd:simpleType>
    </xsd:element>
    <xsd:element name="Duvod_nezverejneni" ma:index="28" nillable="true" ma:displayName="Duvod_nezverejneni" ma:internalName="Duvod_nezverejneni">
      <xsd:simpleType>
        <xsd:restriction base="dms:Note">
          <xsd:maxLength value="255"/>
        </xsd:restriction>
      </xsd:simpleType>
    </xsd:element>
    <xsd:element name="Bez_pripominkoveho_rizeni" ma:index="29" nillable="true" ma:displayName="Bez_pripominkoveho_rizeni" ma:default="0" ma:internalName="Bez_pripominkoveho_rizeni">
      <xsd:simpleType>
        <xsd:restriction base="dms:Boolean"/>
      </xsd:simpleType>
    </xsd:element>
    <xsd:element name="Duvodova_zprava" ma:index="30" nillable="true" ma:displayName="Duvodova_zprava" ma:internalName="Duvodova_zprava">
      <xsd:simpleType>
        <xsd:restriction base="dms:Note">
          <xsd:maxLength value="255"/>
        </xsd:restriction>
      </xsd:simpleType>
    </xsd:element>
    <xsd:element name="Nazev_predpisu" ma:index="31" nillable="true" ma:displayName="Nazev_predpisu" ma:format="Dropdown" ma:internalName="Nazev_predpisu">
      <xsd:simpleType>
        <xsd:restriction base="dms:Text">
          <xsd:maxLength value="255"/>
        </xsd:restriction>
      </xsd:simpleType>
    </xsd:element>
    <xsd:element name="Zruseno" ma:index="32" nillable="true" ma:displayName="Zrušeno" ma:internalName="Zruseno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39" nillable="true" ma:displayName="Rok" ma:internalName="Rok">
      <xsd:simpleType>
        <xsd:restriction base="dms:Text">
          <xsd:maxLength value="4"/>
        </xsd:restriction>
      </xsd:simpleType>
    </xsd:element>
    <xsd:element name="Poradi" ma:index="41" nillable="true" ma:displayName="Poradi" ma:internalName="Poradi">
      <xsd:simpleType>
        <xsd:restriction base="dms:Text">
          <xsd:maxLength value="4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743F-53F9-48CD-BECB-3479742181B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af59be-3b01-433e-b2ca-a93a11c1c558"/>
    <ds:schemaRef ds:uri="http://purl.org/dc/terms/"/>
    <ds:schemaRef ds:uri="http://schemas.microsoft.com/office/infopath/2007/PartnerControls"/>
    <ds:schemaRef ds:uri="http://schemas.microsoft.com/office/2006/documentManagement/types"/>
    <ds:schemaRef ds:uri="61d128ea-d0e3-49fb-a491-efe3e7a441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AE29AC-80B4-4942-B1DD-2DC1DC3F2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6F4AD-125D-4E4C-B292-84A413363837}"/>
</file>

<file path=customXml/itemProps4.xml><?xml version="1.0" encoding="utf-8"?>
<ds:datastoreItem xmlns:ds="http://schemas.openxmlformats.org/officeDocument/2006/customXml" ds:itemID="{A1A5D910-0101-4C5C-87EE-9B832BB194A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BC4833-C49B-4235-84D3-5F2728A7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39</TotalTime>
  <Pages>16</Pages>
  <Words>5586</Words>
  <Characters>35561</Characters>
  <Application>Microsoft Office Word</Application>
  <DocSecurity>0</DocSecurity>
  <Lines>296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PR_02_2022.doc</vt:lpstr>
    </vt:vector>
  </TitlesOfParts>
  <Company>Karlovarský kraj Krajský úřad</Company>
  <LinksUpToDate>false</LinksUpToDate>
  <CharactersWithSpaces>41065</CharactersWithSpaces>
  <SharedDoc>false</SharedDoc>
  <HLinks>
    <vt:vector size="150" baseType="variant">
      <vt:variant>
        <vt:i4>1835059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_Toc210984971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_Toc210984970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_Toc210984969</vt:lpwstr>
      </vt:variant>
      <vt:variant>
        <vt:i4>1900595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_Toc210984968</vt:lpwstr>
      </vt:variant>
      <vt:variant>
        <vt:i4>1900595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_Toc210984967</vt:lpwstr>
      </vt:variant>
      <vt:variant>
        <vt:i4>1900595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_Toc210984966</vt:lpwstr>
      </vt:variant>
      <vt:variant>
        <vt:i4>1900595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_Toc210984965</vt:lpwstr>
      </vt:variant>
      <vt:variant>
        <vt:i4>1900595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_Toc210984964</vt:lpwstr>
      </vt:variant>
      <vt:variant>
        <vt:i4>1900595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_Toc210984963</vt:lpwstr>
      </vt:variant>
      <vt:variant>
        <vt:i4>1900595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_Toc210984962</vt:lpwstr>
      </vt:variant>
      <vt:variant>
        <vt:i4>1900595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_Toc210984961</vt:lpwstr>
      </vt:variant>
      <vt:variant>
        <vt:i4>1900595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_Toc210984960</vt:lpwstr>
      </vt:variant>
      <vt:variant>
        <vt:i4>1966131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_Toc210984959</vt:lpwstr>
      </vt:variant>
      <vt:variant>
        <vt:i4>1966131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_Toc210984958</vt:lpwstr>
      </vt:variant>
      <vt:variant>
        <vt:i4>1966131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_Toc210984957</vt:lpwstr>
      </vt:variant>
      <vt:variant>
        <vt:i4>1966131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_Toc210984956</vt:lpwstr>
      </vt:variant>
      <vt:variant>
        <vt:i4>1966131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_Toc210984955</vt:lpwstr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_Toc210984954</vt:lpwstr>
      </vt:variant>
      <vt:variant>
        <vt:i4>1966131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_Toc210984953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_Toc210984952</vt:lpwstr>
      </vt:variant>
      <vt:variant>
        <vt:i4>1966131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_Toc210984951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_Toc210984950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_Toc210984949</vt:lpwstr>
      </vt:variant>
      <vt:variant>
        <vt:i4>2031667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_Toc210984948</vt:lpwstr>
      </vt:variant>
      <vt:variant>
        <vt:i4>2031667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_Toc210984947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PR_02_2022.doc</dc:title>
  <dc:subject/>
  <dc:creator>Lehocký Pavel</dc:creator>
  <cp:keywords/>
  <cp:lastModifiedBy>Lehocký Pavel</cp:lastModifiedBy>
  <cp:revision>8</cp:revision>
  <cp:lastPrinted>2016-08-03T07:06:00Z</cp:lastPrinted>
  <dcterms:created xsi:type="dcterms:W3CDTF">2025-10-29T13:59:00Z</dcterms:created>
  <dcterms:modified xsi:type="dcterms:W3CDTF">2025-10-30T13:07:00Z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Lehocký Pavel</vt:lpwstr>
  </property>
  <property fmtid="{D5CDD505-2E9C-101B-9397-08002B2CF9AE}" pid="3" name="Order">
    <vt:lpwstr>27100.0000000000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CJ">
    <vt:lpwstr>XXX-XXX-XXX</vt:lpwstr>
  </property>
  <property fmtid="{D5CDD505-2E9C-101B-9397-08002B2CF9AE}" pid="7" name="ContentTypeId">
    <vt:lpwstr>0x010100B534D01CFA67DC4F895CC96320E41719</vt:lpwstr>
  </property>
  <property fmtid="{D5CDD505-2E9C-101B-9397-08002B2CF9AE}" pid="9" name="docLang">
    <vt:lpwstr>cs</vt:lpwstr>
  </property>
</Properties>
</file>