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NA ZAJIŠTĚNÍ SPOLUFINANCOVÁNÍ sociálních SLUŽEB S CELOSTÁTNÍ </w:t>
      </w:r>
      <w:r>
        <w:rPr>
          <w:rFonts w:ascii="Times New Roman" w:hAnsi="Times New Roman"/>
          <w:b/>
          <w:bCs/>
          <w:caps/>
          <w:sz w:val="24"/>
          <w:szCs w:val="24"/>
        </w:rPr>
        <w:br/>
        <w:t>A NADREGIONÁLNÍ PŮSOBNOSTÍ</w:t>
      </w:r>
    </w:p>
    <w:p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(dále jen „dotační program“)</w:t>
      </w:r>
    </w:p>
    <w:p>
      <w:pPr>
        <w:pStyle w:val="Default"/>
        <w:rPr>
          <w:rFonts w:ascii="Times New Roman" w:hAnsi="Times New Roman" w:cs="Times New Roman"/>
        </w:rPr>
      </w:pP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Zastupitelstvo Karlovarského kraje (dále jen „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zastupitelstvo kraje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schvaluje a vyhlašuje shora uvedený dotační program a přijímá tato </w:t>
      </w:r>
      <w:r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se zřizuje za účelem financování běžných výdajů souvisejících s poskytováním základních druhů a forem sociálních služeb v rozsahu stanoveném základními činnostmi u jednotlivých druhů sociálních služeb; jejich výčet a charakteristiky jsou uvedeny v části třetí hlavě I díle 2 až 4 zákona č. 108/2006 Sb., o sociálních službách, ve znění pozdějších předpisů (dále jen „zákon o sociálních službách“).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Důvody podpory stanoveného účelu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Důvodem vyhlášení dotačního programu je plnění povinnosti Karlovarského kraje uvedené v ustanovení § 95 písm. g) zákona o sociálních službách.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celkový objem peněžních prostředků vyčleněných na podporu stanoveného účelu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dotační program je vyčleněna částka 800 000 Kč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z rozpočtu Karlovarského kraje pro rok 2025.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stanovení výše dotace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Výpočet návrhu dotace u ambulantních a terénních služeb sociální prevence a odborného sociálního poradenství: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ND = 0,05 * ON * U * M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ND – návrh dotace pro příslušný druh sociální služby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ON – stanovená hodnota platby na 1 úvazek pracovníka měsíčně pro jednotlivé druhy sociálních služeb, která odpovídá celkovým obvyklým (průměrným) měsíčním nákladům na jednotlivé druhy sociálních služeb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 – celkové úvazky pracovníků (pro výpočet jsou do celkových úvazků pracovníků započteny úvazky pracovníků v přímé péči v rámci Karlovarského kraje dle žádosti a maximálně 0,3 úvazku ostatních pracovníků na 1 úvazek pracovníka v přímé péči)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 – počet měsíců poskytování sociální služby v roce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Stanovená hodnota platby na 1 úvazek pracovníka měsíčně (ON):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75 200 Kč v případě sociální služby raná péče,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69 300 Kč v případě sociální služby sociální rehabilitace,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63 600 Kč v případě sociální služby sociálně aktivizační služby pro seniory a osoby se zdravotním postižením,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67 600 Kč v případě sociální služby terénní programy,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66 300 Kč v případě sociálních služeb tlumočnické služby, krizová pomoc a odborné sociální poradenství.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Výpočet návrhu dotace u ambulantních a terénních služeb sociální péče: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ND = 0,05 * [(ON * U * M) +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ON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*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H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)]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ND – návrh dotace pro příslušný druh sociální služby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ON – stanovená hodnota platby na 1 úvazek pracovníka měsíčně pro jednotlivé druhy sociálních služeb, která odpovídá celkovým obvyklým (průměrným) měsíčním nákladům na jednotlivé druhy sociálních služeb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 – celkové úvazky pracovníků (pro výpočet jsou do celkových úvazků pracovníků započteny úvazky pracovníků v přímé péči v rámci Karlovarského kraje dle žádosti a maximálně 0,3 úvazku ostatních pracovníků na 1 úvazek pracovníka v přímé péči)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 – počet měsíců poskytování sociální služby v roce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ON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– stanovená hodnota platby na 1 hodinu pracovní pohotovosti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H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– předpokládaný počet hodin pracovní pohotovosti v rámci Karlovarského kraje v příslušném roce dle žádosti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Stanovená hodnota platby na 1 úvazek pracovníka měsíčně (ON):</w:t>
      </w:r>
    </w:p>
    <w:p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41 900 Kč v případě sociální služby tísňová péče.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Stanovená hodnota platby na 1 hodinu pracovní pohotovosti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ON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):</w:t>
      </w:r>
    </w:p>
    <w:p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45 Kč v případě sociální služby tísňová péče.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Výpočet návrhu dotace u pobytových sociálních služeb: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ND = 0,05 * k * ON * L 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ND – návrh dotace pro příslušný druh sociální služby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 – stanovená hodnota platby na 1 lůžko/den pro jednotlivé druhy služeb, která odpovídá celkovým obvyklým (průměrným) nákladům na 1 lůžko/den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 – celkový počet lůžko/dnů (stanovený na základě počtu lůžek obsazených uživateli z Karlovarského kraje dle žádosti a doby poskytování služby v příslušném roce)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– koeficient zohledňující strukturu uživatelů služby dle stupně závislosti na pomoci jiné fyzické osoby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Hodnoty koeficientu „k“: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3523"/>
      </w:tblGrid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Podíl uživatelů ve stupni závislosti na pomoci jiné fyzické osoby II (středně těžká závislost), III (těžká závislost) a IV (úplná závislost) na celkovém počtu uživatelů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Hodnota koeficientu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80 % - 100 %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70 % - 79 %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60 % - 69 %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50 % - 59 %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40 % - 49 %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30 % - 39 %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20 % - 29 %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10 % - 19 %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0 % - 9 %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</w:tr>
    </w:tbl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Stanovená hodnota platby na 1 lůžko/den (ON):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2 010 Kč v případě sociální služby domovy se zvláštním režimem. 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Návrh dotace na sociální službu nesmí překročit výši požadavku na dotaci na sociální službu uvedeného v žádosti.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 případě, kdy souhrn návrhů na dotaci bude vyšší než objem peněžních prostředků vyčleněných na dotační program, budou návrhy na dotace sníženy s ohledem na objem peněžních prostředků vyčleněných na dotační program. Výsledné návrhy na dotaci budou zaokrouhleny na celé stokoruny směrem dolů.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Žádost se podává na každou sociální službu zvlášť.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Žadatelem o dotaci může být poskytovatel sociálních služeb, kterému bylo Ministerstvem práce a sociálních věcí vydáno rozhodnutí o poskytnutí dotace z kapitoly 313 – MPSV státního rozpočtu na podporu sociálních služeb na příslušný kalendářní rok.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lhůta pro podání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Žadatel musí vyplnit a odeslat elektronickou žádost v dotačním portálu Karlovarského kraje </w:t>
      </w:r>
      <w:hyperlink r:id="rId11" w:history="1">
        <w:r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>
        <w:rPr>
          <w:rFonts w:ascii="Times New Roman" w:hAnsi="Times New Roman"/>
        </w:rPr>
        <w:t>. Lhůta pro podávání (příjem) elektronických žádostí se stanovuje na dobu:</w:t>
      </w:r>
    </w:p>
    <w:p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 3. 6. 2025, 9:00 hodin,</w:t>
      </w:r>
    </w:p>
    <w:p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9. 6. 2025, 16:00 hodin.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 doby zahájení příjmu elektronických žádostí nebude žadateli umožněno vyplněnou a uloženou žádost odeslat.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případě závažných technických obtíží při příjmu elektronických žádostí si poskytovatel</w:t>
      </w:r>
      <w:r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Fonts w:ascii="Times New Roman" w:hAnsi="Times New Roman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může k elektronické žádosti v dotačním portálu Karlovarského kraje připojit </w:t>
      </w:r>
      <w:r>
        <w:rPr>
          <w:rFonts w:ascii="Times New Roman" w:hAnsi="Times New Roman"/>
          <w:b/>
        </w:rPr>
        <w:t>uznávaný elektronický podpis</w:t>
      </w:r>
      <w:r>
        <w:rPr>
          <w:rStyle w:val="Znakapoznpodarou"/>
          <w:rFonts w:ascii="Times New Roman" w:hAnsi="Times New Roman"/>
        </w:rPr>
        <w:footnoteReference w:id="8"/>
      </w:r>
      <w:r>
        <w:rPr>
          <w:rFonts w:ascii="Times New Roman" w:hAnsi="Times New Roman"/>
        </w:rPr>
        <w:t>. Uznávaným elektronickým podpisem</w:t>
      </w:r>
      <w:r>
        <w:rPr>
          <w:rStyle w:val="Znakapoznpodarou"/>
          <w:rFonts w:ascii="Times New Roman" w:hAnsi="Times New Roman"/>
        </w:rPr>
        <w:footnoteReference w:id="9"/>
      </w:r>
      <w:r>
        <w:rPr>
          <w:rFonts w:ascii="Times New Roman" w:hAnsi="Times New Roman"/>
        </w:rPr>
        <w:t xml:space="preserve"> se rozumí </w:t>
      </w:r>
      <w:r>
        <w:rPr>
          <w:rFonts w:ascii="Times New Roman" w:hAnsi="Times New Roman"/>
          <w:b/>
        </w:rPr>
        <w:t>zaručený elektronický podpis</w:t>
      </w:r>
      <w:r>
        <w:rPr>
          <w:rStyle w:val="Znakapoznpodarou"/>
          <w:rFonts w:ascii="Times New Roman" w:hAnsi="Times New Roman"/>
          <w:b/>
        </w:rPr>
        <w:footnoteReference w:id="10"/>
      </w:r>
      <w:r>
        <w:rPr>
          <w:rFonts w:ascii="Times New Roman" w:hAnsi="Times New Roman"/>
        </w:rPr>
        <w:t xml:space="preserve"> založený na kvalifikovaném certifikátu pro elektronické podpisy nebo </w:t>
      </w:r>
      <w:r>
        <w:rPr>
          <w:rFonts w:ascii="Times New Roman" w:hAnsi="Times New Roman"/>
          <w:b/>
        </w:rPr>
        <w:t>kvalifikovaný elektronický podpis</w:t>
      </w:r>
      <w:r>
        <w:rPr>
          <w:rStyle w:val="Znakapoznpodarou"/>
          <w:rFonts w:ascii="Times New Roman" w:hAnsi="Times New Roman"/>
          <w:b/>
        </w:rPr>
        <w:t>9</w:t>
      </w:r>
      <w:r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Žadatelé, kteří:</w:t>
      </w:r>
    </w:p>
    <w:p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neodešlou elektronickou žádost z dotačního portálu Karlovarského kraje prostřednictvím informačního systému datových schránek (ISDS),</w:t>
      </w:r>
    </w:p>
    <w:p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musí:</w:t>
      </w:r>
    </w:p>
    <w:p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odeslanou elektronickou žádost v dotačním portálu Karlovarského kraje vytisknout a opatřit ji vlastnoručním podpisem,</w:t>
      </w:r>
    </w:p>
    <w:p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vytištěné žádosti připojit všechny elektronicky neodeslané přílohy,</w:t>
      </w:r>
    </w:p>
    <w:p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listinnou žádost s případnými přílohami doručit ve lhůtě nejpozději do 5 pracovních dnů po ukončení příjmu elektronických žádostí, tj. do 16. 6. 2025,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 podatelnu Karlovarského kraje na adresu: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Karlovarský kraj, Závodní 353/88, 360 06 Karlovy Vary, Dvory.</w:t>
      </w:r>
    </w:p>
    <w:p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určení dodržení výše uvedené lhůty je rozhodující datum doručení žádosti na podatelnu Karlovarského kraje, nikoliv datum podání u doručovací služby.</w:t>
      </w:r>
    </w:p>
    <w:p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Povinnými přílohami k žádosti jsou:</w:t>
      </w:r>
    </w:p>
    <w:p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vlastnictví bankovního účtu žadatele,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plná moc v případě zastoupení žadatele na základě plné moci,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úplný výpis z Evidence skutečných majitelů</w:t>
      </w:r>
      <w:r>
        <w:rPr>
          <w:rStyle w:val="Znakapoznpodarou"/>
          <w:rFonts w:ascii="Times New Roman" w:hAnsi="Times New Roman"/>
        </w:rPr>
        <w:footnoteReference w:id="11"/>
      </w:r>
      <w:r>
        <w:rPr>
          <w:rFonts w:ascii="Times New Roman" w:hAnsi="Times New Roman"/>
        </w:rPr>
        <w:t xml:space="preserve"> je-li žadatel právnickou osobou,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rozhodnutí o registraci sociální služby účinné v době podání žádosti,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rozhodnutí Ministerstva práce a sociálních věcí o poskytnutí dotace z kapitoly 313 – MPSV státního rozpočtu na rok 2025,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pověření Ministerstva práce a sociálních věcí k poskytování služeb obecného hospodářského zájmu,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sociální služby.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 120 pracovních dnů ode dne přijetí elektronické žádosti v informačním systému Karlovarského kraje.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VIII.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žádosti, vyhodnocení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 žádost doplnil, a to nejpozději ve lhůtě do 10 pracovních dnů ode dne odeslání výzvy elektronickou poštou k odstranění vad nebo doplnění žádosti.</w:t>
      </w:r>
    </w:p>
    <w:p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 výzvě k odstranění vad a uplynutí lhůty pro odstranění vad. U neúplné žádosti nebo žádosti s vadami bude podán návrh na neposkytnutí dotace.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Odbor sociálních věcí předložené žádosti posoudí na základě následujících kritérií:</w:t>
      </w:r>
    </w:p>
    <w:p>
      <w:pPr>
        <w:numPr>
          <w:ilvl w:val="1"/>
          <w:numId w:val="26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IX. odst. 3 dotačního programu, tj. posouzení, zda je sociální služba v souladu s Akčním plánem rozvoje sociálních služeb v Karlovarském kraji na rok 2025 (dále jen „AP 2025“). Posuzuje se, zda je sociální služba uvedena ve výčtu sociálních služeb, který je uveden v kapitole 4.2.4. AP 2025.</w:t>
      </w:r>
    </w:p>
    <w:p>
      <w:pPr>
        <w:spacing w:after="0" w:line="240" w:lineRule="auto"/>
        <w:ind w:left="851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>
      <w:pPr>
        <w:numPr>
          <w:ilvl w:val="1"/>
          <w:numId w:val="26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IX. odst. 3 dotačního programu, tj. posouzení, zda je sociální služba poskytována na území Karlovarského kraje, popř. pro občany Karlovarského kraje.</w:t>
      </w:r>
    </w:p>
    <w:p>
      <w:pPr>
        <w:spacing w:after="0" w:line="240" w:lineRule="auto"/>
        <w:ind w:left="851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Žádost, která je v některém z kritérií dle písm. a) nebo b) hodnocena odpovědí „Nesplňuje“, nelze doporučit k finanční podpoře.</w:t>
      </w:r>
    </w:p>
    <w:p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</w:p>
    <w:p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Žádosti, které nesplní kritéria věcného hodnocení dle odst. 4, nebudou navrženy k finanční podpoře. Výše návrhu dotace na jednotlivé sociální služby bude stanovena ve výši 5 % celkových obvyklých (průměrných) nákladů na jednotku, tj. úvazek pracovníka (pro ambulantní a terénní sociální služby), lůžko (pro pobytové sociální služby).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 dubna 2022.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poskytne dotaci jen žadateli, jehož žádost je úplná a bez vad a byla podána ve lhůtě stanovené pro příjem žádostí a který splnil všechny další podmínky pro poskytnutí dotace specifikované dále v tomto článku.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Dotaci lze použít výhradně k účelu financování běžných výdajů souvisejících s poskytováním základních druhů a forem sociálních služeb v rozsahu stanoveném základními činnostmi u jednotlivých druhů sociálních služeb; jejich výčet a charakteristiky jsou uvedeny v části třetí hlavě I díle 2 až 4 zákona o sociálních službách. Dotace je určena na podporu sociálních služeb, které jsou uvedeny ve výčtu sociálních služeb, který je uveden v kapitole 4.2.4. AP 2025. Dotace je určena na podporu sociálních služeb, které jsou poskytovány na území Karlovarského kraje, popř. pro občany Karlovarského kraje.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Dotace se poskytuje výlučně na úhradu nezbytně nutných nákladů (výdajů) souvisejících s poskytováním sociální služby, tj. na osobní a provozní náklady. Osobní náklady jsou mzdové náklady včetně odvodů pojistného na sociální zabezpečení, příspěvku na státní politiku zaměstnanosti a pojistného na všeobecné zdravotní pojištění, které hradí zaměstnavatel za své zaměstnance, a další osobní náklady, které je zaměstnavatel za zaměstnance podle platných a účinných právních předpisů povinen odvádět. Provozní náklady jsou náklady nezbytné pro zajištění poskytování sociální služby v rozsahu stanoveném základními činnostmi sociální služby, které jsou identifikovatelné, účetně evidované, ověřitelné a podložené originálními dokumenty. Výše osobních a provozních nákladů nesmí přesáhnout obvyklou výši v daném místě a čase.</w:t>
      </w:r>
    </w:p>
    <w:p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DPH je uznatelným výdajem, pokud příjemce dotace (dále jen „příjemce“):</w:t>
      </w:r>
    </w:p>
    <w:p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není plátcem DPH,</w:t>
      </w:r>
    </w:p>
    <w:p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 plátcem DPH, ale dle zákona číslo 235/2004 Sb., o dani z přidané hodnoty, ve znění pozdějších předpisů nemá nárok na odpočet daně na vstupu.</w:t>
      </w:r>
    </w:p>
    <w:p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Dotace se neposkytuje na </w:t>
      </w:r>
      <w:r>
        <w:rPr>
          <w:rFonts w:ascii="Times New Roman" w:eastAsia="Arial Unicode MS" w:hAnsi="Times New Roman"/>
          <w:lang w:eastAsia="cs-CZ"/>
        </w:rPr>
        <w:t>zajištění fakultativních činností (§ 35 odst. 4 zákona o sociálních službách) a na úhradu výdajů uvedených v § 1 odst. 2 nařízení vlády č. 98/2015 Sb., o provedení § 101a zákona o sociálních službách, ve znění pozdějších předpisů.</w:t>
      </w:r>
    </w:p>
    <w:p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Dotace se poskytuje na realizaci činnosti od 1. 1. 2025 do 31. 12. 2025. Doklady o realizaci činnosti musí mít datum uskutečnění zdanitelného plnění od 1. 1. 2025 do 31. 12. 2025 a musí být uhrazeny nejpozději do 31. 12. 2025 (datum hotovostní úhrady nebo datum uskutečnění bankovního převodu). Pro bezhotovostní úhrady lze použít výlučně bankovní účet, jehož vlastníkem je žadatel. Platba z jiného bankovního účtu není přípustná.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Podmínkou pro poskytnutí dotace (převedení prostředků na účet žadatele) je vyrovnání veškerých splatných dluhů žadatele vůči poskytovateli dotace.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 15 pracovních dnů ode dne zveřejnění ověřeného usnesení na portálu Karlovarského kraje.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Vzor žádosti, příloh k žádosti a ostatních dokumentů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žádosti, resp. nevyplněnou elektronickou žádost má žadatel k dispozici v dotačním portálu Karlovarského kraje. Vzory příloh k žádosti jsou součástí tohoto dokumentu.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Čl. XI.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veřejnoprávní smlouvou o poskytnutí dotace.</w:t>
      </w:r>
    </w:p>
    <w:p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Kontrolu dle zákona č. 320/2001 Sb., o finanční kontrole ve veřejné správě a o změně některých zákonů (zákon o finanční kontrole), ve znění pozdějších předpisů a zákona č. 255/2012 Sb., o kontrole (kontrolní řád), ve znění pozdějších předpisů vykonávají mj. pověření zaměstnanci a členové příslušných kontrolních orgánů Karlovarského kraje.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provést a předložit poskytovateli dotace finanční vypořádání dotace nejpozději do termínu stanoveného ve veřejnoprávní smlouvě o poskytnutí dotace</w:t>
      </w:r>
      <w:r>
        <w:rPr>
          <w:rFonts w:ascii="Times New Roman" w:eastAsia="Times New Roman" w:hAnsi="Times New Roman"/>
          <w:bCs/>
          <w:iCs/>
          <w:lang w:eastAsia="cs-CZ"/>
        </w:rPr>
        <w:t>. Poskytovatel dotace 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poskytovatele dotace. Pro tento účel příjemce použije formulář Avízo, který je součástí formuláře Finanční vypořádání.</w:t>
      </w:r>
    </w:p>
    <w:p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XII.</w:t>
      </w: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Závěrečná a přechodná ustanovení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dlouhodobých činností nebo opakovaných akcí nevzniká uzavřením veřejnoprávní smlouvy o poskytnutí dotace automatický nárok na poskytnutí dotace v následujících letech</w:t>
      </w:r>
      <w:r>
        <w:rPr>
          <w:rStyle w:val="Znakapoznpodarou"/>
          <w:rFonts w:ascii="Times New Roman" w:hAnsi="Times New Roman"/>
        </w:rPr>
        <w:footnoteReference w:id="16"/>
      </w:r>
      <w:r>
        <w:rPr>
          <w:rFonts w:ascii="Times New Roman" w:hAnsi="Times New Roman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se přijímá pro období od 1. 1. 2025.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Dotační program byl schválen zastupitelstvem kraje dne 28. 4. 2025 a současně se ruší Program na zajištění spolufinancování sociálních služeb s celostátní a nadregionální působností schválený usnesením zastupitelstva kraje č. ZK 117/04/24 </w:t>
      </w:r>
      <w:bookmarkStart w:id="0" w:name="_GoBack"/>
      <w:bookmarkEnd w:id="0"/>
      <w:r>
        <w:rPr>
          <w:rFonts w:ascii="Times New Roman" w:hAnsi="Times New Roman"/>
        </w:rPr>
        <w:t>ze dne 22. 4. 2024.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nabývá účinnosti dnem schválení.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Přílohy: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</w:p>
    <w:p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 o dotaci</w:t>
      </w:r>
    </w:p>
    <w:p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sociální služby</w:t>
      </w:r>
    </w:p>
    <w:p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Vyhodnocení použití poskytnuté dotace</w:t>
      </w:r>
    </w:p>
    <w:p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veřejnoprávní smlouvy o poskytnutí dotace z rozpočtu Karlovarského kraje</w:t>
      </w:r>
    </w:p>
    <w:p>
      <w:pPr>
        <w:spacing w:after="0" w:line="240" w:lineRule="auto"/>
        <w:jc w:val="both"/>
        <w:rPr>
          <w:rFonts w:ascii="Times New Roman" w:hAnsi="Times New Roman"/>
          <w:strike/>
        </w:rPr>
      </w:pPr>
    </w:p>
    <w:sectPr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>
      <w:tc>
        <w:tcPr>
          <w:tcW w:w="3020" w:type="dxa"/>
        </w:tcPr>
        <w:p>
          <w:pPr>
            <w:pStyle w:val="Zhlav"/>
            <w:ind w:left="-115"/>
          </w:pPr>
        </w:p>
      </w:tc>
      <w:tc>
        <w:tcPr>
          <w:tcW w:w="3020" w:type="dxa"/>
        </w:tcPr>
        <w:p>
          <w:pPr>
            <w:pStyle w:val="Zhlav"/>
            <w:jc w:val="center"/>
          </w:pPr>
        </w:p>
      </w:tc>
      <w:tc>
        <w:tcPr>
          <w:tcW w:w="3020" w:type="dxa"/>
        </w:tcPr>
        <w:p>
          <w:pPr>
            <w:pStyle w:val="Zhlav"/>
            <w:ind w:right="-115"/>
            <w:jc w:val="right"/>
          </w:pPr>
        </w:p>
      </w:tc>
    </w:tr>
  </w:tbl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</w:p>
  </w:footnote>
  <w:footnote w:id="3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b) zákona č. 250/2000 Sb.</w:t>
      </w:r>
    </w:p>
  </w:footnote>
  <w:footnote w:id="4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c) zákona č. 250/2000 Sb.</w:t>
      </w:r>
    </w:p>
  </w:footnote>
  <w:footnote w:id="5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d) zákona č. 250/2000 Sb.</w:t>
      </w:r>
    </w:p>
  </w:footnote>
  <w:footnote w:id="6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e) zákona č. 250/2000 Sb.</w:t>
      </w:r>
    </w:p>
  </w:footnote>
  <w:footnote w:id="7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f) zákona č. 250/2000 Sb.</w:t>
      </w:r>
    </w:p>
  </w:footnote>
  <w:footnote w:id="8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9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6 odst. 2 zákona č. 297/2016 Sb.</w:t>
      </w:r>
    </w:p>
  </w:footnote>
  <w:footnote w:id="10">
    <w:p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f) bod 3. zákona č. 250/2000 Sb.</w:t>
      </w:r>
    </w:p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č. 37/2021 Sb., o evidenci skutečných majitelů, ve znění pozdějších předpisů</w:t>
      </w:r>
    </w:p>
  </w:footnote>
  <w:footnote w:id="12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h) zákona č. 250/2000 Sb.</w:t>
      </w:r>
    </w:p>
  </w:footnote>
  <w:footnote w:id="13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g) zákona č. 250/2000 Sb.</w:t>
      </w:r>
    </w:p>
  </w:footnote>
  <w:footnote w:id="14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i) zákona č. 250/2000 Sb.</w:t>
      </w:r>
    </w:p>
  </w:footnote>
  <w:footnote w:id="15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j) zákona č. 250/2000 Sb.</w:t>
      </w:r>
    </w:p>
  </w:footnote>
  <w:footnote w:id="16">
    <w:p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>
      <w:tc>
        <w:tcPr>
          <w:tcW w:w="3020" w:type="dxa"/>
        </w:tcPr>
        <w:p>
          <w:pPr>
            <w:pStyle w:val="Zhlav"/>
            <w:ind w:left="-115"/>
          </w:pPr>
        </w:p>
      </w:tc>
      <w:tc>
        <w:tcPr>
          <w:tcW w:w="3020" w:type="dxa"/>
        </w:tcPr>
        <w:p>
          <w:pPr>
            <w:pStyle w:val="Zhlav"/>
            <w:jc w:val="center"/>
          </w:pPr>
        </w:p>
      </w:tc>
      <w:tc>
        <w:tcPr>
          <w:tcW w:w="3020" w:type="dxa"/>
        </w:tcPr>
        <w:p>
          <w:pPr>
            <w:pStyle w:val="Zhlav"/>
            <w:ind w:right="-115"/>
            <w:jc w:val="right"/>
          </w:pPr>
        </w:p>
      </w:tc>
    </w:tr>
  </w:tbl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aps/>
      </w:rPr>
      <w:t>KARLOVARSKÝ KRAJ</w:t>
    </w:r>
  </w:p>
  <w:p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BCA"/>
    <w:multiLevelType w:val="hybridMultilevel"/>
    <w:tmpl w:val="77F8F7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81BEE"/>
    <w:multiLevelType w:val="hybridMultilevel"/>
    <w:tmpl w:val="682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B0A4A"/>
    <w:multiLevelType w:val="hybridMultilevel"/>
    <w:tmpl w:val="95DA5BF8"/>
    <w:lvl w:ilvl="0" w:tplc="2780B3D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35537D"/>
    <w:multiLevelType w:val="hybridMultilevel"/>
    <w:tmpl w:val="1BCCE0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956CBDB6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724D33"/>
    <w:multiLevelType w:val="hybridMultilevel"/>
    <w:tmpl w:val="31B67054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3856A080"/>
    <w:lvl w:ilvl="0" w:tplc="D126242A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032D2"/>
    <w:multiLevelType w:val="hybridMultilevel"/>
    <w:tmpl w:val="9DB6FCB2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41"/>
  </w:num>
  <w:num w:numId="4">
    <w:abstractNumId w:val="18"/>
  </w:num>
  <w:num w:numId="5">
    <w:abstractNumId w:val="9"/>
  </w:num>
  <w:num w:numId="6">
    <w:abstractNumId w:val="43"/>
  </w:num>
  <w:num w:numId="7">
    <w:abstractNumId w:val="13"/>
  </w:num>
  <w:num w:numId="8">
    <w:abstractNumId w:val="3"/>
  </w:num>
  <w:num w:numId="9">
    <w:abstractNumId w:val="23"/>
  </w:num>
  <w:num w:numId="10">
    <w:abstractNumId w:val="5"/>
  </w:num>
  <w:num w:numId="11">
    <w:abstractNumId w:val="45"/>
  </w:num>
  <w:num w:numId="12">
    <w:abstractNumId w:val="4"/>
  </w:num>
  <w:num w:numId="13">
    <w:abstractNumId w:val="11"/>
  </w:num>
  <w:num w:numId="14">
    <w:abstractNumId w:val="38"/>
  </w:num>
  <w:num w:numId="15">
    <w:abstractNumId w:val="48"/>
  </w:num>
  <w:num w:numId="16">
    <w:abstractNumId w:val="42"/>
  </w:num>
  <w:num w:numId="17">
    <w:abstractNumId w:val="25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1"/>
  </w:num>
  <w:num w:numId="23">
    <w:abstractNumId w:val="26"/>
  </w:num>
  <w:num w:numId="24">
    <w:abstractNumId w:val="39"/>
  </w:num>
  <w:num w:numId="25">
    <w:abstractNumId w:val="22"/>
  </w:num>
  <w:num w:numId="26">
    <w:abstractNumId w:val="32"/>
  </w:num>
  <w:num w:numId="27">
    <w:abstractNumId w:val="14"/>
  </w:num>
  <w:num w:numId="28">
    <w:abstractNumId w:val="17"/>
  </w:num>
  <w:num w:numId="29">
    <w:abstractNumId w:val="12"/>
  </w:num>
  <w:num w:numId="30">
    <w:abstractNumId w:val="30"/>
  </w:num>
  <w:num w:numId="31">
    <w:abstractNumId w:val="46"/>
  </w:num>
  <w:num w:numId="32">
    <w:abstractNumId w:val="33"/>
  </w:num>
  <w:num w:numId="33">
    <w:abstractNumId w:val="16"/>
  </w:num>
  <w:num w:numId="34">
    <w:abstractNumId w:val="1"/>
  </w:num>
  <w:num w:numId="35">
    <w:abstractNumId w:val="37"/>
  </w:num>
  <w:num w:numId="36">
    <w:abstractNumId w:val="7"/>
  </w:num>
  <w:num w:numId="37">
    <w:abstractNumId w:val="15"/>
  </w:num>
  <w:num w:numId="38">
    <w:abstractNumId w:val="19"/>
  </w:num>
  <w:num w:numId="39">
    <w:abstractNumId w:val="28"/>
  </w:num>
  <w:num w:numId="40">
    <w:abstractNumId w:val="6"/>
  </w:num>
  <w:num w:numId="41">
    <w:abstractNumId w:val="10"/>
  </w:num>
  <w:num w:numId="42">
    <w:abstractNumId w:val="35"/>
  </w:num>
  <w:num w:numId="43">
    <w:abstractNumId w:val="34"/>
  </w:num>
  <w:num w:numId="44">
    <w:abstractNumId w:val="20"/>
  </w:num>
  <w:num w:numId="45">
    <w:abstractNumId w:val="27"/>
  </w:num>
  <w:num w:numId="46">
    <w:abstractNumId w:val="49"/>
  </w:num>
  <w:num w:numId="47">
    <w:abstractNumId w:val="36"/>
  </w:num>
  <w:num w:numId="48">
    <w:abstractNumId w:val="8"/>
  </w:num>
  <w:num w:numId="49">
    <w:abstractNumId w:val="31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2Char">
    <w:name w:val="Nadpis 2 Char"/>
    <w:link w:val="Nadpis2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Pr>
      <w:color w:val="0563C1"/>
      <w:u w:val="single"/>
    </w:rPr>
  </w:style>
  <w:style w:type="character" w:customStyle="1" w:styleId="FontStyle49">
    <w:name w:val="Font Style49"/>
    <w:uiPriority w:val="99"/>
    <w:qFormat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lang w:eastAsia="en-US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6720-407B-4673-9432-66241C00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76C78-03CB-40F4-B0A6-233F5BE6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2448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16860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Pilařová Jana</cp:lastModifiedBy>
  <cp:revision>3</cp:revision>
  <cp:lastPrinted>2017-10-02T23:22:00Z</cp:lastPrinted>
  <dcterms:created xsi:type="dcterms:W3CDTF">2025-04-30T11:05:00Z</dcterms:created>
  <dcterms:modified xsi:type="dcterms:W3CDTF">2025-05-02T05:52:00Z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