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1CBE0FF1" w:rsidR="00CC11A9" w:rsidRPr="0096502F" w:rsidRDefault="00530BEC" w:rsidP="00ED3A3C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95B6D">
        <w:rPr>
          <w:rFonts w:eastAsia="Times New Roman"/>
          <w:lang w:eastAsia="cs-CZ"/>
        </w:rPr>
        <w:t>Ing. Petr Kulhánek</w:t>
      </w:r>
      <w:r>
        <w:rPr>
          <w:rFonts w:eastAsia="Times New Roman"/>
          <w:lang w:eastAsia="cs-CZ"/>
        </w:rPr>
        <w:t xml:space="preserve">, </w:t>
      </w:r>
      <w:r w:rsidR="00E95B6D">
        <w:rPr>
          <w:rFonts w:eastAsia="Times New Roman"/>
          <w:lang w:eastAsia="cs-CZ"/>
        </w:rPr>
        <w:t>hejtman</w:t>
      </w:r>
    </w:p>
    <w:p w14:paraId="370880D2" w14:textId="77777777" w:rsidR="00E74D56" w:rsidRDefault="0063102A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 w:rsidR="00E74D56">
        <w:rPr>
          <w:rFonts w:eastAsia="Times New Roman"/>
          <w:lang w:eastAsia="cs-CZ"/>
        </w:rPr>
        <w:tab/>
      </w:r>
      <w:r>
        <w:rPr>
          <w:color w:val="000000"/>
        </w:rPr>
        <w:t>Raiffeisenbank</w:t>
      </w:r>
      <w:r>
        <w:rPr>
          <w:rFonts w:eastAsia="Times New Roman"/>
          <w:lang w:eastAsia="cs-CZ"/>
        </w:rPr>
        <w:t xml:space="preserve">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074104F7" w14:textId="536ED95B" w:rsidR="0063102A" w:rsidRDefault="00E74D56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63102A">
        <w:rPr>
          <w:rFonts w:eastAsia="Times New Roman"/>
          <w:lang w:eastAsia="cs-CZ"/>
        </w:rPr>
        <w:t>íslo účtu:</w:t>
      </w:r>
      <w:r w:rsidR="0063102A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63102A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1B764BA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</w:r>
      <w:r w:rsidR="001351B3">
        <w:rPr>
          <w:rFonts w:eastAsia="Times New Roman"/>
          <w:lang w:eastAsia="cs-CZ"/>
        </w:rPr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729AA72" w14:textId="0A0A1095" w:rsidR="008B4BE8" w:rsidRDefault="008B4BE8" w:rsidP="00EC55D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Pr="008B4BE8">
        <w:rPr>
          <w:rFonts w:eastAsia="Times New Roman"/>
          <w:b/>
          <w:bCs/>
          <w:lang w:eastAsia="cs-CZ"/>
        </w:rPr>
        <w:t>bec Lipová</w:t>
      </w:r>
    </w:p>
    <w:p w14:paraId="7152572C" w14:textId="16FD6081" w:rsidR="00CC11A9" w:rsidRPr="0050018F" w:rsidRDefault="00CC11A9" w:rsidP="00EC55D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8B4BE8">
        <w:rPr>
          <w:rFonts w:eastAsia="Times New Roman"/>
          <w:bCs/>
          <w:lang w:eastAsia="cs-CZ"/>
        </w:rPr>
        <w:t>Lipová 130</w:t>
      </w:r>
      <w:r w:rsidR="006F39BF" w:rsidRPr="006F39BF">
        <w:rPr>
          <w:rFonts w:eastAsia="Times New Roman"/>
          <w:bCs/>
          <w:lang w:eastAsia="cs-CZ"/>
        </w:rPr>
        <w:t xml:space="preserve">, </w:t>
      </w:r>
      <w:r w:rsidR="00EC55D5">
        <w:rPr>
          <w:rFonts w:eastAsia="Times New Roman"/>
          <w:bCs/>
          <w:lang w:eastAsia="cs-CZ"/>
        </w:rPr>
        <w:t>3</w:t>
      </w:r>
      <w:r w:rsidR="008B4BE8">
        <w:rPr>
          <w:rFonts w:eastAsia="Times New Roman"/>
          <w:bCs/>
          <w:lang w:eastAsia="cs-CZ"/>
        </w:rPr>
        <w:t>50</w:t>
      </w:r>
      <w:r w:rsidR="00EC55D5">
        <w:rPr>
          <w:rFonts w:eastAsia="Times New Roman"/>
          <w:bCs/>
          <w:lang w:eastAsia="cs-CZ"/>
        </w:rPr>
        <w:t xml:space="preserve"> </w:t>
      </w:r>
      <w:r w:rsidR="008B4BE8">
        <w:rPr>
          <w:rFonts w:eastAsia="Times New Roman"/>
          <w:bCs/>
          <w:lang w:eastAsia="cs-CZ"/>
        </w:rPr>
        <w:t>0</w:t>
      </w:r>
      <w:r w:rsidR="00EC55D5">
        <w:rPr>
          <w:rFonts w:eastAsia="Times New Roman"/>
          <w:bCs/>
          <w:lang w:eastAsia="cs-CZ"/>
        </w:rPr>
        <w:t xml:space="preserve">2 </w:t>
      </w:r>
      <w:r w:rsidR="008B4BE8">
        <w:rPr>
          <w:rFonts w:eastAsia="Times New Roman"/>
          <w:bCs/>
          <w:lang w:eastAsia="cs-CZ"/>
        </w:rPr>
        <w:t>Cheb</w:t>
      </w:r>
    </w:p>
    <w:p w14:paraId="7EE718E2" w14:textId="1A0CE033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8B4BE8" w:rsidRPr="008B4BE8">
        <w:rPr>
          <w:rFonts w:eastAsia="Times New Roman"/>
          <w:bCs/>
          <w:lang w:eastAsia="cs-CZ"/>
        </w:rPr>
        <w:t>00254045</w:t>
      </w:r>
    </w:p>
    <w:p w14:paraId="02B29782" w14:textId="10581DDC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</w:p>
    <w:p w14:paraId="5B9FA43D" w14:textId="4D23BD53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8B4BE8" w:rsidRPr="008B4BE8">
        <w:rPr>
          <w:rFonts w:eastAsia="Times New Roman"/>
          <w:lang w:eastAsia="cs-CZ"/>
        </w:rPr>
        <w:t>Mgr. Tomáš Linda, MBA</w:t>
      </w:r>
      <w:r w:rsidR="00EC55D5">
        <w:rPr>
          <w:rFonts w:eastAsia="Times New Roman"/>
          <w:lang w:eastAsia="cs-CZ"/>
        </w:rPr>
        <w:t>, starosta</w:t>
      </w:r>
    </w:p>
    <w:p w14:paraId="45CE22B8" w14:textId="4D46942E" w:rsidR="002444B5" w:rsidRDefault="00CC11A9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FF0000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8B4BE8" w:rsidRPr="008B4BE8">
        <w:rPr>
          <w:rFonts w:eastAsia="Times New Roman"/>
          <w:lang w:eastAsia="cs-CZ"/>
        </w:rPr>
        <w:t>Komerční banka, a.s.</w:t>
      </w:r>
      <w:r w:rsidR="005178F2">
        <w:rPr>
          <w:rFonts w:eastAsia="Times New Roman"/>
          <w:color w:val="FF0000"/>
          <w:lang w:eastAsia="cs-CZ"/>
        </w:rPr>
        <w:tab/>
      </w:r>
    </w:p>
    <w:p w14:paraId="6026A4C8" w14:textId="2B49539A" w:rsidR="00CC11A9" w:rsidRPr="002444B5" w:rsidRDefault="002444B5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444B5">
        <w:rPr>
          <w:rFonts w:eastAsia="Times New Roman"/>
          <w:lang w:eastAsia="cs-CZ"/>
        </w:rPr>
        <w:t>Č</w:t>
      </w:r>
      <w:r w:rsidR="00CC11A9" w:rsidRPr="002444B5">
        <w:rPr>
          <w:rFonts w:eastAsia="Times New Roman"/>
          <w:lang w:eastAsia="cs-CZ"/>
        </w:rPr>
        <w:t>íslo účtu:</w:t>
      </w:r>
      <w:r w:rsidR="00CC11A9" w:rsidRPr="002444B5">
        <w:rPr>
          <w:rFonts w:eastAsia="Times New Roman"/>
          <w:lang w:eastAsia="cs-CZ"/>
        </w:rPr>
        <w:tab/>
      </w:r>
      <w:r w:rsidR="008B4BE8" w:rsidRPr="008B4BE8">
        <w:rPr>
          <w:rFonts w:eastAsia="Times New Roman"/>
          <w:lang w:eastAsia="cs-CZ"/>
        </w:rPr>
        <w:t>5724331</w:t>
      </w:r>
      <w:r w:rsidR="00EC55D5">
        <w:rPr>
          <w:rFonts w:eastAsia="Times New Roman"/>
          <w:lang w:eastAsia="cs-CZ"/>
        </w:rPr>
        <w:t>/0</w:t>
      </w:r>
      <w:r w:rsidR="008B4BE8">
        <w:rPr>
          <w:rFonts w:eastAsia="Times New Roman"/>
          <w:lang w:eastAsia="cs-CZ"/>
        </w:rPr>
        <w:t>1</w:t>
      </w:r>
      <w:r w:rsidR="00EC55D5">
        <w:rPr>
          <w:rFonts w:eastAsia="Times New Roman"/>
          <w:lang w:eastAsia="cs-CZ"/>
        </w:rPr>
        <w:t>00</w:t>
      </w:r>
    </w:p>
    <w:p w14:paraId="458C6585" w14:textId="5746017E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8B4BE8" w:rsidRPr="008B4BE8">
        <w:t>starosta@lipovauchebu.cz</w:t>
      </w:r>
    </w:p>
    <w:p w14:paraId="361F897E" w14:textId="783A61DA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8B4BE8" w:rsidRPr="008B4BE8">
        <w:rPr>
          <w:rFonts w:eastAsia="Times New Roman"/>
          <w:lang w:eastAsia="cs-CZ"/>
        </w:rPr>
        <w:t>6uea52r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9FB3131" w14:textId="77777777" w:rsidR="0063102A" w:rsidRDefault="0063102A" w:rsidP="0063102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B7E0514" w14:textId="31FCABE6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455B6F6B" w14:textId="5FCE460B" w:rsidR="00E95B6D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0761FC9A" w14:textId="77777777" w:rsidR="00E95B6D" w:rsidRPr="0096502F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7B7BD350" w14:textId="4236C428" w:rsidR="0063102A" w:rsidRPr="0096502F" w:rsidRDefault="00CC11A9" w:rsidP="0063102A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F4EEB2A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E31B06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D3462D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</w:t>
      </w:r>
      <w:r w:rsidR="004F73BB">
        <w:rPr>
          <w:rFonts w:eastAsia="Arial Unicode MS"/>
          <w:lang w:eastAsia="cs-CZ"/>
        </w:rPr>
        <w:t>jen</w:t>
      </w:r>
      <w:r w:rsidRPr="0096502F">
        <w:rPr>
          <w:rFonts w:eastAsia="Arial Unicode MS"/>
          <w:lang w:eastAsia="cs-CZ"/>
        </w:rPr>
        <w:t xml:space="preserve"> „RPÚR“)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</w:t>
      </w:r>
      <w:r w:rsidR="0063102A" w:rsidRPr="00F36EE4">
        <w:rPr>
          <w:rFonts w:eastAsia="Arial Unicode MS"/>
          <w:lang w:eastAsia="cs-CZ"/>
        </w:rPr>
        <w:t>čl. II odst. 2</w:t>
      </w:r>
      <w:r w:rsidRPr="0096502F">
        <w:rPr>
          <w:rFonts w:eastAsia="Arial Unicode MS"/>
          <w:lang w:eastAsia="cs-CZ"/>
        </w:rPr>
        <w:t> smlouvy a</w:t>
      </w:r>
      <w:r w:rsidR="0063102A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4A0FFBF6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1129940B" w14:textId="77777777" w:rsidR="0063102A" w:rsidRDefault="0063102A" w:rsidP="0063102A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>podle údajů uvedených v odstavci 2. tohoto článku.</w:t>
      </w:r>
    </w:p>
    <w:p w14:paraId="5A14974E" w14:textId="2DD1F3C9" w:rsidR="00CC11A9" w:rsidRDefault="00CC11A9" w:rsidP="00F40594">
      <w:pPr>
        <w:pStyle w:val="Normlnweb"/>
        <w:rPr>
          <w:bCs/>
          <w:sz w:val="22"/>
          <w:szCs w:val="22"/>
        </w:rPr>
      </w:pPr>
    </w:p>
    <w:p w14:paraId="6A8241BB" w14:textId="77777777" w:rsidR="00E33AFB" w:rsidRDefault="00E33AFB" w:rsidP="00F40594">
      <w:pPr>
        <w:pStyle w:val="Normlnweb"/>
        <w:rPr>
          <w:bCs/>
          <w:sz w:val="22"/>
          <w:szCs w:val="22"/>
        </w:rPr>
      </w:pPr>
    </w:p>
    <w:p w14:paraId="6B28C45B" w14:textId="1601C8BA" w:rsidR="00E95B6D" w:rsidRDefault="00E95B6D" w:rsidP="00F40594">
      <w:pPr>
        <w:pStyle w:val="Normlnweb"/>
        <w:rPr>
          <w:bCs/>
          <w:sz w:val="22"/>
          <w:szCs w:val="22"/>
        </w:rPr>
      </w:pPr>
    </w:p>
    <w:p w14:paraId="5D7E502D" w14:textId="77777777" w:rsidR="00E95B6D" w:rsidRDefault="00E95B6D" w:rsidP="00F40594">
      <w:pPr>
        <w:pStyle w:val="Normlnweb"/>
        <w:rPr>
          <w:bCs/>
          <w:sz w:val="22"/>
          <w:szCs w:val="22"/>
        </w:rPr>
      </w:pPr>
    </w:p>
    <w:p w14:paraId="6342A08C" w14:textId="0E1612F9" w:rsidR="00E74D56" w:rsidRDefault="00E74D56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696DDE31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2024</w:t>
      </w:r>
    </w:p>
    <w:p w14:paraId="041A388D" w14:textId="102AB3AF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BA36DA">
        <w:rPr>
          <w:b/>
          <w:sz w:val="22"/>
          <w:szCs w:val="22"/>
        </w:rPr>
        <w:t>140</w:t>
      </w:r>
      <w:r w:rsidR="00AE0EC8" w:rsidRPr="00AE0EC8">
        <w:rPr>
          <w:b/>
          <w:sz w:val="22"/>
          <w:szCs w:val="22"/>
        </w:rPr>
        <w:t xml:space="preserve"> </w:t>
      </w:r>
      <w:r w:rsidR="00BA36DA">
        <w:rPr>
          <w:b/>
          <w:sz w:val="22"/>
          <w:szCs w:val="22"/>
        </w:rPr>
        <w:t>8</w:t>
      </w:r>
      <w:r w:rsidR="00AE0EC8" w:rsidRPr="00AE0EC8">
        <w:rPr>
          <w:b/>
          <w:sz w:val="22"/>
          <w:szCs w:val="22"/>
        </w:rPr>
        <w:t>00</w:t>
      </w:r>
      <w:r w:rsidRPr="00AE0EC8">
        <w:rPr>
          <w:b/>
          <w:color w:val="FF0000"/>
          <w:sz w:val="22"/>
          <w:szCs w:val="22"/>
        </w:rPr>
        <w:t xml:space="preserve"> </w:t>
      </w:r>
      <w:r w:rsidRPr="00AE0EC8">
        <w:rPr>
          <w:b/>
          <w:sz w:val="22"/>
          <w:szCs w:val="22"/>
        </w:rPr>
        <w:t>Kč</w:t>
      </w:r>
    </w:p>
    <w:p w14:paraId="7CF831B7" w14:textId="24E69B09" w:rsidR="00CC11A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BA36DA">
        <w:rPr>
          <w:sz w:val="22"/>
          <w:szCs w:val="22"/>
        </w:rPr>
        <w:t>sto čtyřicet</w:t>
      </w:r>
      <w:r w:rsidR="00AE0EC8" w:rsidRPr="00AE0EC8">
        <w:rPr>
          <w:sz w:val="22"/>
          <w:szCs w:val="22"/>
        </w:rPr>
        <w:t xml:space="preserve"> tisíc</w:t>
      </w:r>
      <w:r w:rsidRPr="00AE0EC8">
        <w:rPr>
          <w:sz w:val="22"/>
          <w:szCs w:val="22"/>
        </w:rPr>
        <w:t xml:space="preserve"> </w:t>
      </w:r>
      <w:r w:rsidR="00BA36DA">
        <w:rPr>
          <w:sz w:val="22"/>
          <w:szCs w:val="22"/>
        </w:rPr>
        <w:t xml:space="preserve">osm set </w:t>
      </w:r>
      <w:r w:rsidRPr="0096502F">
        <w:rPr>
          <w:sz w:val="22"/>
          <w:szCs w:val="22"/>
        </w:rPr>
        <w:t>korun českých)</w:t>
      </w:r>
    </w:p>
    <w:p w14:paraId="3DD66DE1" w14:textId="542A1A45" w:rsidR="00074EBE" w:rsidRDefault="00074EBE" w:rsidP="00074EBE">
      <w:pPr>
        <w:pStyle w:val="Normlnweb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z toho investiční část dotace: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95 000 Kč</w:t>
      </w:r>
    </w:p>
    <w:p w14:paraId="5B6166B9" w14:textId="60D7287C" w:rsidR="00074EBE" w:rsidRPr="00B10E80" w:rsidRDefault="00074EBE" w:rsidP="00B10E80">
      <w:pPr>
        <w:pStyle w:val="Normlnweb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z toho neinvestiční část dotace: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45 800 Kč</w:t>
      </w:r>
      <w:r w:rsidRPr="00B10E80">
        <w:rPr>
          <w:sz w:val="22"/>
          <w:szCs w:val="22"/>
        </w:rPr>
        <w:tab/>
      </w:r>
      <w:r w:rsidRPr="00B10E80">
        <w:rPr>
          <w:sz w:val="22"/>
          <w:szCs w:val="22"/>
        </w:rPr>
        <w:tab/>
      </w:r>
    </w:p>
    <w:p w14:paraId="2145B9C0" w14:textId="19BF2D28" w:rsidR="004E13C5" w:rsidRPr="004E13C5" w:rsidRDefault="001B1D37" w:rsidP="00E33AFB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11A9" w:rsidRPr="004E13C5">
        <w:rPr>
          <w:sz w:val="22"/>
          <w:szCs w:val="22"/>
        </w:rPr>
        <w:t>Platba dotace bude opatřena variabilním symbolem:</w:t>
      </w:r>
      <w:r w:rsidR="00CC11A9" w:rsidRPr="004E13C5">
        <w:rPr>
          <w:sz w:val="22"/>
          <w:szCs w:val="22"/>
        </w:rPr>
        <w:tab/>
      </w:r>
    </w:p>
    <w:p w14:paraId="4276D08D" w14:textId="0DA6CFEB" w:rsidR="00CF660D" w:rsidRPr="004E13C5" w:rsidRDefault="004E13C5" w:rsidP="004E13C5">
      <w:pPr>
        <w:pStyle w:val="Normlnweb"/>
        <w:numPr>
          <w:ilvl w:val="0"/>
          <w:numId w:val="33"/>
        </w:numPr>
        <w:rPr>
          <w:b/>
          <w:bCs/>
          <w:sz w:val="22"/>
          <w:szCs w:val="22"/>
        </w:rPr>
      </w:pPr>
      <w:r w:rsidRPr="004E13C5">
        <w:rPr>
          <w:sz w:val="22"/>
          <w:szCs w:val="22"/>
        </w:rPr>
        <w:t>pro investiční část dotace:</w:t>
      </w:r>
      <w:r w:rsidRPr="004E13C5">
        <w:rPr>
          <w:sz w:val="22"/>
          <w:szCs w:val="22"/>
        </w:rPr>
        <w:tab/>
      </w:r>
      <w:r w:rsidRPr="004E13C5">
        <w:rPr>
          <w:b/>
          <w:sz w:val="22"/>
          <w:szCs w:val="22"/>
        </w:rPr>
        <w:tab/>
      </w:r>
      <w:r w:rsidRPr="004E13C5">
        <w:rPr>
          <w:b/>
          <w:sz w:val="22"/>
          <w:szCs w:val="22"/>
        </w:rPr>
        <w:tab/>
      </w:r>
      <w:r w:rsidRPr="004E13C5">
        <w:rPr>
          <w:b/>
          <w:sz w:val="22"/>
          <w:szCs w:val="22"/>
        </w:rPr>
        <w:tab/>
      </w:r>
      <w:r w:rsidR="00757742" w:rsidRPr="004E13C5">
        <w:rPr>
          <w:b/>
          <w:sz w:val="22"/>
          <w:szCs w:val="22"/>
        </w:rPr>
        <w:t>249401</w:t>
      </w:r>
      <w:r>
        <w:rPr>
          <w:b/>
          <w:sz w:val="22"/>
          <w:szCs w:val="22"/>
        </w:rPr>
        <w:t>4</w:t>
      </w:r>
      <w:r w:rsidR="00E33AFB" w:rsidRPr="004E13C5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7</w:t>
      </w:r>
    </w:p>
    <w:p w14:paraId="31A1C7C9" w14:textId="30408DDE" w:rsidR="004E13C5" w:rsidRPr="004E13C5" w:rsidRDefault="004E13C5" w:rsidP="004E13C5">
      <w:pPr>
        <w:pStyle w:val="Normlnweb"/>
        <w:numPr>
          <w:ilvl w:val="0"/>
          <w:numId w:val="33"/>
        </w:numPr>
        <w:rPr>
          <w:bCs/>
          <w:sz w:val="22"/>
          <w:szCs w:val="22"/>
        </w:rPr>
      </w:pPr>
      <w:r w:rsidRPr="004E13C5">
        <w:rPr>
          <w:bCs/>
          <w:sz w:val="22"/>
          <w:szCs w:val="22"/>
        </w:rPr>
        <w:t>pro neinvestiční část dotace:</w:t>
      </w:r>
      <w:r w:rsidRPr="004E13C5">
        <w:rPr>
          <w:bCs/>
          <w:sz w:val="22"/>
          <w:szCs w:val="22"/>
        </w:rPr>
        <w:tab/>
      </w:r>
      <w:r w:rsidRPr="004E13C5">
        <w:rPr>
          <w:bCs/>
          <w:sz w:val="22"/>
          <w:szCs w:val="22"/>
        </w:rPr>
        <w:tab/>
      </w:r>
      <w:r w:rsidRPr="004E13C5">
        <w:rPr>
          <w:bCs/>
          <w:sz w:val="22"/>
          <w:szCs w:val="22"/>
        </w:rPr>
        <w:tab/>
      </w:r>
      <w:r w:rsidRPr="004E13C5">
        <w:rPr>
          <w:b/>
          <w:bCs/>
          <w:sz w:val="22"/>
          <w:szCs w:val="22"/>
        </w:rPr>
        <w:t>2494015007</w:t>
      </w:r>
    </w:p>
    <w:p w14:paraId="59953791" w14:textId="6256847E" w:rsidR="0063102A" w:rsidRDefault="004E13C5" w:rsidP="004E13C5">
      <w:pPr>
        <w:spacing w:after="0" w:line="240" w:lineRule="auto"/>
        <w:rPr>
          <w:rFonts w:eastAsia="Times New Roman"/>
          <w:b/>
          <w:lang w:eastAsia="cs-CZ"/>
        </w:rPr>
      </w:pPr>
      <w:r>
        <w:t xml:space="preserve">         </w:t>
      </w:r>
      <w:r w:rsidRPr="00AD72CD">
        <w:t>Dotace se poskytuje na účel</w:t>
      </w:r>
      <w:r>
        <w:t xml:space="preserve">: </w:t>
      </w:r>
      <w:r>
        <w:tab/>
      </w:r>
      <w:r>
        <w:tab/>
      </w:r>
      <w:r>
        <w:tab/>
      </w:r>
      <w:r>
        <w:tab/>
      </w:r>
      <w:r w:rsidRPr="00BA36DA">
        <w:rPr>
          <w:rFonts w:eastAsia="Times New Roman"/>
          <w:b/>
          <w:lang w:eastAsia="cs-CZ"/>
        </w:rPr>
        <w:t>dovybavení jednotky sboru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36DA">
        <w:rPr>
          <w:rFonts w:eastAsia="Times New Roman"/>
          <w:b/>
          <w:lang w:eastAsia="cs-CZ"/>
        </w:rPr>
        <w:t>dobrovolných hasičů obce</w:t>
      </w:r>
      <w:r w:rsidR="002C0F16">
        <w:rPr>
          <w:rFonts w:eastAsia="Times New Roman"/>
          <w:b/>
          <w:lang w:eastAsia="cs-CZ"/>
        </w:rPr>
        <w:t xml:space="preserve"> Lipová</w:t>
      </w:r>
    </w:p>
    <w:p w14:paraId="26F5CD9F" w14:textId="77777777" w:rsidR="001B1D37" w:rsidRPr="001B1D37" w:rsidRDefault="001B1D37" w:rsidP="004E13C5">
      <w:pPr>
        <w:spacing w:after="0" w:line="240" w:lineRule="auto"/>
      </w:pPr>
    </w:p>
    <w:p w14:paraId="6BCACEF5" w14:textId="77777777" w:rsidR="005C5753" w:rsidRDefault="005C5753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1B13B724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63102A" w:rsidRPr="00CA21E4">
        <w:rPr>
          <w:rFonts w:eastAsia="Arial Unicode MS"/>
          <w:lang w:eastAsia="cs-CZ"/>
        </w:rPr>
        <w:t>zpravidla</w:t>
      </w:r>
      <w:r w:rsidR="0063102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do </w:t>
      </w:r>
      <w:r w:rsidR="00063C82" w:rsidRPr="0002054B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E33AF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 xml:space="preserve">. Platba bude opatřena variabilním symbolem uvedeným </w:t>
      </w:r>
      <w:r w:rsidR="0063102A" w:rsidRPr="00F07603">
        <w:rPr>
          <w:rFonts w:eastAsia="Arial Unicode MS"/>
          <w:lang w:eastAsia="cs-CZ"/>
        </w:rPr>
        <w:t xml:space="preserve">v čl. II. </w:t>
      </w:r>
      <w:r w:rsidR="0063102A" w:rsidRPr="00F36EE4">
        <w:rPr>
          <w:rFonts w:eastAsia="Arial Unicode MS"/>
          <w:lang w:eastAsia="cs-CZ"/>
        </w:rPr>
        <w:t>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17BC9534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64449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4E13C5">
        <w:rPr>
          <w:rFonts w:eastAsia="Times New Roman"/>
          <w:b/>
          <w:lang w:eastAsia="cs-CZ"/>
        </w:rPr>
        <w:t>4</w:t>
      </w:r>
      <w:r w:rsidR="00464449">
        <w:rPr>
          <w:rFonts w:eastAsia="Times New Roman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28A464A" w14:textId="424A6199" w:rsidR="007C09F9" w:rsidRDefault="005D7B12" w:rsidP="00477AF8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189E">
        <w:rPr>
          <w:rFonts w:eastAsia="Arial Unicode MS"/>
          <w:lang w:eastAsia="cs-CZ"/>
        </w:rPr>
        <w:t xml:space="preserve">Dotace </w:t>
      </w:r>
      <w:r w:rsidRPr="00F1189E">
        <w:rPr>
          <w:rFonts w:eastAsia="Arial Unicode MS"/>
          <w:bCs/>
          <w:lang w:eastAsia="cs-CZ"/>
        </w:rPr>
        <w:t xml:space="preserve">je </w:t>
      </w:r>
      <w:r w:rsidRPr="004E13C5">
        <w:rPr>
          <w:rFonts w:eastAsia="Arial Unicode MS"/>
          <w:b/>
          <w:bCs/>
          <w:lang w:eastAsia="cs-CZ"/>
        </w:rPr>
        <w:t xml:space="preserve">investičního </w:t>
      </w:r>
      <w:r w:rsidR="004E13C5" w:rsidRPr="004E13C5">
        <w:rPr>
          <w:rFonts w:eastAsia="Arial Unicode MS"/>
          <w:b/>
          <w:bCs/>
          <w:lang w:eastAsia="cs-CZ"/>
        </w:rPr>
        <w:t>a neinvestičního</w:t>
      </w:r>
      <w:r w:rsidR="004E13C5">
        <w:rPr>
          <w:rFonts w:eastAsia="Arial Unicode MS"/>
          <w:bCs/>
          <w:lang w:eastAsia="cs-CZ"/>
        </w:rPr>
        <w:t xml:space="preserve"> </w:t>
      </w:r>
      <w:r w:rsidRPr="00F1189E">
        <w:rPr>
          <w:rFonts w:eastAsia="Arial Unicode MS"/>
          <w:bCs/>
          <w:lang w:eastAsia="cs-CZ"/>
        </w:rPr>
        <w:t xml:space="preserve">charakteru a příjemce </w:t>
      </w:r>
      <w:r w:rsidR="00724317" w:rsidRPr="00F1189E">
        <w:rPr>
          <w:rFonts w:eastAsia="Arial Unicode MS"/>
          <w:bCs/>
          <w:lang w:eastAsia="cs-CZ"/>
        </w:rPr>
        <w:t>je povinen ji použít výhradně</w:t>
      </w:r>
      <w:r w:rsidR="00510D39">
        <w:rPr>
          <w:rFonts w:eastAsia="Arial Unicode MS"/>
          <w:bCs/>
          <w:lang w:eastAsia="cs-CZ"/>
        </w:rPr>
        <w:t xml:space="preserve"> </w:t>
      </w:r>
      <w:r w:rsidR="002A0738">
        <w:rPr>
          <w:rFonts w:eastAsia="Arial Unicode MS"/>
          <w:bCs/>
          <w:lang w:eastAsia="cs-CZ"/>
        </w:rPr>
        <w:t>na</w:t>
      </w:r>
      <w:r w:rsidRPr="00F1189E">
        <w:rPr>
          <w:rFonts w:eastAsia="Arial Unicode MS"/>
          <w:bCs/>
          <w:lang w:eastAsia="cs-CZ"/>
        </w:rPr>
        <w:t xml:space="preserve"> </w:t>
      </w:r>
      <w:r w:rsidR="004E13C5" w:rsidRPr="00BA36DA">
        <w:rPr>
          <w:rFonts w:eastAsia="Times New Roman"/>
          <w:b/>
          <w:lang w:eastAsia="cs-CZ"/>
        </w:rPr>
        <w:t>dovybavení jednotky sboru</w:t>
      </w:r>
      <w:r w:rsidR="004E13C5">
        <w:rPr>
          <w:b/>
        </w:rPr>
        <w:t xml:space="preserve"> </w:t>
      </w:r>
      <w:r w:rsidR="004E13C5" w:rsidRPr="00BA36DA">
        <w:rPr>
          <w:rFonts w:eastAsia="Times New Roman"/>
          <w:b/>
          <w:lang w:eastAsia="cs-CZ"/>
        </w:rPr>
        <w:t>dobrovolných hasičů obce</w:t>
      </w:r>
      <w:r w:rsidR="00510D39">
        <w:rPr>
          <w:rFonts w:eastAsia="Times New Roman"/>
          <w:b/>
          <w:bCs/>
          <w:lang w:eastAsia="cs-CZ"/>
        </w:rPr>
        <w:t>.</w:t>
      </w:r>
      <w:r w:rsidR="00624C09" w:rsidRPr="00F1189E">
        <w:rPr>
          <w:rFonts w:eastAsia="Times New Roman"/>
          <w:bCs/>
          <w:lang w:eastAsia="cs-CZ"/>
        </w:rPr>
        <w:t xml:space="preserve"> </w:t>
      </w:r>
      <w:r w:rsidR="00106F89">
        <w:rPr>
          <w:rFonts w:eastAsia="Times New Roman"/>
          <w:bCs/>
          <w:lang w:eastAsia="cs-CZ"/>
        </w:rPr>
        <w:t>Z dotace bude pořízeno např.</w:t>
      </w:r>
      <w:r w:rsidR="008748EC">
        <w:rPr>
          <w:rFonts w:eastAsia="Times New Roman"/>
          <w:bCs/>
          <w:lang w:eastAsia="cs-CZ"/>
        </w:rPr>
        <w:t>:</w:t>
      </w:r>
      <w:r w:rsidR="00106F89">
        <w:rPr>
          <w:rFonts w:eastAsia="Times New Roman"/>
          <w:bCs/>
          <w:lang w:eastAsia="cs-CZ"/>
        </w:rPr>
        <w:t xml:space="preserve"> e</w:t>
      </w:r>
      <w:r w:rsidR="00106F89" w:rsidRPr="00106F89">
        <w:rPr>
          <w:rFonts w:eastAsia="Times New Roman"/>
          <w:bCs/>
          <w:lang w:eastAsia="cs-CZ"/>
        </w:rPr>
        <w:t xml:space="preserve">lektrocentrála, </w:t>
      </w:r>
      <w:r w:rsidR="00106F89">
        <w:rPr>
          <w:rFonts w:eastAsia="Times New Roman"/>
          <w:bCs/>
          <w:lang w:eastAsia="cs-CZ"/>
        </w:rPr>
        <w:t>k</w:t>
      </w:r>
      <w:r w:rsidR="00106F89" w:rsidRPr="00106F89">
        <w:rPr>
          <w:rFonts w:eastAsia="Times New Roman"/>
          <w:bCs/>
          <w:lang w:eastAsia="cs-CZ"/>
        </w:rPr>
        <w:t xml:space="preserve">alové čerpadlo, </w:t>
      </w:r>
      <w:r w:rsidR="00106F89">
        <w:rPr>
          <w:rFonts w:eastAsia="Times New Roman"/>
          <w:bCs/>
          <w:lang w:eastAsia="cs-CZ"/>
        </w:rPr>
        <w:t>p</w:t>
      </w:r>
      <w:r w:rsidR="00106F89" w:rsidRPr="00106F89">
        <w:rPr>
          <w:rFonts w:eastAsia="Times New Roman"/>
          <w:bCs/>
          <w:lang w:eastAsia="cs-CZ"/>
        </w:rPr>
        <w:t xml:space="preserve">lovoucí čerpadlo, </w:t>
      </w:r>
      <w:r w:rsidR="00106F89">
        <w:rPr>
          <w:rFonts w:eastAsia="Times New Roman"/>
          <w:bCs/>
          <w:lang w:eastAsia="cs-CZ"/>
        </w:rPr>
        <w:t>v</w:t>
      </w:r>
      <w:r w:rsidR="00106F89" w:rsidRPr="00106F89">
        <w:rPr>
          <w:rFonts w:eastAsia="Times New Roman"/>
          <w:bCs/>
          <w:lang w:eastAsia="cs-CZ"/>
        </w:rPr>
        <w:t xml:space="preserve">ysílačky, </w:t>
      </w:r>
      <w:r w:rsidR="00106F89">
        <w:rPr>
          <w:rFonts w:eastAsia="Times New Roman"/>
          <w:bCs/>
          <w:lang w:eastAsia="cs-CZ"/>
        </w:rPr>
        <w:t>n</w:t>
      </w:r>
      <w:r w:rsidR="00106F89" w:rsidRPr="00106F89">
        <w:rPr>
          <w:rFonts w:eastAsia="Times New Roman"/>
          <w:bCs/>
          <w:lang w:eastAsia="cs-CZ"/>
        </w:rPr>
        <w:t>osítka</w:t>
      </w:r>
      <w:r w:rsidR="00106F89">
        <w:rPr>
          <w:rFonts w:eastAsia="Times New Roman"/>
          <w:bCs/>
          <w:lang w:eastAsia="cs-CZ"/>
        </w:rPr>
        <w:t xml:space="preserve">. </w:t>
      </w:r>
    </w:p>
    <w:p w14:paraId="3DA74225" w14:textId="7B31F1AB" w:rsidR="00F1189E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46111F89" w14:textId="77777777" w:rsidR="00F1189E" w:rsidRPr="00E74D56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857805C" w14:textId="4AE7C27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15C4A4" w14:textId="3D4AC10E" w:rsidR="00A06CB6" w:rsidRDefault="00A06CB6" w:rsidP="00A06CB6">
      <w:pPr>
        <w:numPr>
          <w:ilvl w:val="0"/>
          <w:numId w:val="2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lang w:eastAsia="cs-CZ"/>
        </w:rPr>
        <w:t>Příjemce je povinen řídit se touto smlouvou.</w:t>
      </w:r>
    </w:p>
    <w:p w14:paraId="67258F5B" w14:textId="77777777" w:rsidR="00A06CB6" w:rsidRDefault="00A06CB6" w:rsidP="00A06CB6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6F996B6" w14:textId="77777777" w:rsidR="00A06CB6" w:rsidRDefault="00A06CB6" w:rsidP="00A06CB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14:paraId="5017993C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45E79D3" w14:textId="495E04D0" w:rsidR="00A06CB6" w:rsidRPr="00297BCB" w:rsidRDefault="00A06CB6" w:rsidP="00A06CB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>
        <w:t xml:space="preserve">Dále tyto prostředky nesmí použít </w:t>
      </w:r>
      <w:r w:rsidRPr="00297BCB">
        <w:t>na</w:t>
      </w:r>
      <w:r w:rsidR="00CD2468" w:rsidRPr="00297BCB">
        <w:t> </w:t>
      </w:r>
      <w:r w:rsidR="00CD2468" w:rsidRPr="00297BCB">
        <w:rPr>
          <w:rFonts w:eastAsia="Arial Unicode MS"/>
          <w:lang w:eastAsia="cs-CZ"/>
        </w:rPr>
        <w:t xml:space="preserve">dary, pohoštění, </w:t>
      </w:r>
      <w:r w:rsidR="00A42A23" w:rsidRPr="00297BCB">
        <w:rPr>
          <w:rFonts w:eastAsia="Arial Unicode MS"/>
          <w:lang w:eastAsia="cs-CZ"/>
        </w:rPr>
        <w:t>mzdy pracovníků nebo funkcionářů příjemce či příjemce samotného, penále, úroky z úvěrů, náhrady škod, pokuty, úhrady dluhu apod.</w:t>
      </w:r>
    </w:p>
    <w:p w14:paraId="27746421" w14:textId="77777777" w:rsidR="00A06CB6" w:rsidRDefault="00A06CB6" w:rsidP="00A06CB6">
      <w:pPr>
        <w:spacing w:after="0" w:line="240" w:lineRule="auto"/>
      </w:pPr>
    </w:p>
    <w:p w14:paraId="3731FC9D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13B4D679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1B94A5B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14:paraId="30A63B71" w14:textId="5EE3CF12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4CA0E9C" w14:textId="77777777" w:rsidR="00C5321D" w:rsidRDefault="00C5321D" w:rsidP="00A06CB6">
      <w:pPr>
        <w:spacing w:after="0" w:line="240" w:lineRule="auto"/>
        <w:rPr>
          <w:rFonts w:eastAsia="Arial Unicode MS"/>
          <w:lang w:eastAsia="cs-CZ"/>
        </w:rPr>
      </w:pPr>
    </w:p>
    <w:p w14:paraId="594B136D" w14:textId="77777777" w:rsidR="006B298A" w:rsidRDefault="006B298A" w:rsidP="00A06CB6">
      <w:pPr>
        <w:spacing w:after="0" w:line="240" w:lineRule="auto"/>
        <w:rPr>
          <w:rFonts w:eastAsia="Arial Unicode MS"/>
          <w:lang w:eastAsia="cs-CZ"/>
        </w:rPr>
      </w:pPr>
    </w:p>
    <w:p w14:paraId="74432F58" w14:textId="391F3F72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>
        <w:rPr>
          <w:rFonts w:eastAsia="Arial Unicode MS"/>
          <w:b/>
          <w:lang w:eastAsia="cs-CZ"/>
        </w:rPr>
        <w:t>31. 1. 202</w:t>
      </w:r>
      <w:r w:rsidR="002C0F16">
        <w:rPr>
          <w:rFonts w:eastAsia="Arial Unicode MS"/>
          <w:b/>
          <w:lang w:eastAsia="cs-CZ"/>
        </w:rPr>
        <w:t>5</w:t>
      </w:r>
      <w:r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>
          <w:rPr>
            <w:rStyle w:val="Hypertextovodka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14:paraId="507C463E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A9F9B5B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6817BBF0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191C3C5" w14:textId="6FCB1DD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022134">
        <w:rPr>
          <w:rFonts w:eastAsia="Arial Unicode MS"/>
          <w:lang w:eastAsia="cs-CZ"/>
        </w:rPr>
        <w:t>:</w:t>
      </w:r>
    </w:p>
    <w:p w14:paraId="31A3B434" w14:textId="4A68DDA9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a)</w:t>
      </w:r>
      <w:r w:rsidRPr="00022134">
        <w:rPr>
          <w:rFonts w:eastAsia="Arial Unicode MS"/>
          <w:lang w:eastAsia="cs-CZ"/>
        </w:rPr>
        <w:tab/>
        <w:t xml:space="preserve">vyhodnocení použití poskytnuté dotace s popisem realizace a zhodnocením realizovaných </w:t>
      </w:r>
      <w:r>
        <w:rPr>
          <w:rFonts w:eastAsia="Arial Unicode MS"/>
          <w:lang w:eastAsia="cs-CZ"/>
        </w:rPr>
        <w:t xml:space="preserve">   </w:t>
      </w:r>
      <w:r>
        <w:t xml:space="preserve">  </w:t>
      </w:r>
      <w:r>
        <w:tab/>
      </w:r>
      <w:r w:rsidRPr="00022134">
        <w:rPr>
          <w:rFonts w:eastAsia="Arial Unicode MS"/>
          <w:lang w:eastAsia="cs-CZ"/>
        </w:rPr>
        <w:t>aktivit;</w:t>
      </w:r>
    </w:p>
    <w:p w14:paraId="704502CF" w14:textId="45E94DA8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b)</w:t>
      </w:r>
      <w:r w:rsidRPr="00022134">
        <w:rPr>
          <w:rFonts w:eastAsia="Arial Unicode MS"/>
          <w:lang w:eastAsia="cs-CZ"/>
        </w:rPr>
        <w:tab/>
        <w:t xml:space="preserve">průkaznou fotodokumentaci </w:t>
      </w:r>
      <w:r w:rsidR="00FF60FE">
        <w:rPr>
          <w:rFonts w:eastAsia="Arial Unicode MS"/>
          <w:lang w:eastAsia="cs-CZ"/>
        </w:rPr>
        <w:t xml:space="preserve">k </w:t>
      </w:r>
      <w:r w:rsidRPr="00022134">
        <w:rPr>
          <w:rFonts w:eastAsia="Arial Unicode MS"/>
          <w:lang w:eastAsia="cs-CZ"/>
        </w:rPr>
        <w:t>předmětu dotace;</w:t>
      </w:r>
    </w:p>
    <w:p w14:paraId="6322E076" w14:textId="7CF07D3E" w:rsidR="00FF60FE" w:rsidRPr="00FF60FE" w:rsidRDefault="00022134" w:rsidP="00022134">
      <w:pPr>
        <w:spacing w:after="0" w:line="240" w:lineRule="auto"/>
        <w:ind w:left="360"/>
      </w:pPr>
      <w:r w:rsidRPr="00022134">
        <w:rPr>
          <w:rFonts w:eastAsia="Arial Unicode MS"/>
          <w:lang w:eastAsia="cs-CZ"/>
        </w:rPr>
        <w:t>c)</w:t>
      </w:r>
      <w:r w:rsidRPr="00022134">
        <w:rPr>
          <w:rFonts w:eastAsia="Arial Unicode MS"/>
          <w:lang w:eastAsia="cs-CZ"/>
        </w:rPr>
        <w:tab/>
      </w:r>
      <w:r w:rsidR="00FF60FE" w:rsidRPr="00FF60FE">
        <w:rPr>
          <w:rFonts w:eastAsia="Arial Unicode MS"/>
          <w:lang w:eastAsia="cs-CZ"/>
        </w:rPr>
        <w:t xml:space="preserve">dokumentaci o propagaci poskytovatele dotace </w:t>
      </w:r>
      <w:r w:rsidR="00FF60FE" w:rsidRPr="00FF60FE">
        <w:t>(např. audio/video záznam, fotografie,</w:t>
      </w:r>
      <w:r w:rsidR="00641072">
        <w:t xml:space="preserve"> </w:t>
      </w:r>
      <w:r w:rsidR="00641072">
        <w:tab/>
      </w:r>
      <w:r w:rsidR="00FF60FE" w:rsidRPr="00FF60FE">
        <w:t>materiály)</w:t>
      </w:r>
      <w:r w:rsidR="00641072">
        <w:t>;</w:t>
      </w:r>
    </w:p>
    <w:p w14:paraId="5E45719D" w14:textId="3101ADCF" w:rsidR="00022134" w:rsidRDefault="00FF60FE" w:rsidP="00022134">
      <w:pPr>
        <w:spacing w:after="0" w:line="240" w:lineRule="auto"/>
        <w:ind w:left="360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d)  </w:t>
      </w:r>
      <w:r w:rsidRPr="00022134">
        <w:rPr>
          <w:rFonts w:eastAsia="Arial Unicode MS"/>
          <w:lang w:eastAsia="cs-CZ"/>
        </w:rPr>
        <w:t xml:space="preserve"> </w:t>
      </w:r>
      <w:r w:rsidR="00022134" w:rsidRPr="00022134">
        <w:rPr>
          <w:rFonts w:eastAsia="Arial Unicode MS"/>
          <w:lang w:eastAsia="cs-CZ"/>
        </w:rPr>
        <w:t>doklad o zaúčtování majetku do účetnictví organizace</w:t>
      </w:r>
      <w:r w:rsidR="00641072">
        <w:rPr>
          <w:rFonts w:eastAsia="Arial Unicode MS"/>
          <w:lang w:eastAsia="cs-CZ"/>
        </w:rPr>
        <w:t>.</w:t>
      </w:r>
    </w:p>
    <w:p w14:paraId="001057C1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E032BE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>
          <w:rPr>
            <w:rStyle w:val="Hypertextovodkaz"/>
          </w:rPr>
          <w:t>https://www.kr-karlovarsky.cz</w:t>
        </w:r>
      </w:hyperlink>
      <w:r>
        <w:rPr>
          <w:rFonts w:eastAsia="Arial Unicode MS"/>
          <w:lang w:eastAsia="cs-CZ"/>
        </w:rPr>
        <w:t>.</w:t>
      </w:r>
    </w:p>
    <w:p w14:paraId="2AB81DE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2209627A" w14:textId="151A4534" w:rsidR="008405D7" w:rsidRDefault="00A06CB6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>
          <w:rPr>
            <w:rStyle w:val="Hypertextovodkaz"/>
          </w:rPr>
          <w:t>http://www.kr-karlovarsky.cz/samosprava/Stranky/poskyt.aspx</w:t>
        </w:r>
      </w:hyperlink>
      <w:r w:rsidR="00FF60FE" w:rsidRPr="00FF60FE">
        <w:rPr>
          <w:rStyle w:val="Hypertextovodkaz"/>
          <w:color w:val="auto"/>
          <w:u w:val="none"/>
        </w:rPr>
        <w:t>)</w:t>
      </w:r>
      <w:r w:rsidR="00FF60FE">
        <w:rPr>
          <w:rStyle w:val="Hypertextovodkaz"/>
          <w:u w:val="none"/>
        </w:rPr>
        <w:t>.</w:t>
      </w:r>
    </w:p>
    <w:p w14:paraId="6DA0FD04" w14:textId="77777777" w:rsidR="008405D7" w:rsidRDefault="008405D7" w:rsidP="008405D7">
      <w:pPr>
        <w:pStyle w:val="Odstavecseseznamem"/>
        <w:spacing w:after="0"/>
        <w:rPr>
          <w:rFonts w:eastAsia="Arial Unicode MS"/>
          <w:lang w:eastAsia="cs-CZ"/>
        </w:rPr>
      </w:pPr>
    </w:p>
    <w:p w14:paraId="2BDD8E18" w14:textId="66C84FDB" w:rsidR="008405D7" w:rsidRPr="008405D7" w:rsidRDefault="008405D7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7E065FE9" w14:textId="2DAC7913" w:rsidR="00150440" w:rsidRDefault="00150440" w:rsidP="008F0B23">
      <w:pPr>
        <w:spacing w:after="0" w:line="240" w:lineRule="auto"/>
        <w:rPr>
          <w:rFonts w:eastAsia="Arial Unicode MS"/>
          <w:lang w:eastAsia="cs-CZ"/>
        </w:rPr>
      </w:pPr>
    </w:p>
    <w:p w14:paraId="4CAD92B0" w14:textId="77777777" w:rsidR="008405D7" w:rsidRDefault="008405D7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DC3E906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150440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</w:t>
      </w:r>
      <w:r w:rsidR="008405D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v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čl.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II</w:t>
      </w:r>
      <w:r w:rsidR="00150440">
        <w:rPr>
          <w:rFonts w:eastAsia="Arial Unicode MS"/>
          <w:lang w:eastAsia="cs-CZ"/>
        </w:rPr>
        <w:t>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odst.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F49BDA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150440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>1</w:t>
      </w:r>
      <w:r w:rsidR="00F708BF">
        <w:rPr>
          <w:rFonts w:eastAsia="Arial Unicode MS"/>
          <w:lang w:eastAsia="cs-CZ"/>
        </w:rPr>
        <w:t>0</w:t>
      </w:r>
      <w:r w:rsidRPr="0002054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0CF4FC65" w:rsidR="008F0B23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D835DE6" w14:textId="23B604AB" w:rsidR="00A6226E" w:rsidRDefault="00A6226E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18DDCBDF" w14:textId="0FE2E2E3" w:rsidR="00A6226E" w:rsidRDefault="00A6226E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0E26CCC6" w14:textId="123D3C2A" w:rsidR="00A6226E" w:rsidRDefault="00A6226E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239D9F1" w14:textId="77777777" w:rsidR="00A6226E" w:rsidRPr="0096502F" w:rsidRDefault="00A6226E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3035173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FC75710" w14:textId="77777777" w:rsidR="006B298A" w:rsidRPr="0096502F" w:rsidRDefault="006B298A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22DF39B3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 w:rsidR="00FD1669">
        <w:rPr>
          <w:rFonts w:eastAsia="Arial Unicode MS"/>
          <w:lang w:eastAsia="cs-CZ"/>
        </w:rPr>
        <w:t>změnu oprávněné osoby příjemce, změnu vlastnického vztahu příjemce k věci,</w:t>
      </w:r>
      <w:r w:rsidRPr="0096502F">
        <w:rPr>
          <w:rFonts w:eastAsia="Arial Unicode MS"/>
          <w:lang w:eastAsia="cs-CZ"/>
        </w:rPr>
        <w:t xml:space="preserve">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6D668023" w14:textId="77777777" w:rsidR="007C09F9" w:rsidRPr="0096502F" w:rsidRDefault="007C09F9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5815EAC8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</w:t>
      </w:r>
      <w:r w:rsidR="00FD1669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aby práva a povinnosti ze smlouvy přešly</w:t>
      </w:r>
      <w:r w:rsidR="00FD1669">
        <w:rPr>
          <w:rFonts w:eastAsia="Arial Unicode MS"/>
          <w:lang w:eastAsia="cs-CZ"/>
        </w:rPr>
        <w:t xml:space="preserve"> na</w:t>
      </w:r>
      <w:r w:rsidRPr="0096502F">
        <w:rPr>
          <w:rFonts w:eastAsia="Arial Unicode MS"/>
          <w:lang w:eastAsia="cs-CZ"/>
        </w:rPr>
        <w:t xml:space="preserve"> </w:t>
      </w:r>
      <w:r w:rsidR="00FD1669">
        <w:rPr>
          <w:rFonts w:eastAsia="Arial Unicode MS"/>
          <w:lang w:eastAsia="cs-CZ"/>
        </w:rPr>
        <w:t>nového vlastníka věci, na niž se dotace poskytuje, nebo podat návrh na ukončení smlouvy.</w:t>
      </w:r>
    </w:p>
    <w:p w14:paraId="718C5D9F" w14:textId="3713B2E8" w:rsidR="002444B5" w:rsidRDefault="002444B5" w:rsidP="008F0B23">
      <w:pPr>
        <w:spacing w:after="0" w:line="240" w:lineRule="auto"/>
        <w:rPr>
          <w:rFonts w:eastAsia="Arial Unicode MS"/>
          <w:lang w:eastAsia="cs-CZ"/>
        </w:rPr>
      </w:pPr>
    </w:p>
    <w:p w14:paraId="09C34594" w14:textId="77777777" w:rsidR="00C5321D" w:rsidRPr="0096502F" w:rsidRDefault="00C5321D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72F7C2DA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092C8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092C8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60A642AA" w14:textId="49C636AA" w:rsidR="00150440" w:rsidRDefault="00150440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42C0048" w14:textId="77777777" w:rsidR="00C5321D" w:rsidRPr="00BC1DA4" w:rsidRDefault="00C5321D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01808148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150440" w:rsidRPr="00F36EE4">
        <w:rPr>
          <w:rFonts w:eastAsia="Times New Roman"/>
          <w:bCs/>
          <w:lang w:eastAsia="cs-CZ"/>
        </w:rPr>
        <w:t>4,</w:t>
      </w:r>
      <w:r w:rsidR="00150440" w:rsidRPr="00834130">
        <w:rPr>
          <w:rFonts w:eastAsia="Times New Roman"/>
          <w:bCs/>
          <w:lang w:eastAsia="cs-CZ"/>
        </w:rPr>
        <w:t xml:space="preserve"> 5, 8, 9, </w:t>
      </w:r>
      <w:r w:rsidR="00150440" w:rsidRPr="00F36EE4">
        <w:rPr>
          <w:rFonts w:eastAsia="Times New Roman"/>
          <w:bCs/>
          <w:lang w:eastAsia="cs-CZ"/>
        </w:rPr>
        <w:t>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17FC55EA" w14:textId="003BEB29" w:rsidR="002444B5" w:rsidRDefault="008F0B23" w:rsidP="006B298A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510D39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50440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15B93174" w14:textId="018A8526" w:rsidR="00C5321D" w:rsidRDefault="00C5321D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A22C5A4" w14:textId="6304FF51" w:rsidR="00A6226E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51C3AA74" w14:textId="5A6F10C9" w:rsidR="00A6226E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1E3D764" w14:textId="4CCB1881" w:rsidR="00A6226E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2677EC66" w14:textId="61B4CF3B" w:rsidR="00A6226E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07F03E4" w14:textId="53C52C86" w:rsidR="00A6226E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2EA7DB90" w14:textId="77777777" w:rsidR="00A6226E" w:rsidRPr="006B298A" w:rsidRDefault="00A6226E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2A850480" w14:textId="5D67535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100AD5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B1C2DC8" w14:textId="77777777" w:rsidR="007E7DC7" w:rsidRPr="0096502F" w:rsidRDefault="007E7DC7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59D78645" w:rsidR="008F0B23" w:rsidRPr="006B298A" w:rsidRDefault="008F0B23" w:rsidP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219BB87" w14:textId="169F5AA1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A6491CD" w14:textId="77777777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3DC85552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0975C7A" w14:textId="38AE96C0" w:rsidR="00E74D56" w:rsidRPr="000A1B1B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0A1B1B">
        <w:rPr>
          <w:sz w:val="22"/>
          <w:szCs w:val="22"/>
        </w:rPr>
        <w:t>P</w:t>
      </w:r>
      <w:r w:rsidR="000A1B1B" w:rsidRPr="000A1B1B">
        <w:rPr>
          <w:sz w:val="22"/>
          <w:szCs w:val="22"/>
        </w:rPr>
        <w:t>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59C397AD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F9E9C24" w14:textId="0BA857B8" w:rsidR="00E74D56" w:rsidRPr="00E07F19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E07F19">
        <w:rPr>
          <w:sz w:val="22"/>
          <w:szCs w:val="22"/>
        </w:rPr>
        <w:t xml:space="preserve">Příjemce </w:t>
      </w:r>
      <w:r w:rsidR="003A2A77" w:rsidRPr="003A2A77">
        <w:rPr>
          <w:sz w:val="22"/>
          <w:szCs w:val="22"/>
        </w:rPr>
        <w:t>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="004F21CD">
        <w:rPr>
          <w:rStyle w:val="Znakapoznpodarou"/>
          <w:sz w:val="22"/>
          <w:szCs w:val="22"/>
        </w:rPr>
        <w:footnoteReference w:id="1"/>
      </w:r>
      <w:r w:rsidR="003A2A77" w:rsidRPr="003A2A77">
        <w:rPr>
          <w:sz w:val="22"/>
          <w:szCs w:val="22"/>
        </w:rPr>
        <w:t xml:space="preserve"> buď o vrácení podpory, prozatímním navrácení podpory nebo o pozastavení podpory</w:t>
      </w:r>
      <w:r w:rsidRPr="00E07F19">
        <w:rPr>
          <w:sz w:val="22"/>
          <w:szCs w:val="22"/>
        </w:rPr>
        <w:t>.</w:t>
      </w:r>
    </w:p>
    <w:p w14:paraId="3B12014B" w14:textId="0153B3DF" w:rsidR="00363981" w:rsidRDefault="0036398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32833E1" w14:textId="77777777" w:rsidR="00C5321D" w:rsidRPr="0096502F" w:rsidRDefault="00C5321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060C0923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B377550" w14:textId="77777777" w:rsidR="00150440" w:rsidRDefault="00150440" w:rsidP="0015044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766F0028" w14:textId="77777777" w:rsidR="00150440" w:rsidRPr="0096502F" w:rsidRDefault="00150440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AFB8DFD" w14:textId="73057817" w:rsidR="00724317" w:rsidRDefault="00724317" w:rsidP="00724317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</w:t>
      </w:r>
      <w:r w:rsidR="00D575F9">
        <w:t>a účinnosti dnem podpisu smluvních stran. Smluvní strany se dohodly, že zveřejnění smlouvy v registru smluv provede poskytovatel. Kontakt na doručení oznámení o</w:t>
      </w:r>
      <w:r w:rsidR="00D575F9">
        <w:rPr>
          <w:rFonts w:eastAsia="Times New Roman"/>
          <w:lang w:eastAsia="cs-CZ"/>
        </w:rPr>
        <w:t> </w:t>
      </w:r>
      <w:r w:rsidR="00D575F9"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78D84D30" w14:textId="17B8D55F" w:rsidR="00394926" w:rsidRDefault="00394926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8DE6658" w14:textId="770906B9" w:rsidR="00A6226E" w:rsidRDefault="00A6226E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053CF5C" w14:textId="1A46C27C" w:rsidR="00A6226E" w:rsidRDefault="00A6226E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79FBC28" w14:textId="36020B58" w:rsidR="00A6226E" w:rsidRDefault="00A6226E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077A0D62" w14:textId="706016FB" w:rsidR="00A6226E" w:rsidRDefault="00A6226E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5E85BC" w14:textId="77777777" w:rsidR="00A6226E" w:rsidRDefault="00A6226E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18330876" w:rsidR="008F0B23" w:rsidRPr="00394926" w:rsidRDefault="008F0B23" w:rsidP="00394926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394926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394926">
        <w:rPr>
          <w:rFonts w:eastAsia="Times New Roman"/>
          <w:lang w:eastAsia="cs-CZ"/>
        </w:rPr>
        <w:t> </w:t>
      </w:r>
      <w:r w:rsidRPr="00394926">
        <w:rPr>
          <w:rFonts w:eastAsia="Times New Roman"/>
          <w:lang w:eastAsia="cs-CZ"/>
        </w:rPr>
        <w:t>vůli smluvních stran dle předmětu smlouvy.</w:t>
      </w:r>
    </w:p>
    <w:p w14:paraId="07D0EFF6" w14:textId="7777777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2EB51C2" w14:textId="75926AA9" w:rsidR="00A86930" w:rsidRDefault="008F0B23" w:rsidP="00A86930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 Rada Karlovarského kraje usnesením č. RK </w:t>
      </w:r>
      <w:r w:rsidRPr="00BD446B">
        <w:rPr>
          <w:rFonts w:eastAsia="Times New Roman"/>
          <w:color w:val="FF0000"/>
          <w:highlight w:val="yellow"/>
          <w:lang w:eastAsia="cs-CZ"/>
        </w:rPr>
        <w:t>usnesení</w:t>
      </w:r>
      <w:r w:rsidRPr="00BD446B">
        <w:rPr>
          <w:rFonts w:eastAsia="Times New Roman"/>
          <w:highlight w:val="yellow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Pr="00BD446B">
        <w:rPr>
          <w:rFonts w:eastAsia="Times New Roman"/>
          <w:color w:val="FF0000"/>
          <w:highlight w:val="yellow"/>
          <w:lang w:eastAsia="cs-CZ"/>
        </w:rPr>
        <w:t>datum</w:t>
      </w:r>
      <w:r w:rsidRPr="0096502F">
        <w:rPr>
          <w:rFonts w:eastAsia="Times New Roman"/>
          <w:lang w:eastAsia="cs-CZ"/>
        </w:rPr>
        <w:t>.</w:t>
      </w:r>
    </w:p>
    <w:p w14:paraId="0D12D25E" w14:textId="77777777" w:rsidR="00C5321D" w:rsidRPr="006B298A" w:rsidRDefault="00C5321D" w:rsidP="00C532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7A377C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D52C3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0E20D1" w14:textId="77777777" w:rsidR="00E74D56" w:rsidRDefault="00E74D5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1339D3BA" w14:textId="77777777" w:rsidR="003E51C0" w:rsidRPr="00B9364D" w:rsidRDefault="003E51C0" w:rsidP="003E51C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9364D">
              <w:rPr>
                <w:rFonts w:eastAsia="Times New Roman"/>
                <w:lang w:eastAsia="cs-CZ"/>
              </w:rPr>
              <w:t>Ing. Petr Kulhánek</w:t>
            </w:r>
          </w:p>
          <w:p w14:paraId="5D6E577E" w14:textId="2C7C2F7C" w:rsidR="008F0B23" w:rsidRPr="00C52226" w:rsidRDefault="003E51C0" w:rsidP="003E51C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B9364D">
              <w:rPr>
                <w:rFonts w:eastAsia="Times New Roman"/>
                <w:lang w:eastAsia="cs-CZ"/>
              </w:rPr>
              <w:t xml:space="preserve">hejtman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026D47A" w14:textId="77777777" w:rsidR="003E51C0" w:rsidRDefault="00E74D56" w:rsidP="003E51C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66D3A84E" w14:textId="7068663B" w:rsidR="003E51C0" w:rsidRPr="00B9364D" w:rsidRDefault="003E51C0" w:rsidP="003E51C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B9364D">
              <w:rPr>
                <w:rFonts w:eastAsia="Times New Roman"/>
                <w:lang w:eastAsia="cs-CZ"/>
              </w:rPr>
              <w:t>Mgr. Tomáš Linda</w:t>
            </w:r>
            <w:r>
              <w:rPr>
                <w:rFonts w:eastAsia="Times New Roman"/>
                <w:lang w:eastAsia="cs-CZ"/>
              </w:rPr>
              <w:t>,</w:t>
            </w:r>
            <w:r w:rsidRPr="00B9364D">
              <w:rPr>
                <w:rFonts w:eastAsia="Times New Roman"/>
                <w:lang w:eastAsia="cs-CZ"/>
              </w:rPr>
              <w:t xml:space="preserve"> MBA </w:t>
            </w:r>
          </w:p>
          <w:p w14:paraId="37B590E0" w14:textId="60EC9DA3" w:rsidR="008F0B23" w:rsidRDefault="003E51C0" w:rsidP="003E51C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starosta</w:t>
            </w:r>
          </w:p>
          <w:p w14:paraId="4B83B585" w14:textId="78C93AF9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5073B2CC" w14:textId="77777777" w:rsidR="008F0B23" w:rsidRDefault="008F0B23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9B4F6" w14:textId="77777777" w:rsidR="00104808" w:rsidRDefault="00104808" w:rsidP="008F0B23">
      <w:pPr>
        <w:spacing w:after="0" w:line="240" w:lineRule="auto"/>
      </w:pPr>
      <w:r>
        <w:separator/>
      </w:r>
    </w:p>
  </w:endnote>
  <w:endnote w:type="continuationSeparator" w:id="0">
    <w:p w14:paraId="1CFEAAD1" w14:textId="77777777" w:rsidR="00104808" w:rsidRDefault="00104808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6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C1475" w14:textId="1464191E" w:rsidR="00394926" w:rsidRDefault="003949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2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22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3B603" w14:textId="77777777" w:rsidR="00394926" w:rsidRDefault="00394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53E2" w14:textId="77777777" w:rsidR="00104808" w:rsidRDefault="00104808" w:rsidP="008F0B23">
      <w:pPr>
        <w:spacing w:after="0" w:line="240" w:lineRule="auto"/>
      </w:pPr>
      <w:r>
        <w:separator/>
      </w:r>
    </w:p>
  </w:footnote>
  <w:footnote w:type="continuationSeparator" w:id="0">
    <w:p w14:paraId="3E8A4564" w14:textId="77777777" w:rsidR="00104808" w:rsidRDefault="00104808" w:rsidP="008F0B23">
      <w:pPr>
        <w:spacing w:after="0" w:line="240" w:lineRule="auto"/>
      </w:pPr>
      <w:r>
        <w:continuationSeparator/>
      </w:r>
    </w:p>
  </w:footnote>
  <w:footnote w:id="1">
    <w:p w14:paraId="5439EE6E" w14:textId="5B7A7D9B" w:rsidR="004F21CD" w:rsidRDefault="004F21C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E5D"/>
    <w:multiLevelType w:val="hybridMultilevel"/>
    <w:tmpl w:val="704C9D72"/>
    <w:lvl w:ilvl="0" w:tplc="82D253D4">
      <w:start w:val="5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2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1"/>
  </w:num>
  <w:num w:numId="4">
    <w:abstractNumId w:val="1"/>
  </w:num>
  <w:num w:numId="5">
    <w:abstractNumId w:val="7"/>
  </w:num>
  <w:num w:numId="6">
    <w:abstractNumId w:val="4"/>
  </w:num>
  <w:num w:numId="7">
    <w:abstractNumId w:val="18"/>
  </w:num>
  <w:num w:numId="8">
    <w:abstractNumId w:val="11"/>
  </w:num>
  <w:num w:numId="9">
    <w:abstractNumId w:val="9"/>
  </w:num>
  <w:num w:numId="10">
    <w:abstractNumId w:val="29"/>
  </w:num>
  <w:num w:numId="11">
    <w:abstractNumId w:val="13"/>
  </w:num>
  <w:num w:numId="12">
    <w:abstractNumId w:val="17"/>
  </w:num>
  <w:num w:numId="13">
    <w:abstractNumId w:val="27"/>
  </w:num>
  <w:num w:numId="14">
    <w:abstractNumId w:val="6"/>
  </w:num>
  <w:num w:numId="15">
    <w:abstractNumId w:val="3"/>
  </w:num>
  <w:num w:numId="16">
    <w:abstractNumId w:val="23"/>
  </w:num>
  <w:num w:numId="17">
    <w:abstractNumId w:val="2"/>
  </w:num>
  <w:num w:numId="18">
    <w:abstractNumId w:val="19"/>
  </w:num>
  <w:num w:numId="19">
    <w:abstractNumId w:val="22"/>
  </w:num>
  <w:num w:numId="20">
    <w:abstractNumId w:val="20"/>
  </w:num>
  <w:num w:numId="21">
    <w:abstractNumId w:val="10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4"/>
  </w:num>
  <w:num w:numId="31">
    <w:abstractNumId w:val="5"/>
  </w:num>
  <w:num w:numId="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054B"/>
    <w:rsid w:val="00022134"/>
    <w:rsid w:val="0002214C"/>
    <w:rsid w:val="00033EEB"/>
    <w:rsid w:val="000362D3"/>
    <w:rsid w:val="0004794E"/>
    <w:rsid w:val="00062252"/>
    <w:rsid w:val="0006239A"/>
    <w:rsid w:val="00063C82"/>
    <w:rsid w:val="00074EBE"/>
    <w:rsid w:val="00076763"/>
    <w:rsid w:val="000858A0"/>
    <w:rsid w:val="00092166"/>
    <w:rsid w:val="00092C85"/>
    <w:rsid w:val="000A1B1B"/>
    <w:rsid w:val="000C12F2"/>
    <w:rsid w:val="000C76F4"/>
    <w:rsid w:val="000D37F3"/>
    <w:rsid w:val="00100AD5"/>
    <w:rsid w:val="00104808"/>
    <w:rsid w:val="001056BC"/>
    <w:rsid w:val="00106F89"/>
    <w:rsid w:val="00110549"/>
    <w:rsid w:val="00117A22"/>
    <w:rsid w:val="00120A4E"/>
    <w:rsid w:val="001351B3"/>
    <w:rsid w:val="00150440"/>
    <w:rsid w:val="0015202A"/>
    <w:rsid w:val="001817D7"/>
    <w:rsid w:val="001A0BAC"/>
    <w:rsid w:val="001A3CCC"/>
    <w:rsid w:val="001B1D37"/>
    <w:rsid w:val="001B303C"/>
    <w:rsid w:val="001B40A8"/>
    <w:rsid w:val="001D7FAA"/>
    <w:rsid w:val="0021136A"/>
    <w:rsid w:val="00244366"/>
    <w:rsid w:val="002444B5"/>
    <w:rsid w:val="00247572"/>
    <w:rsid w:val="00251951"/>
    <w:rsid w:val="002525C2"/>
    <w:rsid w:val="00266773"/>
    <w:rsid w:val="00281566"/>
    <w:rsid w:val="0029215C"/>
    <w:rsid w:val="002949F6"/>
    <w:rsid w:val="00297BCB"/>
    <w:rsid w:val="002A0738"/>
    <w:rsid w:val="002B67D8"/>
    <w:rsid w:val="002C0F16"/>
    <w:rsid w:val="002C3670"/>
    <w:rsid w:val="002C6ED2"/>
    <w:rsid w:val="002D1A81"/>
    <w:rsid w:val="002E4E97"/>
    <w:rsid w:val="002F58BE"/>
    <w:rsid w:val="00300D1B"/>
    <w:rsid w:val="00320C36"/>
    <w:rsid w:val="00325592"/>
    <w:rsid w:val="003610C9"/>
    <w:rsid w:val="00363981"/>
    <w:rsid w:val="003767E2"/>
    <w:rsid w:val="00385583"/>
    <w:rsid w:val="00390B99"/>
    <w:rsid w:val="0039111D"/>
    <w:rsid w:val="00393659"/>
    <w:rsid w:val="00394926"/>
    <w:rsid w:val="003A2A77"/>
    <w:rsid w:val="003B6103"/>
    <w:rsid w:val="003B6DE9"/>
    <w:rsid w:val="003D28B6"/>
    <w:rsid w:val="003E2204"/>
    <w:rsid w:val="003E51C0"/>
    <w:rsid w:val="00401FF7"/>
    <w:rsid w:val="00404DE1"/>
    <w:rsid w:val="0046096F"/>
    <w:rsid w:val="00464449"/>
    <w:rsid w:val="00476C23"/>
    <w:rsid w:val="004B7CA6"/>
    <w:rsid w:val="004E13C5"/>
    <w:rsid w:val="004F21CD"/>
    <w:rsid w:val="004F3493"/>
    <w:rsid w:val="004F5509"/>
    <w:rsid w:val="004F73BB"/>
    <w:rsid w:val="0050018F"/>
    <w:rsid w:val="00510D39"/>
    <w:rsid w:val="005178F2"/>
    <w:rsid w:val="00517DCD"/>
    <w:rsid w:val="00530BEC"/>
    <w:rsid w:val="00560154"/>
    <w:rsid w:val="00585920"/>
    <w:rsid w:val="005865FA"/>
    <w:rsid w:val="005C4E9D"/>
    <w:rsid w:val="005C5753"/>
    <w:rsid w:val="005D78CC"/>
    <w:rsid w:val="005D7B12"/>
    <w:rsid w:val="005E6AC0"/>
    <w:rsid w:val="00624C09"/>
    <w:rsid w:val="00627064"/>
    <w:rsid w:val="0063102A"/>
    <w:rsid w:val="00640D63"/>
    <w:rsid w:val="00641072"/>
    <w:rsid w:val="00653DA3"/>
    <w:rsid w:val="00665861"/>
    <w:rsid w:val="00686ECC"/>
    <w:rsid w:val="006A6B01"/>
    <w:rsid w:val="006B298A"/>
    <w:rsid w:val="006B51AA"/>
    <w:rsid w:val="006C53A1"/>
    <w:rsid w:val="006F39BF"/>
    <w:rsid w:val="007018CB"/>
    <w:rsid w:val="0071229F"/>
    <w:rsid w:val="00724317"/>
    <w:rsid w:val="00757742"/>
    <w:rsid w:val="007762B8"/>
    <w:rsid w:val="007A26B7"/>
    <w:rsid w:val="007A377C"/>
    <w:rsid w:val="007A632F"/>
    <w:rsid w:val="007C09F9"/>
    <w:rsid w:val="007C424F"/>
    <w:rsid w:val="007E1FC1"/>
    <w:rsid w:val="007E7DC7"/>
    <w:rsid w:val="007F4043"/>
    <w:rsid w:val="00803D1D"/>
    <w:rsid w:val="008076E0"/>
    <w:rsid w:val="00815C2F"/>
    <w:rsid w:val="00820862"/>
    <w:rsid w:val="008405D7"/>
    <w:rsid w:val="008466C6"/>
    <w:rsid w:val="0086380E"/>
    <w:rsid w:val="008721B5"/>
    <w:rsid w:val="008748EC"/>
    <w:rsid w:val="00893799"/>
    <w:rsid w:val="008B4BE8"/>
    <w:rsid w:val="008C6878"/>
    <w:rsid w:val="008D01C4"/>
    <w:rsid w:val="008D4B53"/>
    <w:rsid w:val="008F0B23"/>
    <w:rsid w:val="008F47D0"/>
    <w:rsid w:val="009055A5"/>
    <w:rsid w:val="00952CBA"/>
    <w:rsid w:val="0095315C"/>
    <w:rsid w:val="00972169"/>
    <w:rsid w:val="00976BAA"/>
    <w:rsid w:val="009929D2"/>
    <w:rsid w:val="009C6F84"/>
    <w:rsid w:val="00A06CB6"/>
    <w:rsid w:val="00A12295"/>
    <w:rsid w:val="00A22E47"/>
    <w:rsid w:val="00A42A23"/>
    <w:rsid w:val="00A47848"/>
    <w:rsid w:val="00A47F4B"/>
    <w:rsid w:val="00A562B2"/>
    <w:rsid w:val="00A6226E"/>
    <w:rsid w:val="00A86930"/>
    <w:rsid w:val="00AA5520"/>
    <w:rsid w:val="00AC33A3"/>
    <w:rsid w:val="00AD72CD"/>
    <w:rsid w:val="00AE0EC8"/>
    <w:rsid w:val="00B10E80"/>
    <w:rsid w:val="00B766F2"/>
    <w:rsid w:val="00B83C15"/>
    <w:rsid w:val="00BA0C3B"/>
    <w:rsid w:val="00BA36DA"/>
    <w:rsid w:val="00BC1DA4"/>
    <w:rsid w:val="00BD446B"/>
    <w:rsid w:val="00C13AB8"/>
    <w:rsid w:val="00C25528"/>
    <w:rsid w:val="00C3698E"/>
    <w:rsid w:val="00C5321D"/>
    <w:rsid w:val="00C707E0"/>
    <w:rsid w:val="00C75871"/>
    <w:rsid w:val="00C8481B"/>
    <w:rsid w:val="00C85124"/>
    <w:rsid w:val="00C87DFC"/>
    <w:rsid w:val="00C91027"/>
    <w:rsid w:val="00CC11A9"/>
    <w:rsid w:val="00CC6F27"/>
    <w:rsid w:val="00CD2468"/>
    <w:rsid w:val="00CD7089"/>
    <w:rsid w:val="00CF660D"/>
    <w:rsid w:val="00D3462D"/>
    <w:rsid w:val="00D52C39"/>
    <w:rsid w:val="00D575F9"/>
    <w:rsid w:val="00D57FDD"/>
    <w:rsid w:val="00D66317"/>
    <w:rsid w:val="00D72289"/>
    <w:rsid w:val="00D733D2"/>
    <w:rsid w:val="00D80E8F"/>
    <w:rsid w:val="00D920D0"/>
    <w:rsid w:val="00DB55D3"/>
    <w:rsid w:val="00DF5E91"/>
    <w:rsid w:val="00DF7ECE"/>
    <w:rsid w:val="00E31B06"/>
    <w:rsid w:val="00E33AFB"/>
    <w:rsid w:val="00E35F29"/>
    <w:rsid w:val="00E74D56"/>
    <w:rsid w:val="00E95B6D"/>
    <w:rsid w:val="00EA1B69"/>
    <w:rsid w:val="00EA43F7"/>
    <w:rsid w:val="00EB244A"/>
    <w:rsid w:val="00EC55D5"/>
    <w:rsid w:val="00ED1827"/>
    <w:rsid w:val="00ED3A3C"/>
    <w:rsid w:val="00EE5502"/>
    <w:rsid w:val="00EF4C48"/>
    <w:rsid w:val="00F0440D"/>
    <w:rsid w:val="00F04A51"/>
    <w:rsid w:val="00F069E7"/>
    <w:rsid w:val="00F1189E"/>
    <w:rsid w:val="00F40594"/>
    <w:rsid w:val="00F54944"/>
    <w:rsid w:val="00F67503"/>
    <w:rsid w:val="00F708BF"/>
    <w:rsid w:val="00F73D78"/>
    <w:rsid w:val="00FA04D0"/>
    <w:rsid w:val="00FA63A9"/>
    <w:rsid w:val="00FD1669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CD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F21CD"/>
    <w:rPr>
      <w:vertAlign w:val="superscript"/>
    </w:rPr>
  </w:style>
  <w:style w:type="paragraph" w:customStyle="1" w:styleId="Normal">
    <w:name w:val="[Normal]"/>
    <w:rsid w:val="003B61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264C0-AAB0-492F-8D5B-576918667D8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47D89-73AC-43D7-93F8-5BC6C3DE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2024-06-03T13:16:00Z</dcterms:created>
  <dcterms:modified xsi:type="dcterms:W3CDTF">2024-06-03T13:16:00Z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