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7777777" w:rsidR="005F5219" w:rsidRP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AC412FA" w14:textId="2736E82A" w:rsidR="00C364F2" w:rsidRPr="005F5219" w:rsidRDefault="00C364F2" w:rsidP="13B2DE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13B2DEBE">
        <w:rPr>
          <w:b/>
          <w:bCs/>
          <w:sz w:val="22"/>
          <w:szCs w:val="22"/>
        </w:rPr>
        <w:t>Žadatel prohlašuje, že jako účetní období používá</w:t>
      </w:r>
    </w:p>
    <w:p w14:paraId="3656B9AB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1B0B412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kalendářní rok.</w:t>
      </w:r>
    </w:p>
    <w:p w14:paraId="45FB0818" w14:textId="77777777" w:rsidR="00C72EA4" w:rsidRPr="005F5219" w:rsidRDefault="00C72EA4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02076C0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hospodářský rok (začátek ……………………., konec ……………………).</w:t>
      </w:r>
    </w:p>
    <w:p w14:paraId="049F31CB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3A999592" w14:textId="638F87E3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 xml:space="preserve">V případě, že během předchozích dvou účetních období došlo k přechodu z kalendářního roku na rok hospodářský anebo opačně, uveďte tuto skutečnost vypsáním účetních období, která byla použita </w:t>
      </w:r>
      <w:r w:rsidR="001C54C5">
        <w:rPr>
          <w:sz w:val="22"/>
          <w:szCs w:val="22"/>
        </w:rPr>
        <w:br/>
      </w:r>
      <w:r w:rsidRPr="005F5219">
        <w:rPr>
          <w:i/>
          <w:sz w:val="22"/>
          <w:szCs w:val="22"/>
        </w:rPr>
        <w:t>(např. 1.</w:t>
      </w:r>
      <w:r w:rsidR="0039043F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3.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 xml:space="preserve">; 1. 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12.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>)</w:t>
      </w:r>
      <w:r w:rsidRPr="005F5219">
        <w:rPr>
          <w:sz w:val="22"/>
          <w:szCs w:val="22"/>
        </w:rPr>
        <w:t>:</w:t>
      </w:r>
    </w:p>
    <w:p w14:paraId="7E0865ED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128261" w14:textId="77777777" w:rsidR="006253B0" w:rsidRDefault="006253B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2486C05" w14:textId="77777777" w:rsidR="00EA0920" w:rsidRPr="005F5219" w:rsidRDefault="00EA092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lastRenderedPageBreak/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F4775">
        <w:rPr>
          <w:bCs/>
          <w:sz w:val="22"/>
          <w:szCs w:val="22"/>
        </w:rPr>
      </w:r>
      <w:r w:rsidR="00DF4775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77777777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F1195F">
        <w:rPr>
          <w:sz w:val="18"/>
          <w:szCs w:val="18"/>
          <w:lang w:val="cs-CZ"/>
        </w:rPr>
        <w:t>717/2014</w:t>
      </w:r>
      <w:r w:rsidRPr="00F1195F">
        <w:rPr>
          <w:sz w:val="18"/>
          <w:szCs w:val="18"/>
        </w:rPr>
        <w:t>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minimis,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>nakládání s osobními údaji žadatele o podporu de minimis.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730679">
    <w:abstractNumId w:val="4"/>
  </w:num>
  <w:num w:numId="2" w16cid:durableId="749498423">
    <w:abstractNumId w:val="2"/>
  </w:num>
  <w:num w:numId="3" w16cid:durableId="1639995334">
    <w:abstractNumId w:val="6"/>
  </w:num>
  <w:num w:numId="4" w16cid:durableId="995181823">
    <w:abstractNumId w:val="0"/>
  </w:num>
  <w:num w:numId="5" w16cid:durableId="346369030">
    <w:abstractNumId w:val="5"/>
  </w:num>
  <w:num w:numId="6" w16cid:durableId="728189543">
    <w:abstractNumId w:val="1"/>
  </w:num>
  <w:num w:numId="7" w16cid:durableId="1864324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45B48-8A18-4404-BCE4-369BD27C3BEE}"/>
</file>

<file path=customXml/itemProps3.xml><?xml version="1.0" encoding="utf-8"?>
<ds:datastoreItem xmlns:ds="http://schemas.openxmlformats.org/officeDocument/2006/customXml" ds:itemID="{E72E41D8-77EA-42AF-8BED-3A00B9660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2A4EC-F03E-49D4-87E7-E6E37573E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Kolařík Karel</cp:lastModifiedBy>
  <cp:revision>2</cp:revision>
  <dcterms:created xsi:type="dcterms:W3CDTF">2023-09-05T06:33:00Z</dcterms:created>
  <dcterms:modified xsi:type="dcterms:W3CDTF">2023-09-05T06:33:00Z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