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theme/themeOverride3.xml" ContentType="application/vnd.openxmlformats-officedocument.themeOverride+xml"/>
  <Override PartName="/word/charts/chart35.xml" ContentType="application/vnd.openxmlformats-officedocument.drawingml.chart+xml"/>
  <Override PartName="/word/theme/themeOverride4.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5.xml" ContentType="application/vnd.openxmlformats-officedocument.themeOverride+xml"/>
  <Override PartName="/word/charts/chart39.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7.xml" ContentType="application/vnd.openxmlformats-officedocument.themeOverride+xml"/>
  <Override PartName="/word/charts/chart47.xml" ContentType="application/vnd.openxmlformats-officedocument.drawingml.chart+xml"/>
  <Override PartName="/word/theme/themeOverride8.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796" w:rsidRPr="00AE46CF" w:rsidRDefault="004D2796" w:rsidP="002C40B2">
      <w:pPr>
        <w:rPr>
          <w:b/>
          <w:color w:val="0070C0"/>
          <w:sz w:val="28"/>
          <w:szCs w:val="28"/>
        </w:rPr>
      </w:pPr>
      <w:bookmarkStart w:id="0" w:name="_Toc259895351"/>
      <w:bookmarkStart w:id="1" w:name="_Toc321405924"/>
    </w:p>
    <w:p w:rsidR="004D2796" w:rsidRPr="00AE46CF" w:rsidRDefault="004D2796" w:rsidP="002C40B2">
      <w:pPr>
        <w:rPr>
          <w:b/>
          <w:color w:val="0070C0"/>
          <w:sz w:val="28"/>
          <w:szCs w:val="28"/>
        </w:rPr>
      </w:pPr>
    </w:p>
    <w:p w:rsidR="004D2796" w:rsidRPr="00AE46CF" w:rsidRDefault="004D2796" w:rsidP="002C40B2">
      <w:pPr>
        <w:rPr>
          <w:b/>
          <w:color w:val="0070C0"/>
          <w:sz w:val="28"/>
          <w:szCs w:val="28"/>
        </w:rPr>
      </w:pPr>
    </w:p>
    <w:p w:rsidR="004D2796" w:rsidRPr="00AE46CF" w:rsidRDefault="004D2796" w:rsidP="002C40B2">
      <w:pPr>
        <w:rPr>
          <w:b/>
          <w:color w:val="0070C0"/>
          <w:sz w:val="28"/>
          <w:szCs w:val="28"/>
        </w:rPr>
      </w:pPr>
    </w:p>
    <w:p w:rsidR="004D2796" w:rsidRPr="00AE46CF" w:rsidRDefault="004D2796" w:rsidP="002C40B2">
      <w:pPr>
        <w:rPr>
          <w:b/>
          <w:color w:val="0070C0"/>
          <w:sz w:val="28"/>
          <w:szCs w:val="28"/>
        </w:rPr>
      </w:pPr>
    </w:p>
    <w:p w:rsidR="004D2796" w:rsidRPr="00AE46CF" w:rsidRDefault="004D2796" w:rsidP="002C40B2">
      <w:pPr>
        <w:jc w:val="center"/>
        <w:rPr>
          <w:b/>
          <w:color w:val="0070C0"/>
          <w:sz w:val="48"/>
          <w:szCs w:val="48"/>
        </w:rPr>
      </w:pPr>
      <w:r w:rsidRPr="00AE46CF">
        <w:rPr>
          <w:b/>
          <w:color w:val="0070C0"/>
          <w:sz w:val="48"/>
          <w:szCs w:val="48"/>
        </w:rPr>
        <w:t xml:space="preserve">ANALÝZA ROZVOJOVÝCH CHARAKTERISTIK </w:t>
      </w:r>
    </w:p>
    <w:p w:rsidR="004D2796" w:rsidRPr="00AE46CF" w:rsidRDefault="004D2796" w:rsidP="002C40B2">
      <w:pPr>
        <w:jc w:val="center"/>
        <w:rPr>
          <w:b/>
          <w:color w:val="0070C0"/>
          <w:sz w:val="48"/>
          <w:szCs w:val="48"/>
        </w:rPr>
      </w:pPr>
      <w:r w:rsidRPr="00AE46CF">
        <w:rPr>
          <w:b/>
          <w:color w:val="0070C0"/>
          <w:sz w:val="48"/>
          <w:szCs w:val="48"/>
        </w:rPr>
        <w:t>A POTENCIÁLU KARLOVARSKÉHO KRAJE</w:t>
      </w:r>
    </w:p>
    <w:p w:rsidR="004D2796" w:rsidRPr="00AE46CF" w:rsidRDefault="004D2796" w:rsidP="002C40B2">
      <w:pPr>
        <w:jc w:val="center"/>
        <w:rPr>
          <w:b/>
          <w:color w:val="0070C0"/>
          <w:sz w:val="48"/>
          <w:szCs w:val="48"/>
        </w:rPr>
      </w:pPr>
    </w:p>
    <w:p w:rsidR="004D2796" w:rsidRPr="00AE46CF" w:rsidRDefault="004D2796" w:rsidP="002C40B2">
      <w:pPr>
        <w:jc w:val="center"/>
        <w:rPr>
          <w:noProof/>
        </w:rPr>
      </w:pPr>
      <w:r w:rsidRPr="00141AA4">
        <w:rPr>
          <w:noProof/>
        </w:rPr>
        <w:drawing>
          <wp:inline distT="0" distB="0" distL="0" distR="0">
            <wp:extent cx="1666875" cy="12287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inline>
        </w:drawing>
      </w:r>
    </w:p>
    <w:p w:rsidR="004D2796" w:rsidRDefault="004D2796" w:rsidP="002C40B2">
      <w:pPr>
        <w:jc w:val="center"/>
        <w:rPr>
          <w:b/>
          <w:color w:val="0070C0"/>
          <w:sz w:val="32"/>
          <w:szCs w:val="32"/>
        </w:rPr>
      </w:pPr>
    </w:p>
    <w:p w:rsidR="004D2796" w:rsidRPr="00AE46CF" w:rsidRDefault="004D2796" w:rsidP="002C40B2">
      <w:pPr>
        <w:jc w:val="center"/>
        <w:rPr>
          <w:b/>
          <w:color w:val="0070C0"/>
          <w:sz w:val="32"/>
          <w:szCs w:val="32"/>
        </w:rPr>
      </w:pPr>
    </w:p>
    <w:p w:rsidR="004D2796" w:rsidRDefault="004D2796" w:rsidP="002C40B2">
      <w:pPr>
        <w:jc w:val="center"/>
      </w:pPr>
    </w:p>
    <w:p w:rsidR="005C74E6" w:rsidRDefault="005C74E6" w:rsidP="002C40B2">
      <w:pPr>
        <w:jc w:val="center"/>
      </w:pPr>
    </w:p>
    <w:p w:rsidR="005C74E6" w:rsidRDefault="005C74E6" w:rsidP="002C40B2">
      <w:pPr>
        <w:jc w:val="center"/>
      </w:pPr>
    </w:p>
    <w:p w:rsidR="00D05E50" w:rsidRDefault="00D05E50" w:rsidP="00D05E50">
      <w:bookmarkStart w:id="2" w:name="_Toc488233383"/>
    </w:p>
    <w:p w:rsidR="00D05E50" w:rsidRDefault="00D05E50" w:rsidP="00D05E50"/>
    <w:p w:rsidR="00D05E50" w:rsidRDefault="00D05E50" w:rsidP="00D05E50">
      <w:r>
        <w:t>Zpracova</w:t>
      </w:r>
      <w:r w:rsidRPr="00AE46CF">
        <w:t>l</w:t>
      </w:r>
      <w:r>
        <w:t>: Mepco, s.r.o.  ve spolupráci s odbory Krajského úřadu Karlovarského kraje</w:t>
      </w:r>
    </w:p>
    <w:p w:rsidR="00D05E50" w:rsidRDefault="00D05E50" w:rsidP="00D05E50">
      <w:r>
        <w:t xml:space="preserve">Platnost: aktualizace Programu rozvoje Karlovarského kraje 2014 - 2020 byla schválena </w:t>
      </w:r>
      <w:r w:rsidRPr="00343D21">
        <w:t>Zastupitelstvem Karlovarského kraje dne 13.9.2018 usnesením č. ZK 332/09/18</w:t>
      </w:r>
      <w:r>
        <w:t>.</w:t>
      </w:r>
    </w:p>
    <w:p w:rsidR="00D05E50" w:rsidRPr="0065186A" w:rsidRDefault="00D05E50" w:rsidP="00D05E50">
      <w:r w:rsidRPr="00CA037E">
        <w:t xml:space="preserve">Prodloužení platnosti Programu rozvoje Karlovarského kraje 2014 - 2020 (PRKK)  do roku 2021 bylo schváleno Radou Karlovarského kraje dne 5.8.2019 usnesením č. RK 950/08/19 a Zastupitelstvem Karlovarského kraje dne 23.9.2019 </w:t>
      </w:r>
      <w:r>
        <w:t>usnesením č. ZK 346/09/19.</w:t>
      </w:r>
      <w:r w:rsidRPr="00CA037E">
        <w:t> </w:t>
      </w:r>
      <w:bookmarkStart w:id="3" w:name="_GoBack"/>
      <w:bookmarkEnd w:id="3"/>
    </w:p>
    <w:p w:rsidR="001E1A7E" w:rsidRDefault="001E1A7E" w:rsidP="00094A5B">
      <w:pPr>
        <w:pStyle w:val="Nadpis1"/>
      </w:pPr>
      <w:r>
        <w:lastRenderedPageBreak/>
        <w:t>Obsah</w:t>
      </w:r>
      <w:bookmarkEnd w:id="2"/>
    </w:p>
    <w:p w:rsidR="001A2A22" w:rsidRDefault="008965FE">
      <w:pPr>
        <w:pStyle w:val="Obsah1"/>
        <w:tabs>
          <w:tab w:val="right" w:leader="dot" w:pos="9062"/>
        </w:tabs>
        <w:rPr>
          <w:rFonts w:asciiTheme="minorHAnsi" w:eastAsiaTheme="minorEastAsia" w:hAnsiTheme="minorHAnsi" w:cstheme="minorBidi"/>
          <w:noProof/>
          <w:color w:val="auto"/>
        </w:rPr>
      </w:pPr>
      <w:r w:rsidRPr="00DA3F4B">
        <w:rPr>
          <w:color w:val="auto"/>
          <w:lang w:eastAsia="en-US"/>
        </w:rPr>
        <w:fldChar w:fldCharType="begin"/>
      </w:r>
      <w:r w:rsidR="00C31229" w:rsidRPr="00DA3F4B">
        <w:rPr>
          <w:color w:val="auto"/>
          <w:lang w:eastAsia="en-US"/>
        </w:rPr>
        <w:instrText xml:space="preserve"> TOC \o "1-1" \h \z \u </w:instrText>
      </w:r>
      <w:r w:rsidRPr="00DA3F4B">
        <w:rPr>
          <w:color w:val="auto"/>
          <w:lang w:eastAsia="en-US"/>
        </w:rPr>
        <w:fldChar w:fldCharType="separate"/>
      </w:r>
      <w:hyperlink w:anchor="_Toc488233383" w:history="1">
        <w:r w:rsidR="001A2A22" w:rsidRPr="00E2400C">
          <w:rPr>
            <w:rStyle w:val="Hypertextovodkaz"/>
            <w:noProof/>
          </w:rPr>
          <w:t>Obsah</w:t>
        </w:r>
        <w:r w:rsidR="001A2A22">
          <w:rPr>
            <w:noProof/>
            <w:webHidden/>
          </w:rPr>
          <w:tab/>
        </w:r>
        <w:r>
          <w:rPr>
            <w:noProof/>
            <w:webHidden/>
          </w:rPr>
          <w:fldChar w:fldCharType="begin"/>
        </w:r>
        <w:r w:rsidR="001A2A22">
          <w:rPr>
            <w:noProof/>
            <w:webHidden/>
          </w:rPr>
          <w:instrText xml:space="preserve"> PAGEREF _Toc488233383 \h </w:instrText>
        </w:r>
        <w:r>
          <w:rPr>
            <w:noProof/>
            <w:webHidden/>
          </w:rPr>
        </w:r>
        <w:r>
          <w:rPr>
            <w:noProof/>
            <w:webHidden/>
          </w:rPr>
          <w:fldChar w:fldCharType="separate"/>
        </w:r>
        <w:r w:rsidR="00DA707D">
          <w:rPr>
            <w:noProof/>
            <w:webHidden/>
          </w:rPr>
          <w:t>1</w:t>
        </w:r>
        <w:r>
          <w:rPr>
            <w:noProof/>
            <w:webHidden/>
          </w:rPr>
          <w:fldChar w:fldCharType="end"/>
        </w:r>
      </w:hyperlink>
    </w:p>
    <w:p w:rsidR="001A2A22" w:rsidRDefault="00D05E50">
      <w:pPr>
        <w:pStyle w:val="Obsah1"/>
        <w:tabs>
          <w:tab w:val="right" w:leader="dot" w:pos="9062"/>
        </w:tabs>
        <w:rPr>
          <w:rFonts w:asciiTheme="minorHAnsi" w:eastAsiaTheme="minorEastAsia" w:hAnsiTheme="minorHAnsi" w:cstheme="minorBidi"/>
          <w:noProof/>
          <w:color w:val="auto"/>
        </w:rPr>
      </w:pPr>
      <w:hyperlink w:anchor="_Toc488233384" w:history="1">
        <w:r w:rsidR="001A2A22" w:rsidRPr="00E2400C">
          <w:rPr>
            <w:rStyle w:val="Hypertextovodkaz"/>
            <w:noProof/>
          </w:rPr>
          <w:t>Seznam tabulek, grafů, obrázků a příloh</w:t>
        </w:r>
        <w:r w:rsidR="001A2A22">
          <w:rPr>
            <w:noProof/>
            <w:webHidden/>
          </w:rPr>
          <w:tab/>
        </w:r>
        <w:r w:rsidR="008965FE">
          <w:rPr>
            <w:noProof/>
            <w:webHidden/>
          </w:rPr>
          <w:fldChar w:fldCharType="begin"/>
        </w:r>
        <w:r w:rsidR="001A2A22">
          <w:rPr>
            <w:noProof/>
            <w:webHidden/>
          </w:rPr>
          <w:instrText xml:space="preserve"> PAGEREF _Toc488233384 \h </w:instrText>
        </w:r>
        <w:r w:rsidR="008965FE">
          <w:rPr>
            <w:noProof/>
            <w:webHidden/>
          </w:rPr>
        </w:r>
        <w:r w:rsidR="008965FE">
          <w:rPr>
            <w:noProof/>
            <w:webHidden/>
          </w:rPr>
          <w:fldChar w:fldCharType="separate"/>
        </w:r>
        <w:r w:rsidR="00DA707D">
          <w:rPr>
            <w:noProof/>
            <w:webHidden/>
          </w:rPr>
          <w:t>2</w:t>
        </w:r>
        <w:r w:rsidR="008965FE">
          <w:rPr>
            <w:noProof/>
            <w:webHidden/>
          </w:rPr>
          <w:fldChar w:fldCharType="end"/>
        </w:r>
      </w:hyperlink>
    </w:p>
    <w:p w:rsidR="001A2A22" w:rsidRDefault="00D05E50">
      <w:pPr>
        <w:pStyle w:val="Obsah1"/>
        <w:tabs>
          <w:tab w:val="right" w:leader="dot" w:pos="9062"/>
        </w:tabs>
        <w:rPr>
          <w:rFonts w:asciiTheme="minorHAnsi" w:eastAsiaTheme="minorEastAsia" w:hAnsiTheme="minorHAnsi" w:cstheme="minorBidi"/>
          <w:noProof/>
          <w:color w:val="auto"/>
        </w:rPr>
      </w:pPr>
      <w:hyperlink w:anchor="_Toc488233385" w:history="1">
        <w:r w:rsidR="001A2A22" w:rsidRPr="00E2400C">
          <w:rPr>
            <w:rStyle w:val="Hypertextovodkaz"/>
            <w:noProof/>
          </w:rPr>
          <w:t>Seznam zkratek</w:t>
        </w:r>
        <w:r w:rsidR="001A2A22">
          <w:rPr>
            <w:noProof/>
            <w:webHidden/>
          </w:rPr>
          <w:tab/>
        </w:r>
        <w:r w:rsidR="008965FE">
          <w:rPr>
            <w:noProof/>
            <w:webHidden/>
          </w:rPr>
          <w:fldChar w:fldCharType="begin"/>
        </w:r>
        <w:r w:rsidR="001A2A22">
          <w:rPr>
            <w:noProof/>
            <w:webHidden/>
          </w:rPr>
          <w:instrText xml:space="preserve"> PAGEREF _Toc488233385 \h </w:instrText>
        </w:r>
        <w:r w:rsidR="008965FE">
          <w:rPr>
            <w:noProof/>
            <w:webHidden/>
          </w:rPr>
        </w:r>
        <w:r w:rsidR="008965FE">
          <w:rPr>
            <w:noProof/>
            <w:webHidden/>
          </w:rPr>
          <w:fldChar w:fldCharType="separate"/>
        </w:r>
        <w:r w:rsidR="00DA707D">
          <w:rPr>
            <w:noProof/>
            <w:webHidden/>
          </w:rPr>
          <w:t>10</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86" w:history="1">
        <w:r w:rsidR="001A2A22" w:rsidRPr="00E2400C">
          <w:rPr>
            <w:rStyle w:val="Hypertextovodkaz"/>
            <w:noProof/>
          </w:rPr>
          <w:t>1.</w:t>
        </w:r>
        <w:r w:rsidR="001A2A22">
          <w:rPr>
            <w:rFonts w:asciiTheme="minorHAnsi" w:eastAsiaTheme="minorEastAsia" w:hAnsiTheme="minorHAnsi" w:cstheme="minorBidi"/>
            <w:noProof/>
            <w:color w:val="auto"/>
          </w:rPr>
          <w:tab/>
        </w:r>
        <w:r w:rsidR="001A2A22" w:rsidRPr="00E2400C">
          <w:rPr>
            <w:rStyle w:val="Hypertextovodkaz"/>
            <w:noProof/>
          </w:rPr>
          <w:t>Úvod</w:t>
        </w:r>
        <w:r w:rsidR="001A2A22">
          <w:rPr>
            <w:noProof/>
            <w:webHidden/>
          </w:rPr>
          <w:tab/>
        </w:r>
        <w:r w:rsidR="008965FE">
          <w:rPr>
            <w:noProof/>
            <w:webHidden/>
          </w:rPr>
          <w:fldChar w:fldCharType="begin"/>
        </w:r>
        <w:r w:rsidR="001A2A22">
          <w:rPr>
            <w:noProof/>
            <w:webHidden/>
          </w:rPr>
          <w:instrText xml:space="preserve"> PAGEREF _Toc488233386 \h </w:instrText>
        </w:r>
        <w:r w:rsidR="008965FE">
          <w:rPr>
            <w:noProof/>
            <w:webHidden/>
          </w:rPr>
        </w:r>
        <w:r w:rsidR="008965FE">
          <w:rPr>
            <w:noProof/>
            <w:webHidden/>
          </w:rPr>
          <w:fldChar w:fldCharType="separate"/>
        </w:r>
        <w:r w:rsidR="00DA707D">
          <w:rPr>
            <w:noProof/>
            <w:webHidden/>
          </w:rPr>
          <w:t>13</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87" w:history="1">
        <w:r w:rsidR="001A2A22" w:rsidRPr="00E2400C">
          <w:rPr>
            <w:rStyle w:val="Hypertextovodkaz"/>
            <w:noProof/>
          </w:rPr>
          <w:t>2.</w:t>
        </w:r>
        <w:r w:rsidR="001A2A22">
          <w:rPr>
            <w:rFonts w:asciiTheme="minorHAnsi" w:eastAsiaTheme="minorEastAsia" w:hAnsiTheme="minorHAnsi" w:cstheme="minorBidi"/>
            <w:noProof/>
            <w:color w:val="auto"/>
          </w:rPr>
          <w:tab/>
        </w:r>
        <w:r w:rsidR="001A2A22" w:rsidRPr="00E2400C">
          <w:rPr>
            <w:rStyle w:val="Hypertextovodkaz"/>
            <w:noProof/>
          </w:rPr>
          <w:t>Metodika</w:t>
        </w:r>
        <w:r w:rsidR="001A2A22">
          <w:rPr>
            <w:noProof/>
            <w:webHidden/>
          </w:rPr>
          <w:tab/>
        </w:r>
        <w:r w:rsidR="008965FE">
          <w:rPr>
            <w:noProof/>
            <w:webHidden/>
          </w:rPr>
          <w:fldChar w:fldCharType="begin"/>
        </w:r>
        <w:r w:rsidR="001A2A22">
          <w:rPr>
            <w:noProof/>
            <w:webHidden/>
          </w:rPr>
          <w:instrText xml:space="preserve"> PAGEREF _Toc488233387 \h </w:instrText>
        </w:r>
        <w:r w:rsidR="008965FE">
          <w:rPr>
            <w:noProof/>
            <w:webHidden/>
          </w:rPr>
        </w:r>
        <w:r w:rsidR="008965FE">
          <w:rPr>
            <w:noProof/>
            <w:webHidden/>
          </w:rPr>
          <w:fldChar w:fldCharType="separate"/>
        </w:r>
        <w:r w:rsidR="00DA707D">
          <w:rPr>
            <w:noProof/>
            <w:webHidden/>
          </w:rPr>
          <w:t>14</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88" w:history="1">
        <w:r w:rsidR="001A2A22" w:rsidRPr="00E2400C">
          <w:rPr>
            <w:rStyle w:val="Hypertextovodkaz"/>
            <w:noProof/>
          </w:rPr>
          <w:t>3.</w:t>
        </w:r>
        <w:r w:rsidR="001A2A22">
          <w:rPr>
            <w:rFonts w:asciiTheme="minorHAnsi" w:eastAsiaTheme="minorEastAsia" w:hAnsiTheme="minorHAnsi" w:cstheme="minorBidi"/>
            <w:noProof/>
            <w:color w:val="auto"/>
          </w:rPr>
          <w:tab/>
        </w:r>
        <w:r w:rsidR="001A2A22" w:rsidRPr="00E2400C">
          <w:rPr>
            <w:rStyle w:val="Hypertextovodkaz"/>
            <w:noProof/>
          </w:rPr>
          <w:t>Makroekonomický vývoj</w:t>
        </w:r>
        <w:r w:rsidR="001A2A22">
          <w:rPr>
            <w:noProof/>
            <w:webHidden/>
          </w:rPr>
          <w:tab/>
        </w:r>
        <w:r w:rsidR="008965FE">
          <w:rPr>
            <w:noProof/>
            <w:webHidden/>
          </w:rPr>
          <w:fldChar w:fldCharType="begin"/>
        </w:r>
        <w:r w:rsidR="001A2A22">
          <w:rPr>
            <w:noProof/>
            <w:webHidden/>
          </w:rPr>
          <w:instrText xml:space="preserve"> PAGEREF _Toc488233388 \h </w:instrText>
        </w:r>
        <w:r w:rsidR="008965FE">
          <w:rPr>
            <w:noProof/>
            <w:webHidden/>
          </w:rPr>
        </w:r>
        <w:r w:rsidR="008965FE">
          <w:rPr>
            <w:noProof/>
            <w:webHidden/>
          </w:rPr>
          <w:fldChar w:fldCharType="separate"/>
        </w:r>
        <w:r w:rsidR="00DA707D">
          <w:rPr>
            <w:noProof/>
            <w:webHidden/>
          </w:rPr>
          <w:t>16</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89" w:history="1">
        <w:r w:rsidR="001A2A22" w:rsidRPr="00E2400C">
          <w:rPr>
            <w:rStyle w:val="Hypertextovodkaz"/>
            <w:noProof/>
          </w:rPr>
          <w:t>4.</w:t>
        </w:r>
        <w:r w:rsidR="001A2A22">
          <w:rPr>
            <w:rFonts w:asciiTheme="minorHAnsi" w:eastAsiaTheme="minorEastAsia" w:hAnsiTheme="minorHAnsi" w:cstheme="minorBidi"/>
            <w:noProof/>
            <w:color w:val="auto"/>
          </w:rPr>
          <w:tab/>
        </w:r>
        <w:r w:rsidR="001A2A22" w:rsidRPr="00E2400C">
          <w:rPr>
            <w:rStyle w:val="Hypertextovodkaz"/>
            <w:noProof/>
          </w:rPr>
          <w:t>Internacionalizace ekonomiky</w:t>
        </w:r>
        <w:r w:rsidR="001A2A22">
          <w:rPr>
            <w:noProof/>
            <w:webHidden/>
          </w:rPr>
          <w:tab/>
        </w:r>
        <w:r w:rsidR="008965FE">
          <w:rPr>
            <w:noProof/>
            <w:webHidden/>
          </w:rPr>
          <w:fldChar w:fldCharType="begin"/>
        </w:r>
        <w:r w:rsidR="001A2A22">
          <w:rPr>
            <w:noProof/>
            <w:webHidden/>
          </w:rPr>
          <w:instrText xml:space="preserve"> PAGEREF _Toc488233389 \h </w:instrText>
        </w:r>
        <w:r w:rsidR="008965FE">
          <w:rPr>
            <w:noProof/>
            <w:webHidden/>
          </w:rPr>
        </w:r>
        <w:r w:rsidR="008965FE">
          <w:rPr>
            <w:noProof/>
            <w:webHidden/>
          </w:rPr>
          <w:fldChar w:fldCharType="separate"/>
        </w:r>
        <w:r w:rsidR="00DA707D">
          <w:rPr>
            <w:noProof/>
            <w:webHidden/>
          </w:rPr>
          <w:t>26</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90" w:history="1">
        <w:r w:rsidR="001A2A22" w:rsidRPr="00E2400C">
          <w:rPr>
            <w:rStyle w:val="Hypertextovodkaz"/>
            <w:noProof/>
          </w:rPr>
          <w:t>5.</w:t>
        </w:r>
        <w:r w:rsidR="001A2A22">
          <w:rPr>
            <w:rFonts w:asciiTheme="minorHAnsi" w:eastAsiaTheme="minorEastAsia" w:hAnsiTheme="minorHAnsi" w:cstheme="minorBidi"/>
            <w:noProof/>
            <w:color w:val="auto"/>
          </w:rPr>
          <w:tab/>
        </w:r>
        <w:r w:rsidR="001A2A22" w:rsidRPr="00E2400C">
          <w:rPr>
            <w:rStyle w:val="Hypertextovodkaz"/>
            <w:noProof/>
          </w:rPr>
          <w:t>Odvětvová specializace kraje – strukturální charakteristiky hospodářství</w:t>
        </w:r>
        <w:r w:rsidR="001A2A22">
          <w:rPr>
            <w:noProof/>
            <w:webHidden/>
          </w:rPr>
          <w:tab/>
        </w:r>
        <w:r w:rsidR="008965FE">
          <w:rPr>
            <w:noProof/>
            <w:webHidden/>
          </w:rPr>
          <w:fldChar w:fldCharType="begin"/>
        </w:r>
        <w:r w:rsidR="001A2A22">
          <w:rPr>
            <w:noProof/>
            <w:webHidden/>
          </w:rPr>
          <w:instrText xml:space="preserve"> PAGEREF _Toc488233390 \h </w:instrText>
        </w:r>
        <w:r w:rsidR="008965FE">
          <w:rPr>
            <w:noProof/>
            <w:webHidden/>
          </w:rPr>
        </w:r>
        <w:r w:rsidR="008965FE">
          <w:rPr>
            <w:noProof/>
            <w:webHidden/>
          </w:rPr>
          <w:fldChar w:fldCharType="separate"/>
        </w:r>
        <w:r w:rsidR="00DA707D">
          <w:rPr>
            <w:noProof/>
            <w:webHidden/>
          </w:rPr>
          <w:t>38</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91" w:history="1">
        <w:r w:rsidR="001A2A22" w:rsidRPr="00E2400C">
          <w:rPr>
            <w:rStyle w:val="Hypertextovodkaz"/>
            <w:noProof/>
          </w:rPr>
          <w:t>6.</w:t>
        </w:r>
        <w:r w:rsidR="001A2A22">
          <w:rPr>
            <w:rFonts w:asciiTheme="minorHAnsi" w:eastAsiaTheme="minorEastAsia" w:hAnsiTheme="minorHAnsi" w:cstheme="minorBidi"/>
            <w:noProof/>
            <w:color w:val="auto"/>
          </w:rPr>
          <w:tab/>
        </w:r>
        <w:r w:rsidR="001A2A22" w:rsidRPr="00E2400C">
          <w:rPr>
            <w:rStyle w:val="Hypertextovodkaz"/>
            <w:noProof/>
          </w:rPr>
          <w:t>Znalostní ekonomika a inovační systém</w:t>
        </w:r>
        <w:r w:rsidR="001A2A22">
          <w:rPr>
            <w:noProof/>
            <w:webHidden/>
          </w:rPr>
          <w:tab/>
        </w:r>
        <w:r w:rsidR="008965FE">
          <w:rPr>
            <w:noProof/>
            <w:webHidden/>
          </w:rPr>
          <w:fldChar w:fldCharType="begin"/>
        </w:r>
        <w:r w:rsidR="001A2A22">
          <w:rPr>
            <w:noProof/>
            <w:webHidden/>
          </w:rPr>
          <w:instrText xml:space="preserve"> PAGEREF _Toc488233391 \h </w:instrText>
        </w:r>
        <w:r w:rsidR="008965FE">
          <w:rPr>
            <w:noProof/>
            <w:webHidden/>
          </w:rPr>
        </w:r>
        <w:r w:rsidR="008965FE">
          <w:rPr>
            <w:noProof/>
            <w:webHidden/>
          </w:rPr>
          <w:fldChar w:fldCharType="separate"/>
        </w:r>
        <w:r w:rsidR="00DA707D">
          <w:rPr>
            <w:noProof/>
            <w:webHidden/>
          </w:rPr>
          <w:t>49</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92" w:history="1">
        <w:r w:rsidR="001A2A22" w:rsidRPr="00E2400C">
          <w:rPr>
            <w:rStyle w:val="Hypertextovodkaz"/>
            <w:noProof/>
          </w:rPr>
          <w:t>7.</w:t>
        </w:r>
        <w:r w:rsidR="001A2A22">
          <w:rPr>
            <w:rFonts w:asciiTheme="minorHAnsi" w:eastAsiaTheme="minorEastAsia" w:hAnsiTheme="minorHAnsi" w:cstheme="minorBidi"/>
            <w:noProof/>
            <w:color w:val="auto"/>
          </w:rPr>
          <w:tab/>
        </w:r>
        <w:r w:rsidR="001A2A22" w:rsidRPr="00E2400C">
          <w:rPr>
            <w:rStyle w:val="Hypertextovodkaz"/>
            <w:noProof/>
          </w:rPr>
          <w:t>Informační a komunikační technologie</w:t>
        </w:r>
        <w:r w:rsidR="001A2A22">
          <w:rPr>
            <w:noProof/>
            <w:webHidden/>
          </w:rPr>
          <w:tab/>
        </w:r>
        <w:r w:rsidR="008965FE">
          <w:rPr>
            <w:noProof/>
            <w:webHidden/>
          </w:rPr>
          <w:fldChar w:fldCharType="begin"/>
        </w:r>
        <w:r w:rsidR="001A2A22">
          <w:rPr>
            <w:noProof/>
            <w:webHidden/>
          </w:rPr>
          <w:instrText xml:space="preserve"> PAGEREF _Toc488233392 \h </w:instrText>
        </w:r>
        <w:r w:rsidR="008965FE">
          <w:rPr>
            <w:noProof/>
            <w:webHidden/>
          </w:rPr>
        </w:r>
        <w:r w:rsidR="008965FE">
          <w:rPr>
            <w:noProof/>
            <w:webHidden/>
          </w:rPr>
          <w:fldChar w:fldCharType="separate"/>
        </w:r>
        <w:r w:rsidR="00DA707D">
          <w:rPr>
            <w:noProof/>
            <w:webHidden/>
          </w:rPr>
          <w:t>63</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93" w:history="1">
        <w:r w:rsidR="001A2A22" w:rsidRPr="00E2400C">
          <w:rPr>
            <w:rStyle w:val="Hypertextovodkaz"/>
            <w:noProof/>
          </w:rPr>
          <w:t>8.</w:t>
        </w:r>
        <w:r w:rsidR="001A2A22">
          <w:rPr>
            <w:rFonts w:asciiTheme="minorHAnsi" w:eastAsiaTheme="minorEastAsia" w:hAnsiTheme="minorHAnsi" w:cstheme="minorBidi"/>
            <w:noProof/>
            <w:color w:val="auto"/>
          </w:rPr>
          <w:tab/>
        </w:r>
        <w:r w:rsidR="001A2A22" w:rsidRPr="00E2400C">
          <w:rPr>
            <w:rStyle w:val="Hypertextovodkaz"/>
            <w:noProof/>
          </w:rPr>
          <w:t>Cestovní ruch</w:t>
        </w:r>
        <w:r w:rsidR="001A2A22">
          <w:rPr>
            <w:noProof/>
            <w:webHidden/>
          </w:rPr>
          <w:tab/>
        </w:r>
        <w:r w:rsidR="008965FE">
          <w:rPr>
            <w:noProof/>
            <w:webHidden/>
          </w:rPr>
          <w:fldChar w:fldCharType="begin"/>
        </w:r>
        <w:r w:rsidR="001A2A22">
          <w:rPr>
            <w:noProof/>
            <w:webHidden/>
          </w:rPr>
          <w:instrText xml:space="preserve"> PAGEREF _Toc488233393 \h </w:instrText>
        </w:r>
        <w:r w:rsidR="008965FE">
          <w:rPr>
            <w:noProof/>
            <w:webHidden/>
          </w:rPr>
        </w:r>
        <w:r w:rsidR="008965FE">
          <w:rPr>
            <w:noProof/>
            <w:webHidden/>
          </w:rPr>
          <w:fldChar w:fldCharType="separate"/>
        </w:r>
        <w:r w:rsidR="00DA707D">
          <w:rPr>
            <w:noProof/>
            <w:webHidden/>
          </w:rPr>
          <w:t>72</w:t>
        </w:r>
        <w:r w:rsidR="008965FE">
          <w:rPr>
            <w:noProof/>
            <w:webHidden/>
          </w:rPr>
          <w:fldChar w:fldCharType="end"/>
        </w:r>
      </w:hyperlink>
    </w:p>
    <w:p w:rsidR="001A2A22" w:rsidRDefault="00D05E50">
      <w:pPr>
        <w:pStyle w:val="Obsah1"/>
        <w:tabs>
          <w:tab w:val="left" w:pos="440"/>
          <w:tab w:val="right" w:leader="dot" w:pos="9062"/>
        </w:tabs>
        <w:rPr>
          <w:rFonts w:asciiTheme="minorHAnsi" w:eastAsiaTheme="minorEastAsia" w:hAnsiTheme="minorHAnsi" w:cstheme="minorBidi"/>
          <w:noProof/>
          <w:color w:val="auto"/>
        </w:rPr>
      </w:pPr>
      <w:hyperlink w:anchor="_Toc488233394" w:history="1">
        <w:r w:rsidR="001A2A22" w:rsidRPr="00E2400C">
          <w:rPr>
            <w:rStyle w:val="Hypertextovodkaz"/>
            <w:noProof/>
          </w:rPr>
          <w:t>9.</w:t>
        </w:r>
        <w:r w:rsidR="001A2A22">
          <w:rPr>
            <w:rFonts w:asciiTheme="minorHAnsi" w:eastAsiaTheme="minorEastAsia" w:hAnsiTheme="minorHAnsi" w:cstheme="minorBidi"/>
            <w:noProof/>
            <w:color w:val="auto"/>
          </w:rPr>
          <w:tab/>
        </w:r>
        <w:r w:rsidR="001A2A22" w:rsidRPr="00E2400C">
          <w:rPr>
            <w:rStyle w:val="Hypertextovodkaz"/>
            <w:noProof/>
          </w:rPr>
          <w:t>Trh práce</w:t>
        </w:r>
        <w:r w:rsidR="001A2A22">
          <w:rPr>
            <w:noProof/>
            <w:webHidden/>
          </w:rPr>
          <w:tab/>
        </w:r>
        <w:r w:rsidR="008965FE">
          <w:rPr>
            <w:noProof/>
            <w:webHidden/>
          </w:rPr>
          <w:fldChar w:fldCharType="begin"/>
        </w:r>
        <w:r w:rsidR="001A2A22">
          <w:rPr>
            <w:noProof/>
            <w:webHidden/>
          </w:rPr>
          <w:instrText xml:space="preserve"> PAGEREF _Toc488233394 \h </w:instrText>
        </w:r>
        <w:r w:rsidR="008965FE">
          <w:rPr>
            <w:noProof/>
            <w:webHidden/>
          </w:rPr>
        </w:r>
        <w:r w:rsidR="008965FE">
          <w:rPr>
            <w:noProof/>
            <w:webHidden/>
          </w:rPr>
          <w:fldChar w:fldCharType="separate"/>
        </w:r>
        <w:r w:rsidR="00DA707D">
          <w:rPr>
            <w:noProof/>
            <w:webHidden/>
          </w:rPr>
          <w:t>94</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395" w:history="1">
        <w:r w:rsidR="001A2A22" w:rsidRPr="00E2400C">
          <w:rPr>
            <w:rStyle w:val="Hypertextovodkaz"/>
            <w:noProof/>
          </w:rPr>
          <w:t>10.</w:t>
        </w:r>
        <w:r w:rsidR="001A2A22">
          <w:rPr>
            <w:rFonts w:asciiTheme="minorHAnsi" w:eastAsiaTheme="minorEastAsia" w:hAnsiTheme="minorHAnsi" w:cstheme="minorBidi"/>
            <w:noProof/>
            <w:color w:val="auto"/>
          </w:rPr>
          <w:tab/>
        </w:r>
        <w:r w:rsidR="001A2A22" w:rsidRPr="00E2400C">
          <w:rPr>
            <w:rStyle w:val="Hypertextovodkaz"/>
            <w:noProof/>
          </w:rPr>
          <w:t>Demografický vývoj a věková struktura populace</w:t>
        </w:r>
        <w:r w:rsidR="001A2A22">
          <w:rPr>
            <w:noProof/>
            <w:webHidden/>
          </w:rPr>
          <w:tab/>
        </w:r>
        <w:r w:rsidR="008965FE">
          <w:rPr>
            <w:noProof/>
            <w:webHidden/>
          </w:rPr>
          <w:fldChar w:fldCharType="begin"/>
        </w:r>
        <w:r w:rsidR="001A2A22">
          <w:rPr>
            <w:noProof/>
            <w:webHidden/>
          </w:rPr>
          <w:instrText xml:space="preserve"> PAGEREF _Toc488233395 \h </w:instrText>
        </w:r>
        <w:r w:rsidR="008965FE">
          <w:rPr>
            <w:noProof/>
            <w:webHidden/>
          </w:rPr>
        </w:r>
        <w:r w:rsidR="008965FE">
          <w:rPr>
            <w:noProof/>
            <w:webHidden/>
          </w:rPr>
          <w:fldChar w:fldCharType="separate"/>
        </w:r>
        <w:r w:rsidR="00DA707D">
          <w:rPr>
            <w:noProof/>
            <w:webHidden/>
          </w:rPr>
          <w:t>107</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396" w:history="1">
        <w:r w:rsidR="001A2A22" w:rsidRPr="00E2400C">
          <w:rPr>
            <w:rStyle w:val="Hypertextovodkaz"/>
            <w:noProof/>
          </w:rPr>
          <w:t>11.</w:t>
        </w:r>
        <w:r w:rsidR="001A2A22">
          <w:rPr>
            <w:rFonts w:asciiTheme="minorHAnsi" w:eastAsiaTheme="minorEastAsia" w:hAnsiTheme="minorHAnsi" w:cstheme="minorBidi"/>
            <w:noProof/>
            <w:color w:val="auto"/>
          </w:rPr>
          <w:tab/>
        </w:r>
        <w:r w:rsidR="001A2A22" w:rsidRPr="00E2400C">
          <w:rPr>
            <w:rStyle w:val="Hypertextovodkaz"/>
            <w:noProof/>
          </w:rPr>
          <w:t>Školství a vzdělanost</w:t>
        </w:r>
        <w:r w:rsidR="001A2A22">
          <w:rPr>
            <w:noProof/>
            <w:webHidden/>
          </w:rPr>
          <w:tab/>
        </w:r>
        <w:r w:rsidR="008965FE">
          <w:rPr>
            <w:noProof/>
            <w:webHidden/>
          </w:rPr>
          <w:fldChar w:fldCharType="begin"/>
        </w:r>
        <w:r w:rsidR="001A2A22">
          <w:rPr>
            <w:noProof/>
            <w:webHidden/>
          </w:rPr>
          <w:instrText xml:space="preserve"> PAGEREF _Toc488233396 \h </w:instrText>
        </w:r>
        <w:r w:rsidR="008965FE">
          <w:rPr>
            <w:noProof/>
            <w:webHidden/>
          </w:rPr>
        </w:r>
        <w:r w:rsidR="008965FE">
          <w:rPr>
            <w:noProof/>
            <w:webHidden/>
          </w:rPr>
          <w:fldChar w:fldCharType="separate"/>
        </w:r>
        <w:r w:rsidR="00DA707D">
          <w:rPr>
            <w:noProof/>
            <w:webHidden/>
          </w:rPr>
          <w:t>115</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397" w:history="1">
        <w:r w:rsidR="001A2A22" w:rsidRPr="00E2400C">
          <w:rPr>
            <w:rStyle w:val="Hypertextovodkaz"/>
            <w:noProof/>
          </w:rPr>
          <w:t>12.</w:t>
        </w:r>
        <w:r w:rsidR="001A2A22">
          <w:rPr>
            <w:rFonts w:asciiTheme="minorHAnsi" w:eastAsiaTheme="minorEastAsia" w:hAnsiTheme="minorHAnsi" w:cstheme="minorBidi"/>
            <w:noProof/>
            <w:color w:val="auto"/>
          </w:rPr>
          <w:tab/>
        </w:r>
        <w:r w:rsidR="001A2A22" w:rsidRPr="00E2400C">
          <w:rPr>
            <w:rStyle w:val="Hypertextovodkaz"/>
            <w:noProof/>
          </w:rPr>
          <w:t>Sociální služby</w:t>
        </w:r>
        <w:r w:rsidR="001A2A22">
          <w:rPr>
            <w:noProof/>
            <w:webHidden/>
          </w:rPr>
          <w:tab/>
        </w:r>
        <w:r w:rsidR="008965FE">
          <w:rPr>
            <w:noProof/>
            <w:webHidden/>
          </w:rPr>
          <w:fldChar w:fldCharType="begin"/>
        </w:r>
        <w:r w:rsidR="001A2A22">
          <w:rPr>
            <w:noProof/>
            <w:webHidden/>
          </w:rPr>
          <w:instrText xml:space="preserve"> PAGEREF _Toc488233397 \h </w:instrText>
        </w:r>
        <w:r w:rsidR="008965FE">
          <w:rPr>
            <w:noProof/>
            <w:webHidden/>
          </w:rPr>
        </w:r>
        <w:r w:rsidR="008965FE">
          <w:rPr>
            <w:noProof/>
            <w:webHidden/>
          </w:rPr>
          <w:fldChar w:fldCharType="separate"/>
        </w:r>
        <w:r w:rsidR="00DA707D">
          <w:rPr>
            <w:noProof/>
            <w:webHidden/>
          </w:rPr>
          <w:t>130</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398" w:history="1">
        <w:r w:rsidR="001A2A22" w:rsidRPr="00E2400C">
          <w:rPr>
            <w:rStyle w:val="Hypertextovodkaz"/>
            <w:noProof/>
          </w:rPr>
          <w:t>13.</w:t>
        </w:r>
        <w:r w:rsidR="001A2A22">
          <w:rPr>
            <w:rFonts w:asciiTheme="minorHAnsi" w:eastAsiaTheme="minorEastAsia" w:hAnsiTheme="minorHAnsi" w:cstheme="minorBidi"/>
            <w:noProof/>
            <w:color w:val="auto"/>
          </w:rPr>
          <w:tab/>
        </w:r>
        <w:r w:rsidR="001A2A22" w:rsidRPr="00E2400C">
          <w:rPr>
            <w:rStyle w:val="Hypertextovodkaz"/>
            <w:noProof/>
          </w:rPr>
          <w:t>Zdravotnictví</w:t>
        </w:r>
        <w:r w:rsidR="001A2A22">
          <w:rPr>
            <w:noProof/>
            <w:webHidden/>
          </w:rPr>
          <w:tab/>
        </w:r>
        <w:r w:rsidR="008965FE">
          <w:rPr>
            <w:noProof/>
            <w:webHidden/>
          </w:rPr>
          <w:fldChar w:fldCharType="begin"/>
        </w:r>
        <w:r w:rsidR="001A2A22">
          <w:rPr>
            <w:noProof/>
            <w:webHidden/>
          </w:rPr>
          <w:instrText xml:space="preserve"> PAGEREF _Toc488233398 \h </w:instrText>
        </w:r>
        <w:r w:rsidR="008965FE">
          <w:rPr>
            <w:noProof/>
            <w:webHidden/>
          </w:rPr>
        </w:r>
        <w:r w:rsidR="008965FE">
          <w:rPr>
            <w:noProof/>
            <w:webHidden/>
          </w:rPr>
          <w:fldChar w:fldCharType="separate"/>
        </w:r>
        <w:r w:rsidR="00DA707D">
          <w:rPr>
            <w:noProof/>
            <w:webHidden/>
          </w:rPr>
          <w:t>144</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399" w:history="1">
        <w:r w:rsidR="001A2A22" w:rsidRPr="00E2400C">
          <w:rPr>
            <w:rStyle w:val="Hypertextovodkaz"/>
            <w:noProof/>
          </w:rPr>
          <w:t>14.</w:t>
        </w:r>
        <w:r w:rsidR="001A2A22">
          <w:rPr>
            <w:rFonts w:asciiTheme="minorHAnsi" w:eastAsiaTheme="minorEastAsia" w:hAnsiTheme="minorHAnsi" w:cstheme="minorBidi"/>
            <w:noProof/>
            <w:color w:val="auto"/>
          </w:rPr>
          <w:tab/>
        </w:r>
        <w:r w:rsidR="001A2A22" w:rsidRPr="00E2400C">
          <w:rPr>
            <w:rStyle w:val="Hypertextovodkaz"/>
            <w:noProof/>
          </w:rPr>
          <w:t>Pozemní dopravní infrastruktura</w:t>
        </w:r>
        <w:r w:rsidR="001A2A22">
          <w:rPr>
            <w:noProof/>
            <w:webHidden/>
          </w:rPr>
          <w:tab/>
        </w:r>
        <w:r w:rsidR="008965FE">
          <w:rPr>
            <w:noProof/>
            <w:webHidden/>
          </w:rPr>
          <w:fldChar w:fldCharType="begin"/>
        </w:r>
        <w:r w:rsidR="001A2A22">
          <w:rPr>
            <w:noProof/>
            <w:webHidden/>
          </w:rPr>
          <w:instrText xml:space="preserve"> PAGEREF _Toc488233399 \h </w:instrText>
        </w:r>
        <w:r w:rsidR="008965FE">
          <w:rPr>
            <w:noProof/>
            <w:webHidden/>
          </w:rPr>
        </w:r>
        <w:r w:rsidR="008965FE">
          <w:rPr>
            <w:noProof/>
            <w:webHidden/>
          </w:rPr>
          <w:fldChar w:fldCharType="separate"/>
        </w:r>
        <w:r w:rsidR="00DA707D">
          <w:rPr>
            <w:noProof/>
            <w:webHidden/>
          </w:rPr>
          <w:t>154</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0" w:history="1">
        <w:r w:rsidR="001A2A22" w:rsidRPr="00E2400C">
          <w:rPr>
            <w:rStyle w:val="Hypertextovodkaz"/>
            <w:noProof/>
          </w:rPr>
          <w:t>15.</w:t>
        </w:r>
        <w:r w:rsidR="001A2A22">
          <w:rPr>
            <w:rFonts w:asciiTheme="minorHAnsi" w:eastAsiaTheme="minorEastAsia" w:hAnsiTheme="minorHAnsi" w:cstheme="minorBidi"/>
            <w:noProof/>
            <w:color w:val="auto"/>
          </w:rPr>
          <w:tab/>
        </w:r>
        <w:r w:rsidR="001A2A22" w:rsidRPr="00E2400C">
          <w:rPr>
            <w:rStyle w:val="Hypertextovodkaz"/>
            <w:noProof/>
          </w:rPr>
          <w:t>Rozvojový potenciál letiště v Karlových Varech</w:t>
        </w:r>
        <w:r w:rsidR="001A2A22">
          <w:rPr>
            <w:noProof/>
            <w:webHidden/>
          </w:rPr>
          <w:tab/>
        </w:r>
        <w:r w:rsidR="008965FE">
          <w:rPr>
            <w:noProof/>
            <w:webHidden/>
          </w:rPr>
          <w:fldChar w:fldCharType="begin"/>
        </w:r>
        <w:r w:rsidR="001A2A22">
          <w:rPr>
            <w:noProof/>
            <w:webHidden/>
          </w:rPr>
          <w:instrText xml:space="preserve"> PAGEREF _Toc488233400 \h </w:instrText>
        </w:r>
        <w:r w:rsidR="008965FE">
          <w:rPr>
            <w:noProof/>
            <w:webHidden/>
          </w:rPr>
        </w:r>
        <w:r w:rsidR="008965FE">
          <w:rPr>
            <w:noProof/>
            <w:webHidden/>
          </w:rPr>
          <w:fldChar w:fldCharType="separate"/>
        </w:r>
        <w:r w:rsidR="00DA707D">
          <w:rPr>
            <w:noProof/>
            <w:webHidden/>
          </w:rPr>
          <w:t>160</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1" w:history="1">
        <w:r w:rsidR="001A2A22" w:rsidRPr="00E2400C">
          <w:rPr>
            <w:rStyle w:val="Hypertextovodkaz"/>
            <w:noProof/>
          </w:rPr>
          <w:t>16.</w:t>
        </w:r>
        <w:r w:rsidR="001A2A22">
          <w:rPr>
            <w:rFonts w:asciiTheme="minorHAnsi" w:eastAsiaTheme="minorEastAsia" w:hAnsiTheme="minorHAnsi" w:cstheme="minorBidi"/>
            <w:noProof/>
            <w:color w:val="auto"/>
          </w:rPr>
          <w:tab/>
        </w:r>
        <w:r w:rsidR="001A2A22" w:rsidRPr="00E2400C">
          <w:rPr>
            <w:rStyle w:val="Hypertextovodkaz"/>
            <w:noProof/>
          </w:rPr>
          <w:t>Kvalita životního prostředí</w:t>
        </w:r>
        <w:r w:rsidR="001A2A22">
          <w:rPr>
            <w:noProof/>
            <w:webHidden/>
          </w:rPr>
          <w:tab/>
        </w:r>
        <w:r w:rsidR="008965FE">
          <w:rPr>
            <w:noProof/>
            <w:webHidden/>
          </w:rPr>
          <w:fldChar w:fldCharType="begin"/>
        </w:r>
        <w:r w:rsidR="001A2A22">
          <w:rPr>
            <w:noProof/>
            <w:webHidden/>
          </w:rPr>
          <w:instrText xml:space="preserve"> PAGEREF _Toc488233401 \h </w:instrText>
        </w:r>
        <w:r w:rsidR="008965FE">
          <w:rPr>
            <w:noProof/>
            <w:webHidden/>
          </w:rPr>
        </w:r>
        <w:r w:rsidR="008965FE">
          <w:rPr>
            <w:noProof/>
            <w:webHidden/>
          </w:rPr>
          <w:fldChar w:fldCharType="separate"/>
        </w:r>
        <w:r w:rsidR="00DA707D">
          <w:rPr>
            <w:noProof/>
            <w:webHidden/>
          </w:rPr>
          <w:t>171</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2" w:history="1">
        <w:r w:rsidR="001A2A22" w:rsidRPr="00E2400C">
          <w:rPr>
            <w:rStyle w:val="Hypertextovodkaz"/>
            <w:noProof/>
          </w:rPr>
          <w:t>17.</w:t>
        </w:r>
        <w:r w:rsidR="001A2A22">
          <w:rPr>
            <w:rFonts w:asciiTheme="minorHAnsi" w:eastAsiaTheme="minorEastAsia" w:hAnsiTheme="minorHAnsi" w:cstheme="minorBidi"/>
            <w:noProof/>
            <w:color w:val="auto"/>
          </w:rPr>
          <w:tab/>
        </w:r>
        <w:r w:rsidR="001A2A22" w:rsidRPr="00E2400C">
          <w:rPr>
            <w:rStyle w:val="Hypertextovodkaz"/>
            <w:noProof/>
          </w:rPr>
          <w:t>Zemědělství, lesnictví a rybolov</w:t>
        </w:r>
        <w:r w:rsidR="001A2A22">
          <w:rPr>
            <w:noProof/>
            <w:webHidden/>
          </w:rPr>
          <w:tab/>
        </w:r>
        <w:r w:rsidR="008965FE">
          <w:rPr>
            <w:noProof/>
            <w:webHidden/>
          </w:rPr>
          <w:fldChar w:fldCharType="begin"/>
        </w:r>
        <w:r w:rsidR="001A2A22">
          <w:rPr>
            <w:noProof/>
            <w:webHidden/>
          </w:rPr>
          <w:instrText xml:space="preserve"> PAGEREF _Toc488233402 \h </w:instrText>
        </w:r>
        <w:r w:rsidR="008965FE">
          <w:rPr>
            <w:noProof/>
            <w:webHidden/>
          </w:rPr>
        </w:r>
        <w:r w:rsidR="008965FE">
          <w:rPr>
            <w:noProof/>
            <w:webHidden/>
          </w:rPr>
          <w:fldChar w:fldCharType="separate"/>
        </w:r>
        <w:r w:rsidR="00DA707D">
          <w:rPr>
            <w:noProof/>
            <w:webHidden/>
          </w:rPr>
          <w:t>187</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3" w:history="1">
        <w:r w:rsidR="001A2A22" w:rsidRPr="00E2400C">
          <w:rPr>
            <w:rStyle w:val="Hypertextovodkaz"/>
            <w:noProof/>
          </w:rPr>
          <w:t>18.</w:t>
        </w:r>
        <w:r w:rsidR="001A2A22">
          <w:rPr>
            <w:rFonts w:asciiTheme="minorHAnsi" w:eastAsiaTheme="minorEastAsia" w:hAnsiTheme="minorHAnsi" w:cstheme="minorBidi"/>
            <w:noProof/>
            <w:color w:val="auto"/>
          </w:rPr>
          <w:tab/>
        </w:r>
        <w:r w:rsidR="001A2A22" w:rsidRPr="00E2400C">
          <w:rPr>
            <w:rStyle w:val="Hypertextovodkaz"/>
            <w:noProof/>
          </w:rPr>
          <w:t>Územní rozdíly v Karlovarském kraji</w:t>
        </w:r>
        <w:r w:rsidR="001A2A22">
          <w:rPr>
            <w:noProof/>
            <w:webHidden/>
          </w:rPr>
          <w:tab/>
        </w:r>
        <w:r w:rsidR="008965FE">
          <w:rPr>
            <w:noProof/>
            <w:webHidden/>
          </w:rPr>
          <w:fldChar w:fldCharType="begin"/>
        </w:r>
        <w:r w:rsidR="001A2A22">
          <w:rPr>
            <w:noProof/>
            <w:webHidden/>
          </w:rPr>
          <w:instrText xml:space="preserve"> PAGEREF _Toc488233403 \h </w:instrText>
        </w:r>
        <w:r w:rsidR="008965FE">
          <w:rPr>
            <w:noProof/>
            <w:webHidden/>
          </w:rPr>
        </w:r>
        <w:r w:rsidR="008965FE">
          <w:rPr>
            <w:noProof/>
            <w:webHidden/>
          </w:rPr>
          <w:fldChar w:fldCharType="separate"/>
        </w:r>
        <w:r w:rsidR="00DA707D">
          <w:rPr>
            <w:noProof/>
            <w:webHidden/>
          </w:rPr>
          <w:t>194</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4" w:history="1">
        <w:r w:rsidR="001A2A22" w:rsidRPr="00E2400C">
          <w:rPr>
            <w:rStyle w:val="Hypertextovodkaz"/>
            <w:noProof/>
          </w:rPr>
          <w:t>19.</w:t>
        </w:r>
        <w:r w:rsidR="001A2A22">
          <w:rPr>
            <w:rFonts w:asciiTheme="minorHAnsi" w:eastAsiaTheme="minorEastAsia" w:hAnsiTheme="minorHAnsi" w:cstheme="minorBidi"/>
            <w:noProof/>
            <w:color w:val="auto"/>
          </w:rPr>
          <w:tab/>
        </w:r>
        <w:r w:rsidR="001A2A22" w:rsidRPr="00E2400C">
          <w:rPr>
            <w:rStyle w:val="Hypertextovodkaz"/>
            <w:noProof/>
          </w:rPr>
          <w:t>Technická a občanská vybavenost obcí v Karlovarském kraji</w:t>
        </w:r>
        <w:r w:rsidR="001A2A22">
          <w:rPr>
            <w:noProof/>
            <w:webHidden/>
          </w:rPr>
          <w:tab/>
        </w:r>
        <w:r w:rsidR="008965FE">
          <w:rPr>
            <w:noProof/>
            <w:webHidden/>
          </w:rPr>
          <w:fldChar w:fldCharType="begin"/>
        </w:r>
        <w:r w:rsidR="001A2A22">
          <w:rPr>
            <w:noProof/>
            <w:webHidden/>
          </w:rPr>
          <w:instrText xml:space="preserve"> PAGEREF _Toc488233404 \h </w:instrText>
        </w:r>
        <w:r w:rsidR="008965FE">
          <w:rPr>
            <w:noProof/>
            <w:webHidden/>
          </w:rPr>
        </w:r>
        <w:r w:rsidR="008965FE">
          <w:rPr>
            <w:noProof/>
            <w:webHidden/>
          </w:rPr>
          <w:fldChar w:fldCharType="separate"/>
        </w:r>
        <w:r w:rsidR="00DA707D">
          <w:rPr>
            <w:noProof/>
            <w:webHidden/>
          </w:rPr>
          <w:t>202</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5" w:history="1">
        <w:r w:rsidR="001A2A22" w:rsidRPr="00E2400C">
          <w:rPr>
            <w:rStyle w:val="Hypertextovodkaz"/>
            <w:noProof/>
          </w:rPr>
          <w:t>20.</w:t>
        </w:r>
        <w:r w:rsidR="001A2A22">
          <w:rPr>
            <w:rFonts w:asciiTheme="minorHAnsi" w:eastAsiaTheme="minorEastAsia" w:hAnsiTheme="minorHAnsi" w:cstheme="minorBidi"/>
            <w:noProof/>
            <w:color w:val="auto"/>
          </w:rPr>
          <w:tab/>
        </w:r>
        <w:r w:rsidR="001A2A22" w:rsidRPr="00E2400C">
          <w:rPr>
            <w:rStyle w:val="Hypertextovodkaz"/>
            <w:noProof/>
          </w:rPr>
          <w:t>Porovnání Karlovarského kraje s německými regiony</w:t>
        </w:r>
        <w:r w:rsidR="001A2A22">
          <w:rPr>
            <w:noProof/>
            <w:webHidden/>
          </w:rPr>
          <w:tab/>
        </w:r>
        <w:r w:rsidR="008965FE">
          <w:rPr>
            <w:noProof/>
            <w:webHidden/>
          </w:rPr>
          <w:fldChar w:fldCharType="begin"/>
        </w:r>
        <w:r w:rsidR="001A2A22">
          <w:rPr>
            <w:noProof/>
            <w:webHidden/>
          </w:rPr>
          <w:instrText xml:space="preserve"> PAGEREF _Toc488233405 \h </w:instrText>
        </w:r>
        <w:r w:rsidR="008965FE">
          <w:rPr>
            <w:noProof/>
            <w:webHidden/>
          </w:rPr>
        </w:r>
        <w:r w:rsidR="008965FE">
          <w:rPr>
            <w:noProof/>
            <w:webHidden/>
          </w:rPr>
          <w:fldChar w:fldCharType="separate"/>
        </w:r>
        <w:r w:rsidR="00DA707D">
          <w:rPr>
            <w:noProof/>
            <w:webHidden/>
          </w:rPr>
          <w:t>205</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6" w:history="1">
        <w:r w:rsidR="001A2A22" w:rsidRPr="00E2400C">
          <w:rPr>
            <w:rStyle w:val="Hypertextovodkaz"/>
            <w:noProof/>
          </w:rPr>
          <w:t>21.</w:t>
        </w:r>
        <w:r w:rsidR="001A2A22">
          <w:rPr>
            <w:rFonts w:asciiTheme="minorHAnsi" w:eastAsiaTheme="minorEastAsia" w:hAnsiTheme="minorHAnsi" w:cstheme="minorBidi"/>
            <w:noProof/>
            <w:color w:val="auto"/>
          </w:rPr>
          <w:tab/>
        </w:r>
        <w:r w:rsidR="001A2A22" w:rsidRPr="00E2400C">
          <w:rPr>
            <w:rStyle w:val="Hypertextovodkaz"/>
            <w:noProof/>
          </w:rPr>
          <w:t>Bezpečnostní infrastruktura</w:t>
        </w:r>
        <w:r w:rsidR="001A2A22">
          <w:rPr>
            <w:noProof/>
            <w:webHidden/>
          </w:rPr>
          <w:tab/>
        </w:r>
        <w:r w:rsidR="008965FE">
          <w:rPr>
            <w:noProof/>
            <w:webHidden/>
          </w:rPr>
          <w:fldChar w:fldCharType="begin"/>
        </w:r>
        <w:r w:rsidR="001A2A22">
          <w:rPr>
            <w:noProof/>
            <w:webHidden/>
          </w:rPr>
          <w:instrText xml:space="preserve"> PAGEREF _Toc488233406 \h </w:instrText>
        </w:r>
        <w:r w:rsidR="008965FE">
          <w:rPr>
            <w:noProof/>
            <w:webHidden/>
          </w:rPr>
        </w:r>
        <w:r w:rsidR="008965FE">
          <w:rPr>
            <w:noProof/>
            <w:webHidden/>
          </w:rPr>
          <w:fldChar w:fldCharType="separate"/>
        </w:r>
        <w:r w:rsidR="00DA707D">
          <w:rPr>
            <w:noProof/>
            <w:webHidden/>
          </w:rPr>
          <w:t>210</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7" w:history="1">
        <w:r w:rsidR="001A2A22" w:rsidRPr="00E2400C">
          <w:rPr>
            <w:rStyle w:val="Hypertextovodkaz"/>
            <w:noProof/>
          </w:rPr>
          <w:t>22.</w:t>
        </w:r>
        <w:r w:rsidR="001A2A22">
          <w:rPr>
            <w:rFonts w:asciiTheme="minorHAnsi" w:eastAsiaTheme="minorEastAsia" w:hAnsiTheme="minorHAnsi" w:cstheme="minorBidi"/>
            <w:noProof/>
            <w:color w:val="auto"/>
          </w:rPr>
          <w:tab/>
        </w:r>
        <w:r w:rsidR="001A2A22" w:rsidRPr="00E2400C">
          <w:rPr>
            <w:rStyle w:val="Hypertextovodkaz"/>
            <w:noProof/>
          </w:rPr>
          <w:t>SMART veřejná správa</w:t>
        </w:r>
        <w:r w:rsidR="001A2A22">
          <w:rPr>
            <w:noProof/>
            <w:webHidden/>
          </w:rPr>
          <w:tab/>
        </w:r>
        <w:r w:rsidR="008965FE">
          <w:rPr>
            <w:noProof/>
            <w:webHidden/>
          </w:rPr>
          <w:fldChar w:fldCharType="begin"/>
        </w:r>
        <w:r w:rsidR="001A2A22">
          <w:rPr>
            <w:noProof/>
            <w:webHidden/>
          </w:rPr>
          <w:instrText xml:space="preserve"> PAGEREF _Toc488233407 \h </w:instrText>
        </w:r>
        <w:r w:rsidR="008965FE">
          <w:rPr>
            <w:noProof/>
            <w:webHidden/>
          </w:rPr>
        </w:r>
        <w:r w:rsidR="008965FE">
          <w:rPr>
            <w:noProof/>
            <w:webHidden/>
          </w:rPr>
          <w:fldChar w:fldCharType="separate"/>
        </w:r>
        <w:r w:rsidR="00DA707D">
          <w:rPr>
            <w:noProof/>
            <w:webHidden/>
          </w:rPr>
          <w:t>216</w:t>
        </w:r>
        <w:r w:rsidR="008965FE">
          <w:rPr>
            <w:noProof/>
            <w:webHidden/>
          </w:rPr>
          <w:fldChar w:fldCharType="end"/>
        </w:r>
      </w:hyperlink>
    </w:p>
    <w:p w:rsidR="001A2A22" w:rsidRDefault="00D05E50">
      <w:pPr>
        <w:pStyle w:val="Obsah1"/>
        <w:tabs>
          <w:tab w:val="left" w:pos="660"/>
          <w:tab w:val="right" w:leader="dot" w:pos="9062"/>
        </w:tabs>
        <w:rPr>
          <w:rFonts w:asciiTheme="minorHAnsi" w:eastAsiaTheme="minorEastAsia" w:hAnsiTheme="minorHAnsi" w:cstheme="minorBidi"/>
          <w:noProof/>
          <w:color w:val="auto"/>
        </w:rPr>
      </w:pPr>
      <w:hyperlink w:anchor="_Toc488233408" w:history="1">
        <w:r w:rsidR="001A2A22" w:rsidRPr="00E2400C">
          <w:rPr>
            <w:rStyle w:val="Hypertextovodkaz"/>
            <w:noProof/>
          </w:rPr>
          <w:t>23.</w:t>
        </w:r>
        <w:r w:rsidR="001A2A22">
          <w:rPr>
            <w:rFonts w:asciiTheme="minorHAnsi" w:eastAsiaTheme="minorEastAsia" w:hAnsiTheme="minorHAnsi" w:cstheme="minorBidi"/>
            <w:noProof/>
            <w:color w:val="auto"/>
          </w:rPr>
          <w:tab/>
        </w:r>
        <w:r w:rsidR="001A2A22" w:rsidRPr="00E2400C">
          <w:rPr>
            <w:rStyle w:val="Hypertextovodkaz"/>
            <w:noProof/>
          </w:rPr>
          <w:t>Přílohy</w:t>
        </w:r>
        <w:r w:rsidR="001A2A22">
          <w:rPr>
            <w:noProof/>
            <w:webHidden/>
          </w:rPr>
          <w:tab/>
        </w:r>
        <w:r w:rsidR="008965FE">
          <w:rPr>
            <w:noProof/>
            <w:webHidden/>
          </w:rPr>
          <w:fldChar w:fldCharType="begin"/>
        </w:r>
        <w:r w:rsidR="001A2A22">
          <w:rPr>
            <w:noProof/>
            <w:webHidden/>
          </w:rPr>
          <w:instrText xml:space="preserve"> PAGEREF _Toc488233408 \h </w:instrText>
        </w:r>
        <w:r w:rsidR="008965FE">
          <w:rPr>
            <w:noProof/>
            <w:webHidden/>
          </w:rPr>
        </w:r>
        <w:r w:rsidR="008965FE">
          <w:rPr>
            <w:noProof/>
            <w:webHidden/>
          </w:rPr>
          <w:fldChar w:fldCharType="separate"/>
        </w:r>
        <w:r w:rsidR="00DA707D">
          <w:rPr>
            <w:noProof/>
            <w:webHidden/>
          </w:rPr>
          <w:t>220</w:t>
        </w:r>
        <w:r w:rsidR="008965FE">
          <w:rPr>
            <w:noProof/>
            <w:webHidden/>
          </w:rPr>
          <w:fldChar w:fldCharType="end"/>
        </w:r>
      </w:hyperlink>
    </w:p>
    <w:p w:rsidR="00C31229" w:rsidRPr="00DA3F4B" w:rsidRDefault="008965FE" w:rsidP="00DA3F4B">
      <w:pPr>
        <w:spacing w:line="240" w:lineRule="auto"/>
        <w:rPr>
          <w:lang w:eastAsia="en-US"/>
        </w:rPr>
      </w:pPr>
      <w:r w:rsidRPr="00DA3F4B">
        <w:rPr>
          <w:rFonts w:eastAsia="Calibri"/>
          <w:lang w:eastAsia="en-US"/>
        </w:rPr>
        <w:fldChar w:fldCharType="end"/>
      </w:r>
    </w:p>
    <w:p w:rsidR="001E1A7E" w:rsidRPr="00DA3F4B" w:rsidRDefault="001E1A7E" w:rsidP="00094A5B">
      <w:pPr>
        <w:pStyle w:val="Nadpis1"/>
      </w:pPr>
      <w:bookmarkStart w:id="4" w:name="_Toc488233384"/>
      <w:r w:rsidRPr="00DA3F4B">
        <w:lastRenderedPageBreak/>
        <w:t>Seznam tabulek, grafů, obrázků a příloh</w:t>
      </w:r>
      <w:bookmarkEnd w:id="4"/>
    </w:p>
    <w:p w:rsidR="00F813BE" w:rsidRPr="001A2A22" w:rsidRDefault="00F813BE" w:rsidP="001A2A22">
      <w:pPr>
        <w:pStyle w:val="Nadpis2"/>
      </w:pPr>
      <w:r w:rsidRPr="001A2A22">
        <w:t>Tabulky</w:t>
      </w:r>
    </w:p>
    <w:p w:rsidR="001A2A22" w:rsidRDefault="008965FE">
      <w:pPr>
        <w:pStyle w:val="Seznamobrzk"/>
        <w:tabs>
          <w:tab w:val="right" w:leader="dot" w:pos="9062"/>
        </w:tabs>
        <w:rPr>
          <w:rFonts w:asciiTheme="minorHAnsi" w:eastAsiaTheme="minorEastAsia" w:hAnsiTheme="minorHAnsi" w:cstheme="minorBidi"/>
          <w:noProof/>
        </w:rPr>
      </w:pPr>
      <w:r w:rsidRPr="00DA3F4B">
        <w:rPr>
          <w:lang w:eastAsia="en-US"/>
        </w:rPr>
        <w:fldChar w:fldCharType="begin"/>
      </w:r>
      <w:r w:rsidR="00511A1F" w:rsidRPr="00DA3F4B">
        <w:rPr>
          <w:lang w:eastAsia="en-US"/>
        </w:rPr>
        <w:instrText xml:space="preserve"> TOC \h \z \c "Tabulka" </w:instrText>
      </w:r>
      <w:r w:rsidRPr="00DA3F4B">
        <w:rPr>
          <w:lang w:eastAsia="en-US"/>
        </w:rPr>
        <w:fldChar w:fldCharType="separate"/>
      </w:r>
      <w:hyperlink w:anchor="_Toc488233465" w:history="1">
        <w:r w:rsidR="001A2A22" w:rsidRPr="006A381E">
          <w:rPr>
            <w:rStyle w:val="Hypertextovodkaz"/>
            <w:rFonts w:eastAsiaTheme="majorEastAsia"/>
            <w:noProof/>
          </w:rPr>
          <w:t>Tabulka 3.1: HDP a dílčí faktory ovlivňující jeho výši v Karlovarském kraji</w:t>
        </w:r>
        <w:r w:rsidR="001A2A22">
          <w:rPr>
            <w:noProof/>
            <w:webHidden/>
          </w:rPr>
          <w:tab/>
        </w:r>
        <w:r>
          <w:rPr>
            <w:noProof/>
            <w:webHidden/>
          </w:rPr>
          <w:fldChar w:fldCharType="begin"/>
        </w:r>
        <w:r w:rsidR="001A2A22">
          <w:rPr>
            <w:noProof/>
            <w:webHidden/>
          </w:rPr>
          <w:instrText xml:space="preserve"> PAGEREF _Toc488233465 \h </w:instrText>
        </w:r>
        <w:r>
          <w:rPr>
            <w:noProof/>
            <w:webHidden/>
          </w:rPr>
        </w:r>
        <w:r>
          <w:rPr>
            <w:noProof/>
            <w:webHidden/>
          </w:rPr>
          <w:fldChar w:fldCharType="separate"/>
        </w:r>
        <w:r w:rsidR="00DA707D">
          <w:rPr>
            <w:noProof/>
            <w:webHidden/>
          </w:rPr>
          <w:t>19</w:t>
        </w:r>
        <w:r>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66" w:history="1">
        <w:r w:rsidR="001A2A22" w:rsidRPr="006A381E">
          <w:rPr>
            <w:rStyle w:val="Hypertextovodkaz"/>
            <w:rFonts w:eastAsiaTheme="majorEastAsia"/>
            <w:noProof/>
          </w:rPr>
          <w:t>Tabulka 3.2: Pořadí krajů podle výše tvorby hrubého fixního kapitálu na obyvatele za období  2005 – 2009 a 2010 – 2013 (v mil. Kč)</w:t>
        </w:r>
        <w:r w:rsidR="001A2A22">
          <w:rPr>
            <w:noProof/>
            <w:webHidden/>
          </w:rPr>
          <w:tab/>
        </w:r>
        <w:r w:rsidR="008965FE">
          <w:rPr>
            <w:noProof/>
            <w:webHidden/>
          </w:rPr>
          <w:fldChar w:fldCharType="begin"/>
        </w:r>
        <w:r w:rsidR="001A2A22">
          <w:rPr>
            <w:noProof/>
            <w:webHidden/>
          </w:rPr>
          <w:instrText xml:space="preserve"> PAGEREF _Toc488233466 \h </w:instrText>
        </w:r>
        <w:r w:rsidR="008965FE">
          <w:rPr>
            <w:noProof/>
            <w:webHidden/>
          </w:rPr>
        </w:r>
        <w:r w:rsidR="008965FE">
          <w:rPr>
            <w:noProof/>
            <w:webHidden/>
          </w:rPr>
          <w:fldChar w:fldCharType="separate"/>
        </w:r>
        <w:r w:rsidR="00DA707D">
          <w:rPr>
            <w:noProof/>
            <w:webHidden/>
          </w:rPr>
          <w:t>20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67" w:history="1">
        <w:r w:rsidR="001A2A22" w:rsidRPr="006A381E">
          <w:rPr>
            <w:rStyle w:val="Hypertextovodkaz"/>
            <w:rFonts w:eastAsiaTheme="majorEastAsia"/>
            <w:noProof/>
          </w:rPr>
          <w:t>Tabulka 3.3: Průměrný podíl THFK/obyv. na HDP/obyv. v krajích za období 2005 – 2009 a 2010 – 2013 (v %)</w:t>
        </w:r>
        <w:r w:rsidR="001A2A22">
          <w:rPr>
            <w:noProof/>
            <w:webHidden/>
          </w:rPr>
          <w:tab/>
        </w:r>
        <w:r w:rsidR="008965FE">
          <w:rPr>
            <w:noProof/>
            <w:webHidden/>
          </w:rPr>
          <w:fldChar w:fldCharType="begin"/>
        </w:r>
        <w:r w:rsidR="001A2A22">
          <w:rPr>
            <w:noProof/>
            <w:webHidden/>
          </w:rPr>
          <w:instrText xml:space="preserve"> PAGEREF _Toc488233467 \h </w:instrText>
        </w:r>
        <w:r w:rsidR="008965FE">
          <w:rPr>
            <w:noProof/>
            <w:webHidden/>
          </w:rPr>
        </w:r>
        <w:r w:rsidR="008965FE">
          <w:rPr>
            <w:noProof/>
            <w:webHidden/>
          </w:rPr>
          <w:fldChar w:fldCharType="separate"/>
        </w:r>
        <w:r w:rsidR="00DA707D">
          <w:rPr>
            <w:noProof/>
            <w:webHidden/>
          </w:rPr>
          <w:t>21</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68" w:history="1">
        <w:r w:rsidR="001A2A22" w:rsidRPr="006A381E">
          <w:rPr>
            <w:rStyle w:val="Hypertextovodkaz"/>
            <w:rFonts w:eastAsiaTheme="majorEastAsia"/>
            <w:noProof/>
          </w:rPr>
          <w:t>Tabulka 4.1: Stav celkových PZI dle krajů ČR v letech 2010 - 2014 (stav k 31. 12. daného roku)</w:t>
        </w:r>
        <w:r w:rsidR="001A2A22">
          <w:rPr>
            <w:noProof/>
            <w:webHidden/>
          </w:rPr>
          <w:tab/>
        </w:r>
        <w:r w:rsidR="008965FE">
          <w:rPr>
            <w:noProof/>
            <w:webHidden/>
          </w:rPr>
          <w:fldChar w:fldCharType="begin"/>
        </w:r>
        <w:r w:rsidR="001A2A22">
          <w:rPr>
            <w:noProof/>
            <w:webHidden/>
          </w:rPr>
          <w:instrText xml:space="preserve"> PAGEREF _Toc488233468 \h </w:instrText>
        </w:r>
        <w:r w:rsidR="008965FE">
          <w:rPr>
            <w:noProof/>
            <w:webHidden/>
          </w:rPr>
        </w:r>
        <w:r w:rsidR="008965FE">
          <w:rPr>
            <w:noProof/>
            <w:webHidden/>
          </w:rPr>
          <w:fldChar w:fldCharType="separate"/>
        </w:r>
        <w:r w:rsidR="00DA707D">
          <w:rPr>
            <w:noProof/>
            <w:webHidden/>
          </w:rPr>
          <w:t>26</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69" w:history="1">
        <w:r w:rsidR="001A2A22" w:rsidRPr="006A381E">
          <w:rPr>
            <w:rStyle w:val="Hypertextovodkaz"/>
            <w:rFonts w:eastAsiaTheme="majorEastAsia"/>
            <w:noProof/>
          </w:rPr>
          <w:t>Tabulka 4.2: Struktura vývozu z Karlovarského kraje v letech 2005 - 2010 (v mil. Kč a v %)</w:t>
        </w:r>
        <w:r w:rsidR="001A2A22">
          <w:rPr>
            <w:noProof/>
            <w:webHidden/>
          </w:rPr>
          <w:tab/>
        </w:r>
        <w:r w:rsidR="008965FE">
          <w:rPr>
            <w:noProof/>
            <w:webHidden/>
          </w:rPr>
          <w:fldChar w:fldCharType="begin"/>
        </w:r>
        <w:r w:rsidR="001A2A22">
          <w:rPr>
            <w:noProof/>
            <w:webHidden/>
          </w:rPr>
          <w:instrText xml:space="preserve"> PAGEREF _Toc488233469 \h </w:instrText>
        </w:r>
        <w:r w:rsidR="008965FE">
          <w:rPr>
            <w:noProof/>
            <w:webHidden/>
          </w:rPr>
        </w:r>
        <w:r w:rsidR="008965FE">
          <w:rPr>
            <w:noProof/>
            <w:webHidden/>
          </w:rPr>
          <w:fldChar w:fldCharType="separate"/>
        </w:r>
        <w:r w:rsidR="00DA707D">
          <w:rPr>
            <w:noProof/>
            <w:webHidden/>
          </w:rPr>
          <w:t>29</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0" w:history="1">
        <w:r w:rsidR="001A2A22" w:rsidRPr="006A381E">
          <w:rPr>
            <w:rStyle w:val="Hypertextovodkaz"/>
            <w:rFonts w:eastAsiaTheme="majorEastAsia"/>
            <w:noProof/>
          </w:rPr>
          <w:t>Tabulka 4.3: Směry vývozu - pozice hlavních partnerských států ve vývozu krajů v roce 2010</w:t>
        </w:r>
        <w:r w:rsidR="001A2A22">
          <w:rPr>
            <w:noProof/>
            <w:webHidden/>
          </w:rPr>
          <w:tab/>
        </w:r>
        <w:r w:rsidR="008965FE">
          <w:rPr>
            <w:noProof/>
            <w:webHidden/>
          </w:rPr>
          <w:fldChar w:fldCharType="begin"/>
        </w:r>
        <w:r w:rsidR="001A2A22">
          <w:rPr>
            <w:noProof/>
            <w:webHidden/>
          </w:rPr>
          <w:instrText xml:space="preserve"> PAGEREF _Toc488233470 \h </w:instrText>
        </w:r>
        <w:r w:rsidR="008965FE">
          <w:rPr>
            <w:noProof/>
            <w:webHidden/>
          </w:rPr>
        </w:r>
        <w:r w:rsidR="008965FE">
          <w:rPr>
            <w:noProof/>
            <w:webHidden/>
          </w:rPr>
          <w:fldChar w:fldCharType="separate"/>
        </w:r>
        <w:r w:rsidR="00DA707D">
          <w:rPr>
            <w:noProof/>
            <w:webHidden/>
          </w:rPr>
          <w:t>30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1" w:history="1">
        <w:r w:rsidR="001A2A22" w:rsidRPr="006A381E">
          <w:rPr>
            <w:rStyle w:val="Hypertextovodkaz"/>
            <w:rFonts w:eastAsiaTheme="majorEastAsia"/>
            <w:noProof/>
          </w:rPr>
          <w:t>Tabulka 4.4: Podíl nejvýznamnějších zemí na celkovém vývozu Karlovarského kraje v letech  2005 - 2010 (v %)</w:t>
        </w:r>
        <w:r w:rsidR="001A2A22">
          <w:rPr>
            <w:noProof/>
            <w:webHidden/>
          </w:rPr>
          <w:tab/>
        </w:r>
        <w:r w:rsidR="008965FE">
          <w:rPr>
            <w:noProof/>
            <w:webHidden/>
          </w:rPr>
          <w:fldChar w:fldCharType="begin"/>
        </w:r>
        <w:r w:rsidR="001A2A22">
          <w:rPr>
            <w:noProof/>
            <w:webHidden/>
          </w:rPr>
          <w:instrText xml:space="preserve"> PAGEREF _Toc488233471 \h </w:instrText>
        </w:r>
        <w:r w:rsidR="008965FE">
          <w:rPr>
            <w:noProof/>
            <w:webHidden/>
          </w:rPr>
        </w:r>
        <w:r w:rsidR="008965FE">
          <w:rPr>
            <w:noProof/>
            <w:webHidden/>
          </w:rPr>
          <w:fldChar w:fldCharType="separate"/>
        </w:r>
        <w:r w:rsidR="00DA707D">
          <w:rPr>
            <w:noProof/>
            <w:webHidden/>
          </w:rPr>
          <w:t>30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2" w:history="1">
        <w:r w:rsidR="001A2A22" w:rsidRPr="006A381E">
          <w:rPr>
            <w:rStyle w:val="Hypertextovodkaz"/>
            <w:rFonts w:eastAsiaTheme="majorEastAsia"/>
            <w:noProof/>
          </w:rPr>
          <w:t>Tabulka 4.5: Podíl hlavních exportních položek dle zbožových tříd SITC 2 na celkovém exportu KK v letech 2005 - 2010 (v %)</w:t>
        </w:r>
        <w:r w:rsidR="001A2A22">
          <w:rPr>
            <w:noProof/>
            <w:webHidden/>
          </w:rPr>
          <w:tab/>
        </w:r>
        <w:r w:rsidR="008965FE">
          <w:rPr>
            <w:noProof/>
            <w:webHidden/>
          </w:rPr>
          <w:fldChar w:fldCharType="begin"/>
        </w:r>
        <w:r w:rsidR="001A2A22">
          <w:rPr>
            <w:noProof/>
            <w:webHidden/>
          </w:rPr>
          <w:instrText xml:space="preserve"> PAGEREF _Toc488233472 \h </w:instrText>
        </w:r>
        <w:r w:rsidR="008965FE">
          <w:rPr>
            <w:noProof/>
            <w:webHidden/>
          </w:rPr>
        </w:r>
        <w:r w:rsidR="008965FE">
          <w:rPr>
            <w:noProof/>
            <w:webHidden/>
          </w:rPr>
          <w:fldChar w:fldCharType="separate"/>
        </w:r>
        <w:r w:rsidR="00DA707D">
          <w:rPr>
            <w:noProof/>
            <w:webHidden/>
          </w:rPr>
          <w:t>31</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3" w:history="1">
        <w:r w:rsidR="001A2A22" w:rsidRPr="006A381E">
          <w:rPr>
            <w:rStyle w:val="Hypertextovodkaz"/>
            <w:rFonts w:eastAsiaTheme="majorEastAsia"/>
            <w:noProof/>
          </w:rPr>
          <w:t>Tabulka 4.6: Průmyslové zóny v Karlovarském kraji v roce 2016 a jejich rozloha (v ha)</w:t>
        </w:r>
        <w:r w:rsidR="001A2A22">
          <w:rPr>
            <w:noProof/>
            <w:webHidden/>
          </w:rPr>
          <w:tab/>
        </w:r>
        <w:r w:rsidR="008965FE">
          <w:rPr>
            <w:noProof/>
            <w:webHidden/>
          </w:rPr>
          <w:fldChar w:fldCharType="begin"/>
        </w:r>
        <w:r w:rsidR="001A2A22">
          <w:rPr>
            <w:noProof/>
            <w:webHidden/>
          </w:rPr>
          <w:instrText xml:space="preserve"> PAGEREF _Toc488233473 \h </w:instrText>
        </w:r>
        <w:r w:rsidR="008965FE">
          <w:rPr>
            <w:noProof/>
            <w:webHidden/>
          </w:rPr>
        </w:r>
        <w:r w:rsidR="008965FE">
          <w:rPr>
            <w:noProof/>
            <w:webHidden/>
          </w:rPr>
          <w:fldChar w:fldCharType="separate"/>
        </w:r>
        <w:r w:rsidR="00DA707D">
          <w:rPr>
            <w:noProof/>
            <w:webHidden/>
          </w:rPr>
          <w:t>35</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4" w:history="1">
        <w:r w:rsidR="001A2A22" w:rsidRPr="006A381E">
          <w:rPr>
            <w:rStyle w:val="Hypertextovodkaz"/>
            <w:rFonts w:eastAsiaTheme="majorEastAsia"/>
            <w:noProof/>
          </w:rPr>
          <w:t>Tabulka 5.1: Zaměstnanost dle hlavních sekcí NACE v KK a ČR v roce 2010 a 2015</w:t>
        </w:r>
        <w:r w:rsidR="001A2A22">
          <w:rPr>
            <w:noProof/>
            <w:webHidden/>
          </w:rPr>
          <w:tab/>
        </w:r>
        <w:r w:rsidR="008965FE">
          <w:rPr>
            <w:noProof/>
            <w:webHidden/>
          </w:rPr>
          <w:fldChar w:fldCharType="begin"/>
        </w:r>
        <w:r w:rsidR="001A2A22">
          <w:rPr>
            <w:noProof/>
            <w:webHidden/>
          </w:rPr>
          <w:instrText xml:space="preserve"> PAGEREF _Toc488233474 \h </w:instrText>
        </w:r>
        <w:r w:rsidR="008965FE">
          <w:rPr>
            <w:noProof/>
            <w:webHidden/>
          </w:rPr>
        </w:r>
        <w:r w:rsidR="008965FE">
          <w:rPr>
            <w:noProof/>
            <w:webHidden/>
          </w:rPr>
          <w:fldChar w:fldCharType="separate"/>
        </w:r>
        <w:r w:rsidR="00DA707D">
          <w:rPr>
            <w:noProof/>
            <w:webHidden/>
          </w:rPr>
          <w:t>40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5" w:history="1">
        <w:r w:rsidR="001A2A22" w:rsidRPr="006A381E">
          <w:rPr>
            <w:rStyle w:val="Hypertextovodkaz"/>
            <w:rFonts w:eastAsiaTheme="majorEastAsia"/>
            <w:noProof/>
          </w:rPr>
          <w:t>Tabulka 5.2: Nejvýznamnější odvětví zpracovatelského průmyslu v Karlovarském kraji dle podílu na celkové zaměstnanosti ve zpracovatelském průmyslu v letech 2002 – 2003 a 2013 – 2014</w:t>
        </w:r>
        <w:r w:rsidR="001A2A22">
          <w:rPr>
            <w:noProof/>
            <w:webHidden/>
          </w:rPr>
          <w:tab/>
        </w:r>
        <w:r w:rsidR="008965FE">
          <w:rPr>
            <w:noProof/>
            <w:webHidden/>
          </w:rPr>
          <w:fldChar w:fldCharType="begin"/>
        </w:r>
        <w:r w:rsidR="001A2A22">
          <w:rPr>
            <w:noProof/>
            <w:webHidden/>
          </w:rPr>
          <w:instrText xml:space="preserve"> PAGEREF _Toc488233475 \h </w:instrText>
        </w:r>
        <w:r w:rsidR="008965FE">
          <w:rPr>
            <w:noProof/>
            <w:webHidden/>
          </w:rPr>
        </w:r>
        <w:r w:rsidR="008965FE">
          <w:rPr>
            <w:noProof/>
            <w:webHidden/>
          </w:rPr>
          <w:fldChar w:fldCharType="separate"/>
        </w:r>
        <w:r w:rsidR="00DA707D">
          <w:rPr>
            <w:noProof/>
            <w:webHidden/>
          </w:rPr>
          <w:t>41</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6" w:history="1">
        <w:r w:rsidR="001A2A22" w:rsidRPr="006A381E">
          <w:rPr>
            <w:rStyle w:val="Hypertextovodkaz"/>
            <w:rFonts w:eastAsiaTheme="majorEastAsia"/>
            <w:noProof/>
          </w:rPr>
          <w:t>Tabulka 5.3: Tržby z prodeje vlastních výrobků a služeb průmyslové povahy v Karlovarském kraji v letech 2000 – 2014</w:t>
        </w:r>
        <w:r w:rsidR="001A2A22">
          <w:rPr>
            <w:noProof/>
            <w:webHidden/>
          </w:rPr>
          <w:tab/>
        </w:r>
        <w:r w:rsidR="008965FE">
          <w:rPr>
            <w:noProof/>
            <w:webHidden/>
          </w:rPr>
          <w:fldChar w:fldCharType="begin"/>
        </w:r>
        <w:r w:rsidR="001A2A22">
          <w:rPr>
            <w:noProof/>
            <w:webHidden/>
          </w:rPr>
          <w:instrText xml:space="preserve"> PAGEREF _Toc488233476 \h </w:instrText>
        </w:r>
        <w:r w:rsidR="008965FE">
          <w:rPr>
            <w:noProof/>
            <w:webHidden/>
          </w:rPr>
        </w:r>
        <w:r w:rsidR="008965FE">
          <w:rPr>
            <w:noProof/>
            <w:webHidden/>
          </w:rPr>
          <w:fldChar w:fldCharType="separate"/>
        </w:r>
        <w:r w:rsidR="00DA707D">
          <w:rPr>
            <w:noProof/>
            <w:webHidden/>
          </w:rPr>
          <w:t>42</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7" w:history="1">
        <w:r w:rsidR="001A2A22" w:rsidRPr="006A381E">
          <w:rPr>
            <w:rStyle w:val="Hypertextovodkaz"/>
            <w:rFonts w:eastAsiaTheme="majorEastAsia"/>
            <w:noProof/>
          </w:rPr>
          <w:t>Tabulka 5.4: Projekce úrovně zaměstnanosti, produktivity a přidané hodnoty (PH) v ČR ve vybraných odvětvích zpracovatelského průmyslu (průměrná roční změna v % b. c.)</w:t>
        </w:r>
        <w:r w:rsidR="001A2A22">
          <w:rPr>
            <w:noProof/>
            <w:webHidden/>
          </w:rPr>
          <w:tab/>
        </w:r>
        <w:r w:rsidR="008965FE">
          <w:rPr>
            <w:noProof/>
            <w:webHidden/>
          </w:rPr>
          <w:fldChar w:fldCharType="begin"/>
        </w:r>
        <w:r w:rsidR="001A2A22">
          <w:rPr>
            <w:noProof/>
            <w:webHidden/>
          </w:rPr>
          <w:instrText xml:space="preserve"> PAGEREF _Toc488233477 \h </w:instrText>
        </w:r>
        <w:r w:rsidR="008965FE">
          <w:rPr>
            <w:noProof/>
            <w:webHidden/>
          </w:rPr>
        </w:r>
        <w:r w:rsidR="008965FE">
          <w:rPr>
            <w:noProof/>
            <w:webHidden/>
          </w:rPr>
          <w:fldChar w:fldCharType="separate"/>
        </w:r>
        <w:r w:rsidR="00DA707D">
          <w:rPr>
            <w:noProof/>
            <w:webHidden/>
          </w:rPr>
          <w:t>44</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8" w:history="1">
        <w:r w:rsidR="001A2A22" w:rsidRPr="006A381E">
          <w:rPr>
            <w:rStyle w:val="Hypertextovodkaz"/>
            <w:rFonts w:eastAsiaTheme="majorEastAsia"/>
            <w:noProof/>
          </w:rPr>
          <w:t>Tabulka 6.1: Zaměstnanci a výzkumníci ve VaV v Karlovarském kraji v letech 2005 - 2014 (FTE)</w:t>
        </w:r>
        <w:r w:rsidR="001A2A22">
          <w:rPr>
            <w:noProof/>
            <w:webHidden/>
          </w:rPr>
          <w:tab/>
        </w:r>
        <w:r w:rsidR="008965FE">
          <w:rPr>
            <w:noProof/>
            <w:webHidden/>
          </w:rPr>
          <w:fldChar w:fldCharType="begin"/>
        </w:r>
        <w:r w:rsidR="001A2A22">
          <w:rPr>
            <w:noProof/>
            <w:webHidden/>
          </w:rPr>
          <w:instrText xml:space="preserve"> PAGEREF _Toc488233478 \h </w:instrText>
        </w:r>
        <w:r w:rsidR="008965FE">
          <w:rPr>
            <w:noProof/>
            <w:webHidden/>
          </w:rPr>
        </w:r>
        <w:r w:rsidR="008965FE">
          <w:rPr>
            <w:noProof/>
            <w:webHidden/>
          </w:rPr>
          <w:fldChar w:fldCharType="separate"/>
        </w:r>
        <w:r w:rsidR="00DA707D">
          <w:rPr>
            <w:noProof/>
            <w:webHidden/>
          </w:rPr>
          <w:t>50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79" w:history="1">
        <w:r w:rsidR="001A2A22" w:rsidRPr="006A381E">
          <w:rPr>
            <w:rStyle w:val="Hypertextovodkaz"/>
            <w:rFonts w:eastAsiaTheme="majorEastAsia"/>
            <w:noProof/>
          </w:rPr>
          <w:t>Tabulka 6.2: Patentové přihlášky krajů v letech 2010 - 2014 a podle typu přihlašovatele v roce 2014</w:t>
        </w:r>
        <w:r w:rsidR="001A2A22">
          <w:rPr>
            <w:noProof/>
            <w:webHidden/>
          </w:rPr>
          <w:tab/>
        </w:r>
        <w:r w:rsidR="008965FE">
          <w:rPr>
            <w:noProof/>
            <w:webHidden/>
          </w:rPr>
          <w:fldChar w:fldCharType="begin"/>
        </w:r>
        <w:r w:rsidR="001A2A22">
          <w:rPr>
            <w:noProof/>
            <w:webHidden/>
          </w:rPr>
          <w:instrText xml:space="preserve"> PAGEREF _Toc488233479 \h </w:instrText>
        </w:r>
        <w:r w:rsidR="008965FE">
          <w:rPr>
            <w:noProof/>
            <w:webHidden/>
          </w:rPr>
        </w:r>
        <w:r w:rsidR="008965FE">
          <w:rPr>
            <w:noProof/>
            <w:webHidden/>
          </w:rPr>
          <w:fldChar w:fldCharType="separate"/>
        </w:r>
        <w:r w:rsidR="00DA707D">
          <w:rPr>
            <w:noProof/>
            <w:webHidden/>
          </w:rPr>
          <w:t>56</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0" w:history="1">
        <w:r w:rsidR="001A2A22" w:rsidRPr="006A381E">
          <w:rPr>
            <w:rStyle w:val="Hypertextovodkaz"/>
            <w:rFonts w:eastAsiaTheme="majorEastAsia"/>
            <w:noProof/>
          </w:rPr>
          <w:t>Tabulka 6.3: Náklady na technické inovace, tržby za inovované produkty a intenzita technických inovací v krajích v roce 2014</w:t>
        </w:r>
        <w:r w:rsidR="001A2A22">
          <w:rPr>
            <w:noProof/>
            <w:webHidden/>
          </w:rPr>
          <w:tab/>
        </w:r>
        <w:r w:rsidR="008965FE">
          <w:rPr>
            <w:noProof/>
            <w:webHidden/>
          </w:rPr>
          <w:fldChar w:fldCharType="begin"/>
        </w:r>
        <w:r w:rsidR="001A2A22">
          <w:rPr>
            <w:noProof/>
            <w:webHidden/>
          </w:rPr>
          <w:instrText xml:space="preserve"> PAGEREF _Toc488233480 \h </w:instrText>
        </w:r>
        <w:r w:rsidR="008965FE">
          <w:rPr>
            <w:noProof/>
            <w:webHidden/>
          </w:rPr>
        </w:r>
        <w:r w:rsidR="008965FE">
          <w:rPr>
            <w:noProof/>
            <w:webHidden/>
          </w:rPr>
          <w:fldChar w:fldCharType="separate"/>
        </w:r>
        <w:r w:rsidR="00DA707D">
          <w:rPr>
            <w:noProof/>
            <w:webHidden/>
          </w:rPr>
          <w:t>57</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1" w:history="1">
        <w:r w:rsidR="001A2A22" w:rsidRPr="006A381E">
          <w:rPr>
            <w:rStyle w:val="Hypertextovodkaz"/>
            <w:rFonts w:eastAsiaTheme="majorEastAsia"/>
            <w:noProof/>
          </w:rPr>
          <w:t>Tabulka 6.4: Podíl inovačních podniků na celkovém počtu podniků v kraji v letech 2012 - 2014 (v %)</w:t>
        </w:r>
        <w:r w:rsidR="001A2A22">
          <w:rPr>
            <w:noProof/>
            <w:webHidden/>
          </w:rPr>
          <w:tab/>
        </w:r>
        <w:r w:rsidR="008965FE">
          <w:rPr>
            <w:noProof/>
            <w:webHidden/>
          </w:rPr>
          <w:fldChar w:fldCharType="begin"/>
        </w:r>
        <w:r w:rsidR="001A2A22">
          <w:rPr>
            <w:noProof/>
            <w:webHidden/>
          </w:rPr>
          <w:instrText xml:space="preserve"> PAGEREF _Toc488233481 \h </w:instrText>
        </w:r>
        <w:r w:rsidR="008965FE">
          <w:rPr>
            <w:noProof/>
            <w:webHidden/>
          </w:rPr>
        </w:r>
        <w:r w:rsidR="008965FE">
          <w:rPr>
            <w:noProof/>
            <w:webHidden/>
          </w:rPr>
          <w:fldChar w:fldCharType="separate"/>
        </w:r>
        <w:r w:rsidR="00DA707D">
          <w:rPr>
            <w:noProof/>
            <w:webHidden/>
          </w:rPr>
          <w:t>59</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2" w:history="1">
        <w:r w:rsidR="001A2A22" w:rsidRPr="006A381E">
          <w:rPr>
            <w:rStyle w:val="Hypertextovodkaz"/>
            <w:rFonts w:eastAsiaTheme="majorEastAsia"/>
            <w:noProof/>
          </w:rPr>
          <w:t>Tabulka 8.1: Návštěvnost krajů v roce 2015</w:t>
        </w:r>
        <w:r w:rsidR="001A2A22">
          <w:rPr>
            <w:noProof/>
            <w:webHidden/>
          </w:rPr>
          <w:tab/>
        </w:r>
        <w:r w:rsidR="008965FE">
          <w:rPr>
            <w:noProof/>
            <w:webHidden/>
          </w:rPr>
          <w:fldChar w:fldCharType="begin"/>
        </w:r>
        <w:r w:rsidR="001A2A22">
          <w:rPr>
            <w:noProof/>
            <w:webHidden/>
          </w:rPr>
          <w:instrText xml:space="preserve"> PAGEREF _Toc488233482 \h </w:instrText>
        </w:r>
        <w:r w:rsidR="008965FE">
          <w:rPr>
            <w:noProof/>
            <w:webHidden/>
          </w:rPr>
        </w:r>
        <w:r w:rsidR="008965FE">
          <w:rPr>
            <w:noProof/>
            <w:webHidden/>
          </w:rPr>
          <w:fldChar w:fldCharType="separate"/>
        </w:r>
        <w:r w:rsidR="00DA707D">
          <w:rPr>
            <w:noProof/>
            <w:webHidden/>
          </w:rPr>
          <w:t>73</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3" w:history="1">
        <w:r w:rsidR="001A2A22" w:rsidRPr="006A381E">
          <w:rPr>
            <w:rStyle w:val="Hypertextovodkaz"/>
            <w:rFonts w:eastAsiaTheme="majorEastAsia"/>
            <w:noProof/>
          </w:rPr>
          <w:t>Tabulka 8.2: Počet hostů v krajích v letech 2012-2015</w:t>
        </w:r>
        <w:r w:rsidR="001A2A22">
          <w:rPr>
            <w:noProof/>
            <w:webHidden/>
          </w:rPr>
          <w:tab/>
        </w:r>
        <w:r w:rsidR="008965FE">
          <w:rPr>
            <w:noProof/>
            <w:webHidden/>
          </w:rPr>
          <w:fldChar w:fldCharType="begin"/>
        </w:r>
        <w:r w:rsidR="001A2A22">
          <w:rPr>
            <w:noProof/>
            <w:webHidden/>
          </w:rPr>
          <w:instrText xml:space="preserve"> PAGEREF _Toc488233483 \h </w:instrText>
        </w:r>
        <w:r w:rsidR="008965FE">
          <w:rPr>
            <w:noProof/>
            <w:webHidden/>
          </w:rPr>
        </w:r>
        <w:r w:rsidR="008965FE">
          <w:rPr>
            <w:noProof/>
            <w:webHidden/>
          </w:rPr>
          <w:fldChar w:fldCharType="separate"/>
        </w:r>
        <w:r w:rsidR="00DA707D">
          <w:rPr>
            <w:noProof/>
            <w:webHidden/>
          </w:rPr>
          <w:t>74</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4" w:history="1">
        <w:r w:rsidR="001A2A22" w:rsidRPr="006A381E">
          <w:rPr>
            <w:rStyle w:val="Hypertextovodkaz"/>
            <w:rFonts w:eastAsiaTheme="majorEastAsia"/>
            <w:noProof/>
          </w:rPr>
          <w:t>Tabulka 8.5: Počet přenocování v hromadných ubytovacích zařízeních v KK v letech 2012 – 2015</w:t>
        </w:r>
        <w:r w:rsidR="001A2A22">
          <w:rPr>
            <w:noProof/>
            <w:webHidden/>
          </w:rPr>
          <w:tab/>
        </w:r>
        <w:r w:rsidR="008965FE">
          <w:rPr>
            <w:noProof/>
            <w:webHidden/>
          </w:rPr>
          <w:fldChar w:fldCharType="begin"/>
        </w:r>
        <w:r w:rsidR="001A2A22">
          <w:rPr>
            <w:noProof/>
            <w:webHidden/>
          </w:rPr>
          <w:instrText xml:space="preserve"> PAGEREF _Toc488233484 \h </w:instrText>
        </w:r>
        <w:r w:rsidR="008965FE">
          <w:rPr>
            <w:noProof/>
            <w:webHidden/>
          </w:rPr>
        </w:r>
        <w:r w:rsidR="008965FE">
          <w:rPr>
            <w:noProof/>
            <w:webHidden/>
          </w:rPr>
          <w:fldChar w:fldCharType="separate"/>
        </w:r>
        <w:r w:rsidR="00DA707D">
          <w:rPr>
            <w:noProof/>
            <w:webHidden/>
          </w:rPr>
          <w:t>79</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5" w:history="1">
        <w:r w:rsidR="001A2A22" w:rsidRPr="006A381E">
          <w:rPr>
            <w:rStyle w:val="Hypertextovodkaz"/>
            <w:rFonts w:eastAsiaTheme="majorEastAsia"/>
            <w:noProof/>
          </w:rPr>
          <w:t>Tabulka 8.6: Přehled personálního vybavení a lůžkové kapacity v lázeňských zařízeních v krajích v roce 2015</w:t>
        </w:r>
        <w:r w:rsidR="001A2A22">
          <w:rPr>
            <w:noProof/>
            <w:webHidden/>
          </w:rPr>
          <w:tab/>
        </w:r>
        <w:r w:rsidR="008965FE">
          <w:rPr>
            <w:noProof/>
            <w:webHidden/>
          </w:rPr>
          <w:fldChar w:fldCharType="begin"/>
        </w:r>
        <w:r w:rsidR="001A2A22">
          <w:rPr>
            <w:noProof/>
            <w:webHidden/>
          </w:rPr>
          <w:instrText xml:space="preserve"> PAGEREF _Toc488233485 \h </w:instrText>
        </w:r>
        <w:r w:rsidR="008965FE">
          <w:rPr>
            <w:noProof/>
            <w:webHidden/>
          </w:rPr>
        </w:r>
        <w:r w:rsidR="008965FE">
          <w:rPr>
            <w:noProof/>
            <w:webHidden/>
          </w:rPr>
          <w:fldChar w:fldCharType="separate"/>
        </w:r>
        <w:r w:rsidR="00DA707D">
          <w:rPr>
            <w:noProof/>
            <w:webHidden/>
          </w:rPr>
          <w:t>80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6" w:history="1">
        <w:r w:rsidR="001A2A22" w:rsidRPr="006A381E">
          <w:rPr>
            <w:rStyle w:val="Hypertextovodkaz"/>
            <w:rFonts w:eastAsiaTheme="majorEastAsia"/>
            <w:noProof/>
          </w:rPr>
          <w:t>Tabulka 8.8: Počet rezidentů a nerezidentů v lázeňských ubytovacích zařízeních v krajích v letech 2012 – 2015</w:t>
        </w:r>
        <w:r w:rsidR="001A2A22">
          <w:rPr>
            <w:noProof/>
            <w:webHidden/>
          </w:rPr>
          <w:tab/>
        </w:r>
        <w:r w:rsidR="008965FE">
          <w:rPr>
            <w:noProof/>
            <w:webHidden/>
          </w:rPr>
          <w:fldChar w:fldCharType="begin"/>
        </w:r>
        <w:r w:rsidR="001A2A22">
          <w:rPr>
            <w:noProof/>
            <w:webHidden/>
          </w:rPr>
          <w:instrText xml:space="preserve"> PAGEREF _Toc488233486 \h </w:instrText>
        </w:r>
        <w:r w:rsidR="008965FE">
          <w:rPr>
            <w:noProof/>
            <w:webHidden/>
          </w:rPr>
        </w:r>
        <w:r w:rsidR="008965FE">
          <w:rPr>
            <w:noProof/>
            <w:webHidden/>
          </w:rPr>
          <w:fldChar w:fldCharType="separate"/>
        </w:r>
        <w:r w:rsidR="00DA707D">
          <w:rPr>
            <w:noProof/>
            <w:webHidden/>
          </w:rPr>
          <w:t>81</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7" w:history="1">
        <w:r w:rsidR="001A2A22" w:rsidRPr="006A381E">
          <w:rPr>
            <w:rStyle w:val="Hypertextovodkaz"/>
            <w:rFonts w:eastAsiaTheme="majorEastAsia"/>
            <w:noProof/>
          </w:rPr>
          <w:t>Tabulka 8.9 Návštěvnost v lázeňských ubytovacích zařízeních v KK v letech 2012 - 2015</w:t>
        </w:r>
        <w:r w:rsidR="001A2A22">
          <w:rPr>
            <w:noProof/>
            <w:webHidden/>
          </w:rPr>
          <w:tab/>
        </w:r>
        <w:r w:rsidR="008965FE">
          <w:rPr>
            <w:noProof/>
            <w:webHidden/>
          </w:rPr>
          <w:fldChar w:fldCharType="begin"/>
        </w:r>
        <w:r w:rsidR="001A2A22">
          <w:rPr>
            <w:noProof/>
            <w:webHidden/>
          </w:rPr>
          <w:instrText xml:space="preserve"> PAGEREF _Toc488233487 \h </w:instrText>
        </w:r>
        <w:r w:rsidR="008965FE">
          <w:rPr>
            <w:noProof/>
            <w:webHidden/>
          </w:rPr>
        </w:r>
        <w:r w:rsidR="008965FE">
          <w:rPr>
            <w:noProof/>
            <w:webHidden/>
          </w:rPr>
          <w:fldChar w:fldCharType="separate"/>
        </w:r>
        <w:r w:rsidR="00DA707D">
          <w:rPr>
            <w:noProof/>
            <w:webHidden/>
          </w:rPr>
          <w:t>82</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8" w:history="1">
        <w:r w:rsidR="001A2A22" w:rsidRPr="006A381E">
          <w:rPr>
            <w:rStyle w:val="Hypertextovodkaz"/>
            <w:rFonts w:eastAsiaTheme="majorEastAsia"/>
            <w:noProof/>
          </w:rPr>
          <w:t>Tabulka 8.10: Počet přijatých pacientů (dospělí) v lázeňských zařízeních v krajích v roce 2015</w:t>
        </w:r>
        <w:r w:rsidR="001A2A22">
          <w:rPr>
            <w:noProof/>
            <w:webHidden/>
          </w:rPr>
          <w:tab/>
        </w:r>
        <w:r w:rsidR="008965FE">
          <w:rPr>
            <w:noProof/>
            <w:webHidden/>
          </w:rPr>
          <w:fldChar w:fldCharType="begin"/>
        </w:r>
        <w:r w:rsidR="001A2A22">
          <w:rPr>
            <w:noProof/>
            <w:webHidden/>
          </w:rPr>
          <w:instrText xml:space="preserve"> PAGEREF _Toc488233488 \h </w:instrText>
        </w:r>
        <w:r w:rsidR="008965FE">
          <w:rPr>
            <w:noProof/>
            <w:webHidden/>
          </w:rPr>
        </w:r>
        <w:r w:rsidR="008965FE">
          <w:rPr>
            <w:noProof/>
            <w:webHidden/>
          </w:rPr>
          <w:fldChar w:fldCharType="separate"/>
        </w:r>
        <w:r w:rsidR="00DA707D">
          <w:rPr>
            <w:noProof/>
            <w:webHidden/>
          </w:rPr>
          <w:t>83</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89" w:history="1">
        <w:r w:rsidR="001A2A22" w:rsidRPr="006A381E">
          <w:rPr>
            <w:rStyle w:val="Hypertextovodkaz"/>
            <w:rFonts w:eastAsiaTheme="majorEastAsia"/>
            <w:noProof/>
          </w:rPr>
          <w:t>Tabulka 8.11: Počet přijatých pacientů v lázeňských zařízeních v KK v letech 2012 – 2015</w:t>
        </w:r>
        <w:r w:rsidR="001A2A22">
          <w:rPr>
            <w:noProof/>
            <w:webHidden/>
          </w:rPr>
          <w:tab/>
        </w:r>
        <w:r w:rsidR="008965FE">
          <w:rPr>
            <w:noProof/>
            <w:webHidden/>
          </w:rPr>
          <w:fldChar w:fldCharType="begin"/>
        </w:r>
        <w:r w:rsidR="001A2A22">
          <w:rPr>
            <w:noProof/>
            <w:webHidden/>
          </w:rPr>
          <w:instrText xml:space="preserve"> PAGEREF _Toc488233489 \h </w:instrText>
        </w:r>
        <w:r w:rsidR="008965FE">
          <w:rPr>
            <w:noProof/>
            <w:webHidden/>
          </w:rPr>
        </w:r>
        <w:r w:rsidR="008965FE">
          <w:rPr>
            <w:noProof/>
            <w:webHidden/>
          </w:rPr>
          <w:fldChar w:fldCharType="separate"/>
        </w:r>
        <w:r w:rsidR="00DA707D">
          <w:rPr>
            <w:noProof/>
            <w:webHidden/>
          </w:rPr>
          <w:t>83</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0" w:history="1">
        <w:r w:rsidR="001A2A22" w:rsidRPr="006A381E">
          <w:rPr>
            <w:rStyle w:val="Hypertextovodkaz"/>
            <w:rFonts w:eastAsiaTheme="majorEastAsia"/>
            <w:noProof/>
          </w:rPr>
          <w:t>Tabulka 8.12: Počet a struktura hromadných ubytovacích zařízení v KK v letech 2012 – 2015</w:t>
        </w:r>
        <w:r w:rsidR="001A2A22">
          <w:rPr>
            <w:noProof/>
            <w:webHidden/>
          </w:rPr>
          <w:tab/>
        </w:r>
        <w:r w:rsidR="008965FE">
          <w:rPr>
            <w:noProof/>
            <w:webHidden/>
          </w:rPr>
          <w:fldChar w:fldCharType="begin"/>
        </w:r>
        <w:r w:rsidR="001A2A22">
          <w:rPr>
            <w:noProof/>
            <w:webHidden/>
          </w:rPr>
          <w:instrText xml:space="preserve"> PAGEREF _Toc488233490 \h </w:instrText>
        </w:r>
        <w:r w:rsidR="008965FE">
          <w:rPr>
            <w:noProof/>
            <w:webHidden/>
          </w:rPr>
        </w:r>
        <w:r w:rsidR="008965FE">
          <w:rPr>
            <w:noProof/>
            <w:webHidden/>
          </w:rPr>
          <w:fldChar w:fldCharType="separate"/>
        </w:r>
        <w:r w:rsidR="00DA707D">
          <w:rPr>
            <w:noProof/>
            <w:webHidden/>
          </w:rPr>
          <w:t>84</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1" w:history="1">
        <w:r w:rsidR="001A2A22" w:rsidRPr="006A381E">
          <w:rPr>
            <w:rStyle w:val="Hypertextovodkaz"/>
            <w:rFonts w:eastAsiaTheme="majorEastAsia"/>
            <w:noProof/>
          </w:rPr>
          <w:t>Tabulka 8.14: Celková kapacita konferenčních zařízení v krajích v roce 2011</w:t>
        </w:r>
        <w:r w:rsidR="001A2A22">
          <w:rPr>
            <w:noProof/>
            <w:webHidden/>
          </w:rPr>
          <w:tab/>
        </w:r>
        <w:r w:rsidR="008965FE">
          <w:rPr>
            <w:noProof/>
            <w:webHidden/>
          </w:rPr>
          <w:fldChar w:fldCharType="begin"/>
        </w:r>
        <w:r w:rsidR="001A2A22">
          <w:rPr>
            <w:noProof/>
            <w:webHidden/>
          </w:rPr>
          <w:instrText xml:space="preserve"> PAGEREF _Toc488233491 \h </w:instrText>
        </w:r>
        <w:r w:rsidR="008965FE">
          <w:rPr>
            <w:noProof/>
            <w:webHidden/>
          </w:rPr>
        </w:r>
        <w:r w:rsidR="008965FE">
          <w:rPr>
            <w:noProof/>
            <w:webHidden/>
          </w:rPr>
          <w:fldChar w:fldCharType="separate"/>
        </w:r>
        <w:r w:rsidR="00DA707D">
          <w:rPr>
            <w:noProof/>
            <w:webHidden/>
          </w:rPr>
          <w:t>85</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2" w:history="1">
        <w:r w:rsidR="001A2A22" w:rsidRPr="006A381E">
          <w:rPr>
            <w:rStyle w:val="Hypertextovodkaz"/>
            <w:rFonts w:eastAsiaTheme="majorEastAsia"/>
            <w:noProof/>
          </w:rPr>
          <w:t>Tabulka 8.15 Počet konferencí v krajích v letech 2011 – 2015</w:t>
        </w:r>
        <w:r w:rsidR="001A2A22">
          <w:rPr>
            <w:noProof/>
            <w:webHidden/>
          </w:rPr>
          <w:tab/>
        </w:r>
        <w:r w:rsidR="008965FE">
          <w:rPr>
            <w:noProof/>
            <w:webHidden/>
          </w:rPr>
          <w:fldChar w:fldCharType="begin"/>
        </w:r>
        <w:r w:rsidR="001A2A22">
          <w:rPr>
            <w:noProof/>
            <w:webHidden/>
          </w:rPr>
          <w:instrText xml:space="preserve"> PAGEREF _Toc488233492 \h </w:instrText>
        </w:r>
        <w:r w:rsidR="008965FE">
          <w:rPr>
            <w:noProof/>
            <w:webHidden/>
          </w:rPr>
        </w:r>
        <w:r w:rsidR="008965FE">
          <w:rPr>
            <w:noProof/>
            <w:webHidden/>
          </w:rPr>
          <w:fldChar w:fldCharType="separate"/>
        </w:r>
        <w:r w:rsidR="00DA707D">
          <w:rPr>
            <w:noProof/>
            <w:webHidden/>
          </w:rPr>
          <w:t>86</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3" w:history="1">
        <w:r w:rsidR="001A2A22" w:rsidRPr="006A381E">
          <w:rPr>
            <w:rStyle w:val="Hypertextovodkaz"/>
            <w:rFonts w:eastAsiaTheme="majorEastAsia"/>
            <w:noProof/>
          </w:rPr>
          <w:t>Tabulka 8.16: Počet účastníků konferencí v krajích v letech 2006 – 2015</w:t>
        </w:r>
        <w:r w:rsidR="001A2A22">
          <w:rPr>
            <w:noProof/>
            <w:webHidden/>
          </w:rPr>
          <w:tab/>
        </w:r>
        <w:r w:rsidR="008965FE">
          <w:rPr>
            <w:noProof/>
            <w:webHidden/>
          </w:rPr>
          <w:fldChar w:fldCharType="begin"/>
        </w:r>
        <w:r w:rsidR="001A2A22">
          <w:rPr>
            <w:noProof/>
            <w:webHidden/>
          </w:rPr>
          <w:instrText xml:space="preserve"> PAGEREF _Toc488233493 \h </w:instrText>
        </w:r>
        <w:r w:rsidR="008965FE">
          <w:rPr>
            <w:noProof/>
            <w:webHidden/>
          </w:rPr>
        </w:r>
        <w:r w:rsidR="008965FE">
          <w:rPr>
            <w:noProof/>
            <w:webHidden/>
          </w:rPr>
          <w:fldChar w:fldCharType="separate"/>
        </w:r>
        <w:r w:rsidR="00DA707D">
          <w:rPr>
            <w:noProof/>
            <w:webHidden/>
          </w:rPr>
          <w:t>87</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4" w:history="1">
        <w:r w:rsidR="001A2A22" w:rsidRPr="006A381E">
          <w:rPr>
            <w:rStyle w:val="Hypertextovodkaz"/>
            <w:rFonts w:eastAsiaTheme="majorEastAsia"/>
            <w:noProof/>
          </w:rPr>
          <w:t>Tabulka 9.1: Míra ekonomické aktivity, míra zaměstnanosti a míra nezaměstnanosti podle krajů v roce 2014 (v %)</w:t>
        </w:r>
        <w:r w:rsidR="001A2A22">
          <w:rPr>
            <w:noProof/>
            <w:webHidden/>
          </w:rPr>
          <w:tab/>
        </w:r>
        <w:r w:rsidR="008965FE">
          <w:rPr>
            <w:noProof/>
            <w:webHidden/>
          </w:rPr>
          <w:fldChar w:fldCharType="begin"/>
        </w:r>
        <w:r w:rsidR="001A2A22">
          <w:rPr>
            <w:noProof/>
            <w:webHidden/>
          </w:rPr>
          <w:instrText xml:space="preserve"> PAGEREF _Toc488233494 \h </w:instrText>
        </w:r>
        <w:r w:rsidR="008965FE">
          <w:rPr>
            <w:noProof/>
            <w:webHidden/>
          </w:rPr>
        </w:r>
        <w:r w:rsidR="008965FE">
          <w:rPr>
            <w:noProof/>
            <w:webHidden/>
          </w:rPr>
          <w:fldChar w:fldCharType="separate"/>
        </w:r>
        <w:r w:rsidR="00DA707D">
          <w:rPr>
            <w:noProof/>
            <w:webHidden/>
          </w:rPr>
          <w:t>94</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5" w:history="1">
        <w:r w:rsidR="001A2A22" w:rsidRPr="006A381E">
          <w:rPr>
            <w:rStyle w:val="Hypertextovodkaz"/>
            <w:rFonts w:eastAsiaTheme="majorEastAsia"/>
            <w:noProof/>
          </w:rPr>
          <w:t>Tabulka 9.2: Podíl z</w:t>
        </w:r>
        <w:r w:rsidR="001A2A22" w:rsidRPr="006A381E">
          <w:rPr>
            <w:rStyle w:val="Hypertextovodkaz"/>
            <w:rFonts w:ascii="Tahoma" w:eastAsiaTheme="majorEastAsia" w:hAnsi="Tahoma" w:cs="Tahoma"/>
            <w:noProof/>
          </w:rPr>
          <w:t>aměstnaných v NH podle postavení v zaměstnání v roce 2015 (v %)</w:t>
        </w:r>
        <w:r w:rsidR="001A2A22">
          <w:rPr>
            <w:noProof/>
            <w:webHidden/>
          </w:rPr>
          <w:tab/>
        </w:r>
        <w:r w:rsidR="008965FE">
          <w:rPr>
            <w:noProof/>
            <w:webHidden/>
          </w:rPr>
          <w:fldChar w:fldCharType="begin"/>
        </w:r>
        <w:r w:rsidR="001A2A22">
          <w:rPr>
            <w:noProof/>
            <w:webHidden/>
          </w:rPr>
          <w:instrText xml:space="preserve"> PAGEREF _Toc488233495 \h </w:instrText>
        </w:r>
        <w:r w:rsidR="008965FE">
          <w:rPr>
            <w:noProof/>
            <w:webHidden/>
          </w:rPr>
        </w:r>
        <w:r w:rsidR="008965FE">
          <w:rPr>
            <w:noProof/>
            <w:webHidden/>
          </w:rPr>
          <w:fldChar w:fldCharType="separate"/>
        </w:r>
        <w:r w:rsidR="00DA707D">
          <w:rPr>
            <w:noProof/>
            <w:webHidden/>
          </w:rPr>
          <w:t>95</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6" w:history="1">
        <w:r w:rsidR="001A2A22" w:rsidRPr="006A381E">
          <w:rPr>
            <w:rStyle w:val="Hypertextovodkaz"/>
            <w:rFonts w:eastAsiaTheme="majorEastAsia"/>
            <w:noProof/>
          </w:rPr>
          <w:t>Tabulka 9.3: Vývoj obecné míry nezaměstnanosti v krajích v letech 2004 - 2015 (v %)</w:t>
        </w:r>
        <w:r w:rsidR="001A2A22">
          <w:rPr>
            <w:noProof/>
            <w:webHidden/>
          </w:rPr>
          <w:tab/>
        </w:r>
        <w:r w:rsidR="008965FE">
          <w:rPr>
            <w:noProof/>
            <w:webHidden/>
          </w:rPr>
          <w:fldChar w:fldCharType="begin"/>
        </w:r>
        <w:r w:rsidR="001A2A22">
          <w:rPr>
            <w:noProof/>
            <w:webHidden/>
          </w:rPr>
          <w:instrText xml:space="preserve"> PAGEREF _Toc488233496 \h </w:instrText>
        </w:r>
        <w:r w:rsidR="008965FE">
          <w:rPr>
            <w:noProof/>
            <w:webHidden/>
          </w:rPr>
        </w:r>
        <w:r w:rsidR="008965FE">
          <w:rPr>
            <w:noProof/>
            <w:webHidden/>
          </w:rPr>
          <w:fldChar w:fldCharType="separate"/>
        </w:r>
        <w:r w:rsidR="00DA707D">
          <w:rPr>
            <w:noProof/>
            <w:webHidden/>
          </w:rPr>
          <w:t>97</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7" w:history="1">
        <w:r w:rsidR="001A2A22" w:rsidRPr="006A381E">
          <w:rPr>
            <w:rStyle w:val="Hypertextovodkaz"/>
            <w:rFonts w:eastAsiaTheme="majorEastAsia"/>
            <w:noProof/>
          </w:rPr>
          <w:t>Tabulka 9.4: Statistika nezaměstnanosti v obcích KK (stav v září 2016)</w:t>
        </w:r>
        <w:r w:rsidR="001A2A22">
          <w:rPr>
            <w:noProof/>
            <w:webHidden/>
          </w:rPr>
          <w:tab/>
        </w:r>
        <w:r w:rsidR="008965FE">
          <w:rPr>
            <w:noProof/>
            <w:webHidden/>
          </w:rPr>
          <w:fldChar w:fldCharType="begin"/>
        </w:r>
        <w:r w:rsidR="001A2A22">
          <w:rPr>
            <w:noProof/>
            <w:webHidden/>
          </w:rPr>
          <w:instrText xml:space="preserve"> PAGEREF _Toc488233497 \h </w:instrText>
        </w:r>
        <w:r w:rsidR="008965FE">
          <w:rPr>
            <w:noProof/>
            <w:webHidden/>
          </w:rPr>
        </w:r>
        <w:r w:rsidR="008965FE">
          <w:rPr>
            <w:noProof/>
            <w:webHidden/>
          </w:rPr>
          <w:fldChar w:fldCharType="separate"/>
        </w:r>
        <w:r w:rsidR="00DA707D">
          <w:rPr>
            <w:noProof/>
            <w:webHidden/>
          </w:rPr>
          <w:t>99</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8" w:history="1">
        <w:r w:rsidR="001A2A22" w:rsidRPr="006A381E">
          <w:rPr>
            <w:rStyle w:val="Hypertextovodkaz"/>
            <w:rFonts w:eastAsiaTheme="majorEastAsia"/>
            <w:noProof/>
          </w:rPr>
          <w:t>Tabulka 10.1: Stav a pohyb obyvatelstva v 1. pololetí 2016 podle regionů (relativní údaje na 1 000 obyvatel)</w:t>
        </w:r>
        <w:r w:rsidR="001A2A22">
          <w:rPr>
            <w:noProof/>
            <w:webHidden/>
          </w:rPr>
          <w:tab/>
        </w:r>
        <w:r w:rsidR="008965FE">
          <w:rPr>
            <w:noProof/>
            <w:webHidden/>
          </w:rPr>
          <w:fldChar w:fldCharType="begin"/>
        </w:r>
        <w:r w:rsidR="001A2A22">
          <w:rPr>
            <w:noProof/>
            <w:webHidden/>
          </w:rPr>
          <w:instrText xml:space="preserve"> PAGEREF _Toc488233498 \h </w:instrText>
        </w:r>
        <w:r w:rsidR="008965FE">
          <w:rPr>
            <w:noProof/>
            <w:webHidden/>
          </w:rPr>
        </w:r>
        <w:r w:rsidR="008965FE">
          <w:rPr>
            <w:noProof/>
            <w:webHidden/>
          </w:rPr>
          <w:fldChar w:fldCharType="separate"/>
        </w:r>
        <w:r w:rsidR="00DA707D">
          <w:rPr>
            <w:noProof/>
            <w:webHidden/>
          </w:rPr>
          <w:t>107</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499" w:history="1">
        <w:r w:rsidR="001A2A22" w:rsidRPr="006A381E">
          <w:rPr>
            <w:rStyle w:val="Hypertextovodkaz"/>
            <w:rFonts w:eastAsiaTheme="majorEastAsia"/>
            <w:noProof/>
          </w:rPr>
          <w:t>Tabulka 10.2: Složení obyvatelstva krajů v roce 2015 podle věku, index stáří a index ekonomického zatížení</w:t>
        </w:r>
        <w:r w:rsidR="001A2A22">
          <w:rPr>
            <w:noProof/>
            <w:webHidden/>
          </w:rPr>
          <w:tab/>
        </w:r>
        <w:r w:rsidR="008965FE">
          <w:rPr>
            <w:noProof/>
            <w:webHidden/>
          </w:rPr>
          <w:fldChar w:fldCharType="begin"/>
        </w:r>
        <w:r w:rsidR="001A2A22">
          <w:rPr>
            <w:noProof/>
            <w:webHidden/>
          </w:rPr>
          <w:instrText xml:space="preserve"> PAGEREF _Toc488233499 \h </w:instrText>
        </w:r>
        <w:r w:rsidR="008965FE">
          <w:rPr>
            <w:noProof/>
            <w:webHidden/>
          </w:rPr>
        </w:r>
        <w:r w:rsidR="008965FE">
          <w:rPr>
            <w:noProof/>
            <w:webHidden/>
          </w:rPr>
          <w:fldChar w:fldCharType="separate"/>
        </w:r>
        <w:r w:rsidR="00DA707D">
          <w:rPr>
            <w:noProof/>
            <w:webHidden/>
          </w:rPr>
          <w:t>111</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0" w:history="1">
        <w:r w:rsidR="001A2A22" w:rsidRPr="006A381E">
          <w:rPr>
            <w:rStyle w:val="Hypertextovodkaz"/>
            <w:rFonts w:eastAsiaTheme="majorEastAsia"/>
            <w:noProof/>
          </w:rPr>
          <w:t>Tabulka 11.1: Srovnání krajů dle vzdělanostní struktury populace v roce 2015 (podíl v %)</w:t>
        </w:r>
        <w:r w:rsidR="001A2A22">
          <w:rPr>
            <w:noProof/>
            <w:webHidden/>
          </w:rPr>
          <w:tab/>
        </w:r>
        <w:r w:rsidR="008965FE">
          <w:rPr>
            <w:noProof/>
            <w:webHidden/>
          </w:rPr>
          <w:fldChar w:fldCharType="begin"/>
        </w:r>
        <w:r w:rsidR="001A2A22">
          <w:rPr>
            <w:noProof/>
            <w:webHidden/>
          </w:rPr>
          <w:instrText xml:space="preserve"> PAGEREF _Toc488233500 \h </w:instrText>
        </w:r>
        <w:r w:rsidR="008965FE">
          <w:rPr>
            <w:noProof/>
            <w:webHidden/>
          </w:rPr>
        </w:r>
        <w:r w:rsidR="008965FE">
          <w:rPr>
            <w:noProof/>
            <w:webHidden/>
          </w:rPr>
          <w:fldChar w:fldCharType="separate"/>
        </w:r>
        <w:r w:rsidR="00DA707D">
          <w:rPr>
            <w:noProof/>
            <w:webHidden/>
          </w:rPr>
          <w:t>116</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1" w:history="1">
        <w:r w:rsidR="001A2A22" w:rsidRPr="006A381E">
          <w:rPr>
            <w:rStyle w:val="Hypertextovodkaz"/>
            <w:rFonts w:eastAsiaTheme="majorEastAsia"/>
            <w:noProof/>
          </w:rPr>
          <w:t>Tabulka 11.2: Střední školy v Karlovarském kraji – žáci (stav k 30. 9. 2015)</w:t>
        </w:r>
        <w:r w:rsidR="001A2A22">
          <w:rPr>
            <w:noProof/>
            <w:webHidden/>
          </w:rPr>
          <w:tab/>
        </w:r>
        <w:r w:rsidR="008965FE">
          <w:rPr>
            <w:noProof/>
            <w:webHidden/>
          </w:rPr>
          <w:fldChar w:fldCharType="begin"/>
        </w:r>
        <w:r w:rsidR="001A2A22">
          <w:rPr>
            <w:noProof/>
            <w:webHidden/>
          </w:rPr>
          <w:instrText xml:space="preserve"> PAGEREF _Toc488233501 \h </w:instrText>
        </w:r>
        <w:r w:rsidR="008965FE">
          <w:rPr>
            <w:noProof/>
            <w:webHidden/>
          </w:rPr>
        </w:r>
        <w:r w:rsidR="008965FE">
          <w:rPr>
            <w:noProof/>
            <w:webHidden/>
          </w:rPr>
          <w:fldChar w:fldCharType="separate"/>
        </w:r>
        <w:r w:rsidR="00DA707D">
          <w:rPr>
            <w:noProof/>
            <w:webHidden/>
          </w:rPr>
          <w:t>119</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2" w:history="1">
        <w:r w:rsidR="001A2A22" w:rsidRPr="006A381E">
          <w:rPr>
            <w:rStyle w:val="Hypertextovodkaz"/>
            <w:rFonts w:eastAsiaTheme="majorEastAsia"/>
            <w:noProof/>
          </w:rPr>
          <w:t>Tabulka 11.3: Míra nezaměstnanosti čerstvých absolventů v letech 2013 – 2015 (v %)</w:t>
        </w:r>
        <w:r w:rsidR="001A2A22">
          <w:rPr>
            <w:noProof/>
            <w:webHidden/>
          </w:rPr>
          <w:tab/>
        </w:r>
        <w:r w:rsidR="008965FE">
          <w:rPr>
            <w:noProof/>
            <w:webHidden/>
          </w:rPr>
          <w:fldChar w:fldCharType="begin"/>
        </w:r>
        <w:r w:rsidR="001A2A22">
          <w:rPr>
            <w:noProof/>
            <w:webHidden/>
          </w:rPr>
          <w:instrText xml:space="preserve"> PAGEREF _Toc488233502 \h </w:instrText>
        </w:r>
        <w:r w:rsidR="008965FE">
          <w:rPr>
            <w:noProof/>
            <w:webHidden/>
          </w:rPr>
        </w:r>
        <w:r w:rsidR="008965FE">
          <w:rPr>
            <w:noProof/>
            <w:webHidden/>
          </w:rPr>
          <w:fldChar w:fldCharType="separate"/>
        </w:r>
        <w:r w:rsidR="00DA707D">
          <w:rPr>
            <w:noProof/>
            <w:webHidden/>
          </w:rPr>
          <w:t>120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3" w:history="1">
        <w:r w:rsidR="001A2A22" w:rsidRPr="006A381E">
          <w:rPr>
            <w:rStyle w:val="Hypertextovodkaz"/>
            <w:rFonts w:eastAsiaTheme="majorEastAsia"/>
            <w:noProof/>
          </w:rPr>
          <w:t>Tabulka 11.4: Porovnání oborové struktury zaměstnanosti a středního odborného vzdělávání v Karlovarském kraji v roce 2015</w:t>
        </w:r>
        <w:r w:rsidR="001A2A22">
          <w:rPr>
            <w:noProof/>
            <w:webHidden/>
          </w:rPr>
          <w:tab/>
        </w:r>
        <w:r w:rsidR="008965FE">
          <w:rPr>
            <w:noProof/>
            <w:webHidden/>
          </w:rPr>
          <w:fldChar w:fldCharType="begin"/>
        </w:r>
        <w:r w:rsidR="001A2A22">
          <w:rPr>
            <w:noProof/>
            <w:webHidden/>
          </w:rPr>
          <w:instrText xml:space="preserve"> PAGEREF _Toc488233503 \h </w:instrText>
        </w:r>
        <w:r w:rsidR="008965FE">
          <w:rPr>
            <w:noProof/>
            <w:webHidden/>
          </w:rPr>
        </w:r>
        <w:r w:rsidR="008965FE">
          <w:rPr>
            <w:noProof/>
            <w:webHidden/>
          </w:rPr>
          <w:fldChar w:fldCharType="separate"/>
        </w:r>
        <w:r w:rsidR="00DA707D">
          <w:rPr>
            <w:noProof/>
            <w:webHidden/>
          </w:rPr>
          <w:t>122</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4" w:history="1">
        <w:r w:rsidR="001A2A22" w:rsidRPr="006A381E">
          <w:rPr>
            <w:rStyle w:val="Hypertextovodkaz"/>
            <w:rFonts w:eastAsiaTheme="majorEastAsia"/>
            <w:noProof/>
          </w:rPr>
          <w:t>Tabulka 11.5: Kurzy organizované středními školami v KK ve školním roce 2014/2015</w:t>
        </w:r>
        <w:r w:rsidR="001A2A22">
          <w:rPr>
            <w:noProof/>
            <w:webHidden/>
          </w:rPr>
          <w:tab/>
        </w:r>
        <w:r w:rsidR="008965FE">
          <w:rPr>
            <w:noProof/>
            <w:webHidden/>
          </w:rPr>
          <w:fldChar w:fldCharType="begin"/>
        </w:r>
        <w:r w:rsidR="001A2A22">
          <w:rPr>
            <w:noProof/>
            <w:webHidden/>
          </w:rPr>
          <w:instrText xml:space="preserve"> PAGEREF _Toc488233504 \h </w:instrText>
        </w:r>
        <w:r w:rsidR="008965FE">
          <w:rPr>
            <w:noProof/>
            <w:webHidden/>
          </w:rPr>
        </w:r>
        <w:r w:rsidR="008965FE">
          <w:rPr>
            <w:noProof/>
            <w:webHidden/>
          </w:rPr>
          <w:fldChar w:fldCharType="separate"/>
        </w:r>
        <w:r w:rsidR="00DA707D">
          <w:rPr>
            <w:noProof/>
            <w:webHidden/>
          </w:rPr>
          <w:t>125</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5" w:history="1">
        <w:r w:rsidR="001A2A22" w:rsidRPr="006A381E">
          <w:rPr>
            <w:rStyle w:val="Hypertextovodkaz"/>
            <w:rFonts w:eastAsiaTheme="majorEastAsia"/>
            <w:noProof/>
          </w:rPr>
          <w:t>Tabulka 12.1: Sociální služby poskytované ve vybraných zařízeních v KK v roce 2016</w:t>
        </w:r>
        <w:r w:rsidR="001A2A22">
          <w:rPr>
            <w:noProof/>
            <w:webHidden/>
          </w:rPr>
          <w:tab/>
        </w:r>
        <w:r w:rsidR="008965FE">
          <w:rPr>
            <w:noProof/>
            <w:webHidden/>
          </w:rPr>
          <w:fldChar w:fldCharType="begin"/>
        </w:r>
        <w:r w:rsidR="001A2A22">
          <w:rPr>
            <w:noProof/>
            <w:webHidden/>
          </w:rPr>
          <w:instrText xml:space="preserve"> PAGEREF _Toc488233505 \h </w:instrText>
        </w:r>
        <w:r w:rsidR="008965FE">
          <w:rPr>
            <w:noProof/>
            <w:webHidden/>
          </w:rPr>
        </w:r>
        <w:r w:rsidR="008965FE">
          <w:rPr>
            <w:noProof/>
            <w:webHidden/>
          </w:rPr>
          <w:fldChar w:fldCharType="separate"/>
        </w:r>
        <w:r w:rsidR="00DA707D">
          <w:rPr>
            <w:noProof/>
            <w:webHidden/>
          </w:rPr>
          <w:t>131</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6" w:history="1">
        <w:r w:rsidR="001A2A22" w:rsidRPr="006A381E">
          <w:rPr>
            <w:rStyle w:val="Hypertextovodkaz"/>
            <w:rFonts w:eastAsiaTheme="majorEastAsia"/>
            <w:noProof/>
          </w:rPr>
          <w:t>Tabulka 12.2: Podíl sociálně potřebných osob, jimž byla poskytnuta vybraná sociální služba v roce 2014</w:t>
        </w:r>
        <w:r w:rsidR="001A2A22">
          <w:rPr>
            <w:noProof/>
            <w:webHidden/>
          </w:rPr>
          <w:tab/>
        </w:r>
        <w:r w:rsidR="008965FE">
          <w:rPr>
            <w:noProof/>
            <w:webHidden/>
          </w:rPr>
          <w:fldChar w:fldCharType="begin"/>
        </w:r>
        <w:r w:rsidR="001A2A22">
          <w:rPr>
            <w:noProof/>
            <w:webHidden/>
          </w:rPr>
          <w:instrText xml:space="preserve"> PAGEREF _Toc488233506 \h </w:instrText>
        </w:r>
        <w:r w:rsidR="008965FE">
          <w:rPr>
            <w:noProof/>
            <w:webHidden/>
          </w:rPr>
        </w:r>
        <w:r w:rsidR="008965FE">
          <w:rPr>
            <w:noProof/>
            <w:webHidden/>
          </w:rPr>
          <w:fldChar w:fldCharType="separate"/>
        </w:r>
        <w:r w:rsidR="00DA707D">
          <w:rPr>
            <w:noProof/>
            <w:webHidden/>
          </w:rPr>
          <w:t>133</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7" w:history="1">
        <w:r w:rsidR="001A2A22" w:rsidRPr="006A381E">
          <w:rPr>
            <w:rStyle w:val="Hypertextovodkaz"/>
            <w:rFonts w:eastAsiaTheme="majorEastAsia"/>
            <w:noProof/>
          </w:rPr>
          <w:t>Tabulka 12.3: Výdaje na vybrané sociální služby v roce 2014 v přepočtu na 1 000 obyvatel (v tis. Kč)</w:t>
        </w:r>
        <w:r w:rsidR="001A2A22">
          <w:rPr>
            <w:noProof/>
            <w:webHidden/>
          </w:rPr>
          <w:tab/>
        </w:r>
        <w:r w:rsidR="008965FE">
          <w:rPr>
            <w:noProof/>
            <w:webHidden/>
          </w:rPr>
          <w:fldChar w:fldCharType="begin"/>
        </w:r>
        <w:r w:rsidR="001A2A22">
          <w:rPr>
            <w:noProof/>
            <w:webHidden/>
          </w:rPr>
          <w:instrText xml:space="preserve"> PAGEREF _Toc488233507 \h </w:instrText>
        </w:r>
        <w:r w:rsidR="008965FE">
          <w:rPr>
            <w:noProof/>
            <w:webHidden/>
          </w:rPr>
        </w:r>
        <w:r w:rsidR="008965FE">
          <w:rPr>
            <w:noProof/>
            <w:webHidden/>
          </w:rPr>
          <w:fldChar w:fldCharType="separate"/>
        </w:r>
        <w:r w:rsidR="00DA707D">
          <w:rPr>
            <w:noProof/>
            <w:webHidden/>
          </w:rPr>
          <w:t>133</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8" w:history="1">
        <w:r w:rsidR="001A2A22" w:rsidRPr="006A381E">
          <w:rPr>
            <w:rStyle w:val="Hypertextovodkaz"/>
            <w:rFonts w:eastAsiaTheme="majorEastAsia"/>
            <w:noProof/>
          </w:rPr>
          <w:t>Tabulka 12.4: Neuspokojení žadatelé o sociální služby podle krajů (k 31. 12. 2014, v přepočtu na  1 000 obyvatel)</w:t>
        </w:r>
        <w:r w:rsidR="001A2A22">
          <w:rPr>
            <w:noProof/>
            <w:webHidden/>
          </w:rPr>
          <w:tab/>
        </w:r>
        <w:r w:rsidR="008965FE">
          <w:rPr>
            <w:noProof/>
            <w:webHidden/>
          </w:rPr>
          <w:fldChar w:fldCharType="begin"/>
        </w:r>
        <w:r w:rsidR="001A2A22">
          <w:rPr>
            <w:noProof/>
            <w:webHidden/>
          </w:rPr>
          <w:instrText xml:space="preserve"> PAGEREF _Toc488233508 \h </w:instrText>
        </w:r>
        <w:r w:rsidR="008965FE">
          <w:rPr>
            <w:noProof/>
            <w:webHidden/>
          </w:rPr>
        </w:r>
        <w:r w:rsidR="008965FE">
          <w:rPr>
            <w:noProof/>
            <w:webHidden/>
          </w:rPr>
          <w:fldChar w:fldCharType="separate"/>
        </w:r>
        <w:r w:rsidR="00DA707D">
          <w:rPr>
            <w:noProof/>
            <w:webHidden/>
          </w:rPr>
          <w:t>134</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09" w:history="1">
        <w:r w:rsidR="001A2A22" w:rsidRPr="006A381E">
          <w:rPr>
            <w:rStyle w:val="Hypertextovodkaz"/>
            <w:rFonts w:eastAsiaTheme="majorEastAsia"/>
            <w:noProof/>
          </w:rPr>
          <w:t>Tabulka 13.1: Připravované projekty v oblasti zdravotnictví v Karlovarském kraji (k  30. 6. 2016)</w:t>
        </w:r>
        <w:r w:rsidR="001A2A22">
          <w:rPr>
            <w:noProof/>
            <w:webHidden/>
          </w:rPr>
          <w:tab/>
        </w:r>
        <w:r w:rsidR="008965FE">
          <w:rPr>
            <w:noProof/>
            <w:webHidden/>
          </w:rPr>
          <w:fldChar w:fldCharType="begin"/>
        </w:r>
        <w:r w:rsidR="001A2A22">
          <w:rPr>
            <w:noProof/>
            <w:webHidden/>
          </w:rPr>
          <w:instrText xml:space="preserve"> PAGEREF _Toc488233509 \h </w:instrText>
        </w:r>
        <w:r w:rsidR="008965FE">
          <w:rPr>
            <w:noProof/>
            <w:webHidden/>
          </w:rPr>
        </w:r>
        <w:r w:rsidR="008965FE">
          <w:rPr>
            <w:noProof/>
            <w:webHidden/>
          </w:rPr>
          <w:fldChar w:fldCharType="separate"/>
        </w:r>
        <w:r w:rsidR="00DA707D">
          <w:rPr>
            <w:noProof/>
            <w:webHidden/>
          </w:rPr>
          <w:t>148</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0" w:history="1">
        <w:r w:rsidR="001A2A22" w:rsidRPr="006A381E">
          <w:rPr>
            <w:rStyle w:val="Hypertextovodkaz"/>
            <w:rFonts w:eastAsiaTheme="majorEastAsia"/>
            <w:noProof/>
          </w:rPr>
          <w:t>Tabulka 14.1: Srovnání krajů dle silničního spojení sídla kraje s okolím (stav v roce 2010)</w:t>
        </w:r>
        <w:r w:rsidR="001A2A22">
          <w:rPr>
            <w:noProof/>
            <w:webHidden/>
          </w:rPr>
          <w:tab/>
        </w:r>
        <w:r w:rsidR="008965FE">
          <w:rPr>
            <w:noProof/>
            <w:webHidden/>
          </w:rPr>
          <w:fldChar w:fldCharType="begin"/>
        </w:r>
        <w:r w:rsidR="001A2A22">
          <w:rPr>
            <w:noProof/>
            <w:webHidden/>
          </w:rPr>
          <w:instrText xml:space="preserve"> PAGEREF _Toc488233510 \h </w:instrText>
        </w:r>
        <w:r w:rsidR="008965FE">
          <w:rPr>
            <w:noProof/>
            <w:webHidden/>
          </w:rPr>
        </w:r>
        <w:r w:rsidR="008965FE">
          <w:rPr>
            <w:noProof/>
            <w:webHidden/>
          </w:rPr>
          <w:fldChar w:fldCharType="separate"/>
        </w:r>
        <w:r w:rsidR="00DA707D">
          <w:rPr>
            <w:noProof/>
            <w:webHidden/>
          </w:rPr>
          <w:t>157</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1" w:history="1">
        <w:r w:rsidR="001A2A22" w:rsidRPr="006A381E">
          <w:rPr>
            <w:rStyle w:val="Hypertextovodkaz"/>
            <w:rFonts w:eastAsiaTheme="majorEastAsia"/>
            <w:noProof/>
          </w:rPr>
          <w:t>Tabulka 16.1: Lokality se starou ekologickou zátěží s prioritou A v Karlovarském kraji (stav k 2015)</w:t>
        </w:r>
        <w:r w:rsidR="001A2A22">
          <w:rPr>
            <w:noProof/>
            <w:webHidden/>
          </w:rPr>
          <w:tab/>
        </w:r>
        <w:r w:rsidR="008965FE">
          <w:rPr>
            <w:noProof/>
            <w:webHidden/>
          </w:rPr>
          <w:fldChar w:fldCharType="begin"/>
        </w:r>
        <w:r w:rsidR="001A2A22">
          <w:rPr>
            <w:noProof/>
            <w:webHidden/>
          </w:rPr>
          <w:instrText xml:space="preserve"> PAGEREF _Toc488233511 \h </w:instrText>
        </w:r>
        <w:r w:rsidR="008965FE">
          <w:rPr>
            <w:noProof/>
            <w:webHidden/>
          </w:rPr>
        </w:r>
        <w:r w:rsidR="008965FE">
          <w:rPr>
            <w:noProof/>
            <w:webHidden/>
          </w:rPr>
          <w:fldChar w:fldCharType="separate"/>
        </w:r>
        <w:r w:rsidR="00DA707D">
          <w:rPr>
            <w:noProof/>
            <w:webHidden/>
          </w:rPr>
          <w:t>174</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2" w:history="1">
        <w:r w:rsidR="001A2A22" w:rsidRPr="006A381E">
          <w:rPr>
            <w:rStyle w:val="Hypertextovodkaz"/>
            <w:rFonts w:eastAsiaTheme="majorEastAsia"/>
            <w:noProof/>
          </w:rPr>
          <w:t>Tabulka 16.2: Produkce odpadů v Karlovarském kraji v letech 2009 – 2013 (v t)</w:t>
        </w:r>
        <w:r w:rsidR="001A2A22">
          <w:rPr>
            <w:noProof/>
            <w:webHidden/>
          </w:rPr>
          <w:tab/>
        </w:r>
        <w:r w:rsidR="008965FE">
          <w:rPr>
            <w:noProof/>
            <w:webHidden/>
          </w:rPr>
          <w:fldChar w:fldCharType="begin"/>
        </w:r>
        <w:r w:rsidR="001A2A22">
          <w:rPr>
            <w:noProof/>
            <w:webHidden/>
          </w:rPr>
          <w:instrText xml:space="preserve"> PAGEREF _Toc488233512 \h </w:instrText>
        </w:r>
        <w:r w:rsidR="008965FE">
          <w:rPr>
            <w:noProof/>
            <w:webHidden/>
          </w:rPr>
        </w:r>
        <w:r w:rsidR="008965FE">
          <w:rPr>
            <w:noProof/>
            <w:webHidden/>
          </w:rPr>
          <w:fldChar w:fldCharType="separate"/>
        </w:r>
        <w:r w:rsidR="00DA707D">
          <w:rPr>
            <w:noProof/>
            <w:webHidden/>
          </w:rPr>
          <w:t>175</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3" w:history="1">
        <w:r w:rsidR="001A2A22" w:rsidRPr="006A381E">
          <w:rPr>
            <w:rStyle w:val="Hypertextovodkaz"/>
            <w:rFonts w:eastAsiaTheme="majorEastAsia"/>
            <w:noProof/>
          </w:rPr>
          <w:t>Tabulka 16.3: Výroba elektrické energie v Karlovarském kraji v roce 2014</w:t>
        </w:r>
        <w:r w:rsidR="001A2A22">
          <w:rPr>
            <w:noProof/>
            <w:webHidden/>
          </w:rPr>
          <w:tab/>
        </w:r>
        <w:r w:rsidR="008965FE">
          <w:rPr>
            <w:noProof/>
            <w:webHidden/>
          </w:rPr>
          <w:fldChar w:fldCharType="begin"/>
        </w:r>
        <w:r w:rsidR="001A2A22">
          <w:rPr>
            <w:noProof/>
            <w:webHidden/>
          </w:rPr>
          <w:instrText xml:space="preserve"> PAGEREF _Toc488233513 \h </w:instrText>
        </w:r>
        <w:r w:rsidR="008965FE">
          <w:rPr>
            <w:noProof/>
            <w:webHidden/>
          </w:rPr>
        </w:r>
        <w:r w:rsidR="008965FE">
          <w:rPr>
            <w:noProof/>
            <w:webHidden/>
          </w:rPr>
          <w:fldChar w:fldCharType="separate"/>
        </w:r>
        <w:r w:rsidR="00DA707D">
          <w:rPr>
            <w:noProof/>
            <w:webHidden/>
          </w:rPr>
          <w:t>180</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4" w:history="1">
        <w:r w:rsidR="001A2A22" w:rsidRPr="006A381E">
          <w:rPr>
            <w:rStyle w:val="Hypertextovodkaz"/>
            <w:rFonts w:eastAsiaTheme="majorEastAsia"/>
            <w:noProof/>
          </w:rPr>
          <w:t>Tabulka 16.4: Investice na ochranu životního prostředí podle krajů v letech 2010 – 2015 (v %)</w:t>
        </w:r>
        <w:r w:rsidR="001A2A22">
          <w:rPr>
            <w:noProof/>
            <w:webHidden/>
          </w:rPr>
          <w:tab/>
        </w:r>
        <w:r w:rsidR="008965FE">
          <w:rPr>
            <w:noProof/>
            <w:webHidden/>
          </w:rPr>
          <w:fldChar w:fldCharType="begin"/>
        </w:r>
        <w:r w:rsidR="001A2A22">
          <w:rPr>
            <w:noProof/>
            <w:webHidden/>
          </w:rPr>
          <w:instrText xml:space="preserve"> PAGEREF _Toc488233514 \h </w:instrText>
        </w:r>
        <w:r w:rsidR="008965FE">
          <w:rPr>
            <w:noProof/>
            <w:webHidden/>
          </w:rPr>
        </w:r>
        <w:r w:rsidR="008965FE">
          <w:rPr>
            <w:noProof/>
            <w:webHidden/>
          </w:rPr>
          <w:fldChar w:fldCharType="separate"/>
        </w:r>
        <w:r w:rsidR="00DA707D">
          <w:rPr>
            <w:noProof/>
            <w:webHidden/>
          </w:rPr>
          <w:t>182</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5" w:history="1">
        <w:r w:rsidR="001A2A22" w:rsidRPr="006A381E">
          <w:rPr>
            <w:rStyle w:val="Hypertextovodkaz"/>
            <w:rFonts w:eastAsiaTheme="majorEastAsia"/>
            <w:noProof/>
          </w:rPr>
          <w:t>Tabulka 17.1: Přehled využití půdy v krajích ČR v roce 2014</w:t>
        </w:r>
        <w:r w:rsidR="001A2A22">
          <w:rPr>
            <w:noProof/>
            <w:webHidden/>
          </w:rPr>
          <w:tab/>
        </w:r>
        <w:r w:rsidR="008965FE">
          <w:rPr>
            <w:noProof/>
            <w:webHidden/>
          </w:rPr>
          <w:fldChar w:fldCharType="begin"/>
        </w:r>
        <w:r w:rsidR="001A2A22">
          <w:rPr>
            <w:noProof/>
            <w:webHidden/>
          </w:rPr>
          <w:instrText xml:space="preserve"> PAGEREF _Toc488233515 \h </w:instrText>
        </w:r>
        <w:r w:rsidR="008965FE">
          <w:rPr>
            <w:noProof/>
            <w:webHidden/>
          </w:rPr>
        </w:r>
        <w:r w:rsidR="008965FE">
          <w:rPr>
            <w:noProof/>
            <w:webHidden/>
          </w:rPr>
          <w:fldChar w:fldCharType="separate"/>
        </w:r>
        <w:r w:rsidR="00DA707D">
          <w:rPr>
            <w:noProof/>
            <w:webHidden/>
          </w:rPr>
          <w:t>188</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6" w:history="1">
        <w:r w:rsidR="001A2A22" w:rsidRPr="006A381E">
          <w:rPr>
            <w:rStyle w:val="Hypertextovodkaz"/>
            <w:rFonts w:eastAsiaTheme="majorEastAsia"/>
            <w:noProof/>
          </w:rPr>
          <w:t>Tabulka 17.2: Obhospodařovaná zemědělská půda podle právních forem zemědělských subjektů</w:t>
        </w:r>
        <w:r w:rsidR="001A2A22">
          <w:rPr>
            <w:noProof/>
            <w:webHidden/>
          </w:rPr>
          <w:tab/>
        </w:r>
        <w:r w:rsidR="008965FE">
          <w:rPr>
            <w:noProof/>
            <w:webHidden/>
          </w:rPr>
          <w:fldChar w:fldCharType="begin"/>
        </w:r>
        <w:r w:rsidR="001A2A22">
          <w:rPr>
            <w:noProof/>
            <w:webHidden/>
          </w:rPr>
          <w:instrText xml:space="preserve"> PAGEREF _Toc488233516 \h </w:instrText>
        </w:r>
        <w:r w:rsidR="008965FE">
          <w:rPr>
            <w:noProof/>
            <w:webHidden/>
          </w:rPr>
        </w:r>
        <w:r w:rsidR="008965FE">
          <w:rPr>
            <w:noProof/>
            <w:webHidden/>
          </w:rPr>
          <w:fldChar w:fldCharType="separate"/>
        </w:r>
        <w:r w:rsidR="00DA707D">
          <w:rPr>
            <w:noProof/>
            <w:webHidden/>
          </w:rPr>
          <w:t>188</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7" w:history="1">
        <w:r w:rsidR="001A2A22" w:rsidRPr="006A381E">
          <w:rPr>
            <w:rStyle w:val="Hypertextovodkaz"/>
            <w:rFonts w:eastAsiaTheme="majorEastAsia"/>
            <w:noProof/>
          </w:rPr>
          <w:t xml:space="preserve">Tabulka 17.3: Přehled vlastnictví lesů v Karlovarském kraji </w:t>
        </w:r>
        <w:r w:rsidR="001A2A22" w:rsidRPr="006A381E">
          <w:rPr>
            <w:rStyle w:val="Hypertextovodkaz"/>
            <w:rFonts w:cs="Arial"/>
            <w:noProof/>
          </w:rPr>
          <w:t>(stav k roku 2014)</w:t>
        </w:r>
        <w:r w:rsidR="001A2A22">
          <w:rPr>
            <w:noProof/>
            <w:webHidden/>
          </w:rPr>
          <w:tab/>
        </w:r>
        <w:r w:rsidR="008965FE">
          <w:rPr>
            <w:noProof/>
            <w:webHidden/>
          </w:rPr>
          <w:fldChar w:fldCharType="begin"/>
        </w:r>
        <w:r w:rsidR="001A2A22">
          <w:rPr>
            <w:noProof/>
            <w:webHidden/>
          </w:rPr>
          <w:instrText xml:space="preserve"> PAGEREF _Toc488233517 \h </w:instrText>
        </w:r>
        <w:r w:rsidR="008965FE">
          <w:rPr>
            <w:noProof/>
            <w:webHidden/>
          </w:rPr>
        </w:r>
        <w:r w:rsidR="008965FE">
          <w:rPr>
            <w:noProof/>
            <w:webHidden/>
          </w:rPr>
          <w:fldChar w:fldCharType="separate"/>
        </w:r>
        <w:r w:rsidR="00DA707D">
          <w:rPr>
            <w:noProof/>
            <w:webHidden/>
          </w:rPr>
          <w:t>192</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8" w:history="1">
        <w:r w:rsidR="001A2A22" w:rsidRPr="006A381E">
          <w:rPr>
            <w:rStyle w:val="Hypertextovodkaz"/>
            <w:rFonts w:eastAsiaTheme="majorEastAsia"/>
            <w:noProof/>
          </w:rPr>
          <w:t>Tabulka 18.1: Demografická charakteristika správních obvodů ORP KK (k 31. 12. 2015)</w:t>
        </w:r>
        <w:r w:rsidR="001A2A22">
          <w:rPr>
            <w:noProof/>
            <w:webHidden/>
          </w:rPr>
          <w:tab/>
        </w:r>
        <w:r w:rsidR="008965FE">
          <w:rPr>
            <w:noProof/>
            <w:webHidden/>
          </w:rPr>
          <w:fldChar w:fldCharType="begin"/>
        </w:r>
        <w:r w:rsidR="001A2A22">
          <w:rPr>
            <w:noProof/>
            <w:webHidden/>
          </w:rPr>
          <w:instrText xml:space="preserve"> PAGEREF _Toc488233518 \h </w:instrText>
        </w:r>
        <w:r w:rsidR="008965FE">
          <w:rPr>
            <w:noProof/>
            <w:webHidden/>
          </w:rPr>
        </w:r>
        <w:r w:rsidR="008965FE">
          <w:rPr>
            <w:noProof/>
            <w:webHidden/>
          </w:rPr>
          <w:fldChar w:fldCharType="separate"/>
        </w:r>
        <w:r w:rsidR="00DA707D">
          <w:rPr>
            <w:noProof/>
            <w:webHidden/>
          </w:rPr>
          <w:t>195</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19" w:history="1">
        <w:r w:rsidR="001A2A22" w:rsidRPr="006A381E">
          <w:rPr>
            <w:rStyle w:val="Hypertextovodkaz"/>
            <w:rFonts w:eastAsiaTheme="majorEastAsia"/>
            <w:noProof/>
          </w:rPr>
          <w:t>Tabulka 18.2: Socio-ekonomická charakteristika správních obvodů ORP Karlovarského kraje</w:t>
        </w:r>
        <w:r w:rsidR="001A2A22">
          <w:rPr>
            <w:noProof/>
            <w:webHidden/>
          </w:rPr>
          <w:tab/>
        </w:r>
        <w:r w:rsidR="008965FE">
          <w:rPr>
            <w:noProof/>
            <w:webHidden/>
          </w:rPr>
          <w:fldChar w:fldCharType="begin"/>
        </w:r>
        <w:r w:rsidR="001A2A22">
          <w:rPr>
            <w:noProof/>
            <w:webHidden/>
          </w:rPr>
          <w:instrText xml:space="preserve"> PAGEREF _Toc488233519 \h </w:instrText>
        </w:r>
        <w:r w:rsidR="008965FE">
          <w:rPr>
            <w:noProof/>
            <w:webHidden/>
          </w:rPr>
        </w:r>
        <w:r w:rsidR="008965FE">
          <w:rPr>
            <w:noProof/>
            <w:webHidden/>
          </w:rPr>
          <w:fldChar w:fldCharType="separate"/>
        </w:r>
        <w:r w:rsidR="00DA707D">
          <w:rPr>
            <w:noProof/>
            <w:webHidden/>
          </w:rPr>
          <w:t>196</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20" w:history="1">
        <w:r w:rsidR="001A2A22" w:rsidRPr="006A381E">
          <w:rPr>
            <w:rStyle w:val="Hypertextovodkaz"/>
            <w:rFonts w:eastAsiaTheme="majorEastAsia"/>
            <w:noProof/>
          </w:rPr>
          <w:t>Tabulka 20.1: Základní charakteristika KK a sousedních německých regionů (stav k 31. 12. 2015)</w:t>
        </w:r>
        <w:r w:rsidR="001A2A22">
          <w:rPr>
            <w:noProof/>
            <w:webHidden/>
          </w:rPr>
          <w:tab/>
        </w:r>
        <w:r w:rsidR="008965FE">
          <w:rPr>
            <w:noProof/>
            <w:webHidden/>
          </w:rPr>
          <w:fldChar w:fldCharType="begin"/>
        </w:r>
        <w:r w:rsidR="001A2A22">
          <w:rPr>
            <w:noProof/>
            <w:webHidden/>
          </w:rPr>
          <w:instrText xml:space="preserve"> PAGEREF _Toc488233520 \h </w:instrText>
        </w:r>
        <w:r w:rsidR="008965FE">
          <w:rPr>
            <w:noProof/>
            <w:webHidden/>
          </w:rPr>
        </w:r>
        <w:r w:rsidR="008965FE">
          <w:rPr>
            <w:noProof/>
            <w:webHidden/>
          </w:rPr>
          <w:fldChar w:fldCharType="separate"/>
        </w:r>
        <w:r w:rsidR="00DA707D">
          <w:rPr>
            <w:noProof/>
            <w:webHidden/>
          </w:rPr>
          <w:t>206</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21" w:history="1">
        <w:r w:rsidR="001A2A22" w:rsidRPr="006A381E">
          <w:rPr>
            <w:rStyle w:val="Hypertextovodkaz"/>
            <w:rFonts w:eastAsiaTheme="majorEastAsia"/>
            <w:noProof/>
          </w:rPr>
          <w:t>Tabulka 20.2: Makroekonomické ukazatele KK a sousedních německých regionů</w:t>
        </w:r>
        <w:r w:rsidR="001A2A22">
          <w:rPr>
            <w:noProof/>
            <w:webHidden/>
          </w:rPr>
          <w:tab/>
        </w:r>
        <w:r w:rsidR="008965FE">
          <w:rPr>
            <w:noProof/>
            <w:webHidden/>
          </w:rPr>
          <w:fldChar w:fldCharType="begin"/>
        </w:r>
        <w:r w:rsidR="001A2A22">
          <w:rPr>
            <w:noProof/>
            <w:webHidden/>
          </w:rPr>
          <w:instrText xml:space="preserve"> PAGEREF _Toc488233521 \h </w:instrText>
        </w:r>
        <w:r w:rsidR="008965FE">
          <w:rPr>
            <w:noProof/>
            <w:webHidden/>
          </w:rPr>
        </w:r>
        <w:r w:rsidR="008965FE">
          <w:rPr>
            <w:noProof/>
            <w:webHidden/>
          </w:rPr>
          <w:fldChar w:fldCharType="separate"/>
        </w:r>
        <w:r w:rsidR="00DA707D">
          <w:rPr>
            <w:noProof/>
            <w:webHidden/>
          </w:rPr>
          <w:t>207</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22" w:history="1">
        <w:r w:rsidR="001A2A22" w:rsidRPr="006A381E">
          <w:rPr>
            <w:rStyle w:val="Hypertextovodkaz"/>
            <w:rFonts w:eastAsiaTheme="majorEastAsia"/>
            <w:noProof/>
          </w:rPr>
          <w:t>Tabulka 21.1: Přehled jednotek sboru dobrovolných hasičů obcí kategorii JPO II v KK</w:t>
        </w:r>
        <w:r w:rsidR="001A2A22">
          <w:rPr>
            <w:noProof/>
            <w:webHidden/>
          </w:rPr>
          <w:tab/>
        </w:r>
        <w:r w:rsidR="008965FE">
          <w:rPr>
            <w:noProof/>
            <w:webHidden/>
          </w:rPr>
          <w:fldChar w:fldCharType="begin"/>
        </w:r>
        <w:r w:rsidR="001A2A22">
          <w:rPr>
            <w:noProof/>
            <w:webHidden/>
          </w:rPr>
          <w:instrText xml:space="preserve"> PAGEREF _Toc488233522 \h </w:instrText>
        </w:r>
        <w:r w:rsidR="008965FE">
          <w:rPr>
            <w:noProof/>
            <w:webHidden/>
          </w:rPr>
        </w:r>
        <w:r w:rsidR="008965FE">
          <w:rPr>
            <w:noProof/>
            <w:webHidden/>
          </w:rPr>
          <w:fldChar w:fldCharType="separate"/>
        </w:r>
        <w:r w:rsidR="00DA707D">
          <w:rPr>
            <w:noProof/>
            <w:webHidden/>
          </w:rPr>
          <w:t>212</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23" w:history="1">
        <w:r w:rsidR="001A2A22" w:rsidRPr="006A381E">
          <w:rPr>
            <w:rStyle w:val="Hypertextovodkaz"/>
            <w:rFonts w:eastAsiaTheme="majorEastAsia"/>
            <w:noProof/>
          </w:rPr>
          <w:t>Tabulka 21.2: Přehled jednotek sboru dobrovolných hasičů obcí kategorii JPO III v KK</w:t>
        </w:r>
        <w:r w:rsidR="001A2A22">
          <w:rPr>
            <w:noProof/>
            <w:webHidden/>
          </w:rPr>
          <w:tab/>
        </w:r>
        <w:r w:rsidR="008965FE">
          <w:rPr>
            <w:noProof/>
            <w:webHidden/>
          </w:rPr>
          <w:fldChar w:fldCharType="begin"/>
        </w:r>
        <w:r w:rsidR="001A2A22">
          <w:rPr>
            <w:noProof/>
            <w:webHidden/>
          </w:rPr>
          <w:instrText xml:space="preserve"> PAGEREF _Toc488233523 \h </w:instrText>
        </w:r>
        <w:r w:rsidR="008965FE">
          <w:rPr>
            <w:noProof/>
            <w:webHidden/>
          </w:rPr>
        </w:r>
        <w:r w:rsidR="008965FE">
          <w:rPr>
            <w:noProof/>
            <w:webHidden/>
          </w:rPr>
          <w:fldChar w:fldCharType="separate"/>
        </w:r>
        <w:r w:rsidR="00DA707D">
          <w:rPr>
            <w:noProof/>
            <w:webHidden/>
          </w:rPr>
          <w:t>212</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24" w:history="1">
        <w:r w:rsidR="001A2A22" w:rsidRPr="006A381E">
          <w:rPr>
            <w:rStyle w:val="Hypertextovodkaz"/>
            <w:rFonts w:eastAsiaTheme="majorEastAsia"/>
            <w:noProof/>
          </w:rPr>
          <w:t>Tabulka 21.3: Události na území KK podle typu události v roce 2015</w:t>
        </w:r>
        <w:r w:rsidR="001A2A22">
          <w:rPr>
            <w:noProof/>
            <w:webHidden/>
          </w:rPr>
          <w:tab/>
        </w:r>
        <w:r w:rsidR="008965FE">
          <w:rPr>
            <w:noProof/>
            <w:webHidden/>
          </w:rPr>
          <w:fldChar w:fldCharType="begin"/>
        </w:r>
        <w:r w:rsidR="001A2A22">
          <w:rPr>
            <w:noProof/>
            <w:webHidden/>
          </w:rPr>
          <w:instrText xml:space="preserve"> PAGEREF _Toc488233524 \h </w:instrText>
        </w:r>
        <w:r w:rsidR="008965FE">
          <w:rPr>
            <w:noProof/>
            <w:webHidden/>
          </w:rPr>
        </w:r>
        <w:r w:rsidR="008965FE">
          <w:rPr>
            <w:noProof/>
            <w:webHidden/>
          </w:rPr>
          <w:fldChar w:fldCharType="separate"/>
        </w:r>
        <w:r w:rsidR="00DA707D">
          <w:rPr>
            <w:noProof/>
            <w:webHidden/>
          </w:rPr>
          <w:t>213</w:t>
        </w:r>
        <w:r w:rsidR="008965FE">
          <w:rPr>
            <w:noProof/>
            <w:webHidden/>
          </w:rPr>
          <w:fldChar w:fldCharType="end"/>
        </w:r>
      </w:hyperlink>
    </w:p>
    <w:p w:rsidR="001A2A22" w:rsidRDefault="00D05E50">
      <w:pPr>
        <w:pStyle w:val="Seznamobrzk"/>
        <w:tabs>
          <w:tab w:val="right" w:leader="dot" w:pos="9062"/>
        </w:tabs>
        <w:rPr>
          <w:rFonts w:asciiTheme="minorHAnsi" w:eastAsiaTheme="minorEastAsia" w:hAnsiTheme="minorHAnsi" w:cstheme="minorBidi"/>
          <w:noProof/>
        </w:rPr>
      </w:pPr>
      <w:hyperlink w:anchor="_Toc488233525" w:history="1">
        <w:r w:rsidR="001A2A22" w:rsidRPr="006A381E">
          <w:rPr>
            <w:rStyle w:val="Hypertextovodkaz"/>
            <w:rFonts w:eastAsiaTheme="majorEastAsia"/>
            <w:noProof/>
          </w:rPr>
          <w:t>Tabulka 21.4: Statistika nehod v letech 2014 a 2015</w:t>
        </w:r>
        <w:r w:rsidR="001A2A22">
          <w:rPr>
            <w:noProof/>
            <w:webHidden/>
          </w:rPr>
          <w:tab/>
        </w:r>
        <w:r w:rsidR="008965FE">
          <w:rPr>
            <w:noProof/>
            <w:webHidden/>
          </w:rPr>
          <w:fldChar w:fldCharType="begin"/>
        </w:r>
        <w:r w:rsidR="001A2A22">
          <w:rPr>
            <w:noProof/>
            <w:webHidden/>
          </w:rPr>
          <w:instrText xml:space="preserve"> PAGEREF _Toc488233525 \h </w:instrText>
        </w:r>
        <w:r w:rsidR="008965FE">
          <w:rPr>
            <w:noProof/>
            <w:webHidden/>
          </w:rPr>
        </w:r>
        <w:r w:rsidR="008965FE">
          <w:rPr>
            <w:noProof/>
            <w:webHidden/>
          </w:rPr>
          <w:fldChar w:fldCharType="separate"/>
        </w:r>
        <w:r w:rsidR="00DA707D">
          <w:rPr>
            <w:noProof/>
            <w:webHidden/>
          </w:rPr>
          <w:t>214</w:t>
        </w:r>
        <w:r w:rsidR="008965FE">
          <w:rPr>
            <w:noProof/>
            <w:webHidden/>
          </w:rPr>
          <w:fldChar w:fldCharType="end"/>
        </w:r>
      </w:hyperlink>
    </w:p>
    <w:p w:rsidR="00DA3F4B" w:rsidRPr="00DA3F4B" w:rsidRDefault="008965FE" w:rsidP="00EB551E">
      <w:pPr>
        <w:rPr>
          <w:lang w:eastAsia="en-US"/>
        </w:rPr>
      </w:pPr>
      <w:r w:rsidRPr="00DA3F4B">
        <w:rPr>
          <w:lang w:eastAsia="en-US"/>
        </w:rPr>
        <w:fldChar w:fldCharType="end"/>
      </w:r>
    </w:p>
    <w:p w:rsidR="00DA3F4B" w:rsidRPr="00DA3F4B" w:rsidRDefault="00DA3F4B" w:rsidP="00DA3F4B">
      <w:pPr>
        <w:spacing w:after="160" w:line="240" w:lineRule="auto"/>
        <w:rPr>
          <w:rFonts w:eastAsiaTheme="majorEastAsia" w:cstheme="majorBidi"/>
          <w:b/>
          <w:sz w:val="24"/>
          <w:szCs w:val="26"/>
          <w:lang w:eastAsia="en-US"/>
        </w:rPr>
      </w:pPr>
      <w:r w:rsidRPr="00DA3F4B">
        <w:rPr>
          <w:lang w:eastAsia="en-US"/>
        </w:rPr>
        <w:br w:type="page"/>
      </w:r>
    </w:p>
    <w:p w:rsidR="001A2A22" w:rsidRDefault="00F813BE" w:rsidP="001A2A22">
      <w:pPr>
        <w:pStyle w:val="Nadpis2"/>
        <w:rPr>
          <w:lang w:eastAsia="en-US"/>
        </w:rPr>
      </w:pPr>
      <w:r w:rsidRPr="00DA3F4B">
        <w:rPr>
          <w:lang w:eastAsia="en-US"/>
        </w:rPr>
        <w:lastRenderedPageBreak/>
        <w:t>Grafy</w:t>
      </w:r>
    </w:p>
    <w:p w:rsidR="00FD378B" w:rsidRDefault="008965FE">
      <w:pPr>
        <w:pStyle w:val="Seznamobrzk"/>
        <w:tabs>
          <w:tab w:val="right" w:leader="dot" w:pos="9062"/>
        </w:tabs>
        <w:rPr>
          <w:rFonts w:asciiTheme="minorHAnsi" w:eastAsiaTheme="minorEastAsia" w:hAnsiTheme="minorHAnsi" w:cstheme="minorBidi"/>
          <w:noProof/>
        </w:rPr>
      </w:pPr>
      <w:r w:rsidRPr="00DA3F4B">
        <w:rPr>
          <w:lang w:eastAsia="en-US"/>
        </w:rPr>
        <w:fldChar w:fldCharType="begin"/>
      </w:r>
      <w:r w:rsidR="00F813BE" w:rsidRPr="00DA3F4B">
        <w:rPr>
          <w:lang w:eastAsia="en-US"/>
        </w:rPr>
        <w:instrText xml:space="preserve"> TOC \c "Graf" </w:instrText>
      </w:r>
      <w:r w:rsidRPr="00DA3F4B">
        <w:rPr>
          <w:lang w:eastAsia="en-US"/>
        </w:rPr>
        <w:fldChar w:fldCharType="separate"/>
      </w:r>
      <w:r w:rsidR="00FD378B">
        <w:rPr>
          <w:noProof/>
        </w:rPr>
        <w:t>Graf 3.1: Vývoj HDP/obyvatele Karlovarského kraje a ČR v letech 2000 – 2014 (v Kč)</w:t>
      </w:r>
      <w:r w:rsidR="00FD378B">
        <w:rPr>
          <w:noProof/>
        </w:rPr>
        <w:tab/>
      </w:r>
      <w:r>
        <w:rPr>
          <w:noProof/>
        </w:rPr>
        <w:fldChar w:fldCharType="begin"/>
      </w:r>
      <w:r w:rsidR="00FD378B">
        <w:rPr>
          <w:noProof/>
        </w:rPr>
        <w:instrText xml:space="preserve"> PAGEREF _Toc488234333 \h </w:instrText>
      </w:r>
      <w:r>
        <w:rPr>
          <w:noProof/>
        </w:rPr>
      </w:r>
      <w:r>
        <w:rPr>
          <w:noProof/>
        </w:rPr>
        <w:fldChar w:fldCharType="separate"/>
      </w:r>
      <w:r w:rsidR="00536ECC">
        <w:rPr>
          <w:noProof/>
        </w:rPr>
        <w:t>16</w:t>
      </w:r>
      <w:r>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3.2: Vývoj HDP/obyvatele Karlovarského kraje v letech 2000 – 2014 (v %, ČR = 100)</w:t>
      </w:r>
      <w:r>
        <w:rPr>
          <w:noProof/>
        </w:rPr>
        <w:tab/>
      </w:r>
      <w:r w:rsidR="008965FE">
        <w:rPr>
          <w:noProof/>
        </w:rPr>
        <w:fldChar w:fldCharType="begin"/>
      </w:r>
      <w:r>
        <w:rPr>
          <w:noProof/>
        </w:rPr>
        <w:instrText xml:space="preserve"> PAGEREF _Toc488234334 \h </w:instrText>
      </w:r>
      <w:r w:rsidR="008965FE">
        <w:rPr>
          <w:noProof/>
        </w:rPr>
      </w:r>
      <w:r w:rsidR="008965FE">
        <w:rPr>
          <w:noProof/>
        </w:rPr>
        <w:fldChar w:fldCharType="separate"/>
      </w:r>
      <w:r w:rsidR="00536ECC">
        <w:rPr>
          <w:noProof/>
        </w:rPr>
        <w:t>17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3.3: Reálný roční růst HDP KK a ČR v letech 2000 - 2014 (v %, předchozí rok=100)</w:t>
      </w:r>
      <w:r>
        <w:rPr>
          <w:noProof/>
        </w:rPr>
        <w:tab/>
      </w:r>
      <w:r w:rsidR="008965FE">
        <w:rPr>
          <w:noProof/>
        </w:rPr>
        <w:fldChar w:fldCharType="begin"/>
      </w:r>
      <w:r>
        <w:rPr>
          <w:noProof/>
        </w:rPr>
        <w:instrText xml:space="preserve"> PAGEREF _Toc488234335 \h </w:instrText>
      </w:r>
      <w:r w:rsidR="008965FE">
        <w:rPr>
          <w:noProof/>
        </w:rPr>
      </w:r>
      <w:r w:rsidR="008965FE">
        <w:rPr>
          <w:noProof/>
        </w:rPr>
        <w:fldChar w:fldCharType="separate"/>
      </w:r>
      <w:r w:rsidR="00536ECC">
        <w:rPr>
          <w:noProof/>
        </w:rPr>
        <w:t>17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3.4: Vývoj produktivity práce (HPH/zaměstnanou osobu) v Karlovarském kraji a okolních krajích v letech 2005 – 2013 (ČR=100)</w:t>
      </w:r>
      <w:r>
        <w:rPr>
          <w:noProof/>
        </w:rPr>
        <w:tab/>
      </w:r>
      <w:r w:rsidR="008965FE">
        <w:rPr>
          <w:noProof/>
        </w:rPr>
        <w:fldChar w:fldCharType="begin"/>
      </w:r>
      <w:r>
        <w:rPr>
          <w:noProof/>
        </w:rPr>
        <w:instrText xml:space="preserve"> PAGEREF _Toc488234336 \h </w:instrText>
      </w:r>
      <w:r w:rsidR="008965FE">
        <w:rPr>
          <w:noProof/>
        </w:rPr>
      </w:r>
      <w:r w:rsidR="008965FE">
        <w:rPr>
          <w:noProof/>
        </w:rPr>
        <w:fldChar w:fldCharType="separate"/>
      </w:r>
      <w:r w:rsidR="00536ECC">
        <w:rPr>
          <w:noProof/>
        </w:rPr>
        <w:t>19</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3.5: Čistý disponibilní důchod domácností na obyvatele v letech 1995 a 2014 (ČR = 100 %)</w:t>
      </w:r>
      <w:r>
        <w:rPr>
          <w:noProof/>
        </w:rPr>
        <w:tab/>
      </w:r>
      <w:r w:rsidR="008965FE">
        <w:rPr>
          <w:noProof/>
        </w:rPr>
        <w:fldChar w:fldCharType="begin"/>
      </w:r>
      <w:r>
        <w:rPr>
          <w:noProof/>
        </w:rPr>
        <w:instrText xml:space="preserve"> PAGEREF _Toc488234337 \h </w:instrText>
      </w:r>
      <w:r w:rsidR="008965FE">
        <w:rPr>
          <w:noProof/>
        </w:rPr>
      </w:r>
      <w:r w:rsidR="008965FE">
        <w:rPr>
          <w:noProof/>
        </w:rPr>
        <w:fldChar w:fldCharType="separate"/>
      </w:r>
      <w:r w:rsidR="00536ECC">
        <w:rPr>
          <w:noProof/>
        </w:rPr>
        <w:t>22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3.6: Míra nezaměstnanosti ve vybraných krajích a v ČR dle VŠPS v letech 2005 – 2015 (v %)</w:t>
      </w:r>
      <w:r>
        <w:rPr>
          <w:noProof/>
        </w:rPr>
        <w:tab/>
      </w:r>
      <w:r w:rsidR="008965FE">
        <w:rPr>
          <w:noProof/>
        </w:rPr>
        <w:fldChar w:fldCharType="begin"/>
      </w:r>
      <w:r>
        <w:rPr>
          <w:noProof/>
        </w:rPr>
        <w:instrText xml:space="preserve"> PAGEREF _Toc488234338 \h </w:instrText>
      </w:r>
      <w:r w:rsidR="008965FE">
        <w:rPr>
          <w:noProof/>
        </w:rPr>
      </w:r>
      <w:r w:rsidR="008965FE">
        <w:rPr>
          <w:noProof/>
        </w:rPr>
        <w:fldChar w:fldCharType="separate"/>
      </w:r>
      <w:r w:rsidR="00536ECC">
        <w:rPr>
          <w:noProof/>
        </w:rPr>
        <w:t>23</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3.7: Obecná míra nezaměstnanosti v krajích ČR v roce 2015 (v %)</w:t>
      </w:r>
      <w:r>
        <w:rPr>
          <w:noProof/>
        </w:rPr>
        <w:tab/>
      </w:r>
      <w:r w:rsidR="008965FE">
        <w:rPr>
          <w:noProof/>
        </w:rPr>
        <w:fldChar w:fldCharType="begin"/>
      </w:r>
      <w:r>
        <w:rPr>
          <w:noProof/>
        </w:rPr>
        <w:instrText xml:space="preserve"> PAGEREF _Toc488234339 \h </w:instrText>
      </w:r>
      <w:r w:rsidR="008965FE">
        <w:rPr>
          <w:noProof/>
        </w:rPr>
      </w:r>
      <w:r w:rsidR="008965FE">
        <w:rPr>
          <w:noProof/>
        </w:rPr>
        <w:fldChar w:fldCharType="separate"/>
      </w:r>
      <w:r w:rsidR="00536ECC">
        <w:rPr>
          <w:noProof/>
        </w:rPr>
        <w:t>23</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4.1: Stav PZI na obyvatele v krajích ČR v roce 2014 (stav k 31. 12. daného roku)</w:t>
      </w:r>
      <w:r>
        <w:rPr>
          <w:noProof/>
        </w:rPr>
        <w:tab/>
      </w:r>
      <w:r w:rsidR="008965FE">
        <w:rPr>
          <w:noProof/>
        </w:rPr>
        <w:fldChar w:fldCharType="begin"/>
      </w:r>
      <w:r>
        <w:rPr>
          <w:noProof/>
        </w:rPr>
        <w:instrText xml:space="preserve"> PAGEREF _Toc488234340 \h </w:instrText>
      </w:r>
      <w:r w:rsidR="008965FE">
        <w:rPr>
          <w:noProof/>
        </w:rPr>
      </w:r>
      <w:r w:rsidR="008965FE">
        <w:rPr>
          <w:noProof/>
        </w:rPr>
        <w:fldChar w:fldCharType="separate"/>
      </w:r>
      <w:r w:rsidR="00536ECC">
        <w:rPr>
          <w:noProof/>
        </w:rPr>
        <w:t>27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4.2: Podíl vývozu v krajích na celkovém vývozu ČR v letech 2003 - 2010</w:t>
      </w:r>
      <w:r>
        <w:rPr>
          <w:noProof/>
        </w:rPr>
        <w:tab/>
      </w:r>
      <w:r w:rsidR="008965FE">
        <w:rPr>
          <w:noProof/>
        </w:rPr>
        <w:fldChar w:fldCharType="begin"/>
      </w:r>
      <w:r>
        <w:rPr>
          <w:noProof/>
        </w:rPr>
        <w:instrText xml:space="preserve"> PAGEREF _Toc488234341 \h </w:instrText>
      </w:r>
      <w:r w:rsidR="008965FE">
        <w:rPr>
          <w:noProof/>
        </w:rPr>
      </w:r>
      <w:r w:rsidR="008965FE">
        <w:rPr>
          <w:noProof/>
        </w:rPr>
        <w:fldChar w:fldCharType="separate"/>
      </w:r>
      <w:r w:rsidR="00536ECC">
        <w:rPr>
          <w:noProof/>
        </w:rPr>
        <w:t>28</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4.3: Vývoj vývozu na zaměstnanou osobu v letech 2003 – 2010</w:t>
      </w:r>
      <w:r>
        <w:rPr>
          <w:noProof/>
        </w:rPr>
        <w:tab/>
      </w:r>
      <w:r w:rsidR="008965FE">
        <w:rPr>
          <w:noProof/>
        </w:rPr>
        <w:fldChar w:fldCharType="begin"/>
      </w:r>
      <w:r>
        <w:rPr>
          <w:noProof/>
        </w:rPr>
        <w:instrText xml:space="preserve"> PAGEREF _Toc488234342 \h </w:instrText>
      </w:r>
      <w:r w:rsidR="008965FE">
        <w:rPr>
          <w:noProof/>
        </w:rPr>
      </w:r>
      <w:r w:rsidR="008965FE">
        <w:rPr>
          <w:noProof/>
        </w:rPr>
        <w:fldChar w:fldCharType="separate"/>
      </w:r>
      <w:r w:rsidR="00536ECC">
        <w:rPr>
          <w:noProof/>
        </w:rPr>
        <w:t>29</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4.4: Podíl hlavních exportních položek dle zbožových tříd SITC 3 na celkovém exportu KK v letech 2005 - 2010 (v %)</w:t>
      </w:r>
      <w:r>
        <w:rPr>
          <w:noProof/>
        </w:rPr>
        <w:tab/>
      </w:r>
      <w:r w:rsidR="008965FE">
        <w:rPr>
          <w:noProof/>
        </w:rPr>
        <w:fldChar w:fldCharType="begin"/>
      </w:r>
      <w:r>
        <w:rPr>
          <w:noProof/>
        </w:rPr>
        <w:instrText xml:space="preserve"> PAGEREF _Toc488234343 \h </w:instrText>
      </w:r>
      <w:r w:rsidR="008965FE">
        <w:rPr>
          <w:noProof/>
        </w:rPr>
      </w:r>
      <w:r w:rsidR="008965FE">
        <w:rPr>
          <w:noProof/>
        </w:rPr>
        <w:fldChar w:fldCharType="separate"/>
      </w:r>
      <w:r w:rsidR="00536ECC">
        <w:rPr>
          <w:noProof/>
        </w:rPr>
        <w:t>32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4.5: Hodnocení změn v úrovni exportu v KK mezi roky 2004 a 2010 podle tříd SITC, růst zastoupení zbožových tříd a podíl lokální složky (v %)</w:t>
      </w:r>
      <w:r>
        <w:rPr>
          <w:noProof/>
        </w:rPr>
        <w:tab/>
      </w:r>
      <w:r w:rsidR="008965FE">
        <w:rPr>
          <w:noProof/>
        </w:rPr>
        <w:fldChar w:fldCharType="begin"/>
      </w:r>
      <w:r>
        <w:rPr>
          <w:noProof/>
        </w:rPr>
        <w:instrText xml:space="preserve"> PAGEREF _Toc488234344 \h </w:instrText>
      </w:r>
      <w:r w:rsidR="008965FE">
        <w:rPr>
          <w:noProof/>
        </w:rPr>
      </w:r>
      <w:r w:rsidR="008965FE">
        <w:rPr>
          <w:noProof/>
        </w:rPr>
        <w:fldChar w:fldCharType="separate"/>
      </w:r>
      <w:r w:rsidR="00536ECC">
        <w:rPr>
          <w:noProof/>
        </w:rPr>
        <w:t>34</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5.1: Vývoj podílů ekonomických sektorů na tvorbě HPH v KK a ČR v roce 2000 a 2014</w:t>
      </w:r>
      <w:r>
        <w:rPr>
          <w:noProof/>
        </w:rPr>
        <w:tab/>
      </w:r>
      <w:r w:rsidR="008965FE">
        <w:rPr>
          <w:noProof/>
        </w:rPr>
        <w:fldChar w:fldCharType="begin"/>
      </w:r>
      <w:r>
        <w:rPr>
          <w:noProof/>
        </w:rPr>
        <w:instrText xml:space="preserve"> PAGEREF _Toc488234345 \h </w:instrText>
      </w:r>
      <w:r w:rsidR="008965FE">
        <w:rPr>
          <w:noProof/>
        </w:rPr>
      </w:r>
      <w:r w:rsidR="008965FE">
        <w:rPr>
          <w:noProof/>
        </w:rPr>
        <w:fldChar w:fldCharType="separate"/>
      </w:r>
      <w:r w:rsidR="00536ECC">
        <w:rPr>
          <w:noProof/>
        </w:rPr>
        <w:t>38</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5.2: Podíl jednotlivých odvětví hospodářství na tvorbě HPH v KK a ČR v letech 2009 a 2014</w:t>
      </w:r>
      <w:r>
        <w:rPr>
          <w:noProof/>
        </w:rPr>
        <w:tab/>
      </w:r>
      <w:r w:rsidR="008965FE">
        <w:rPr>
          <w:noProof/>
        </w:rPr>
        <w:fldChar w:fldCharType="begin"/>
      </w:r>
      <w:r>
        <w:rPr>
          <w:noProof/>
        </w:rPr>
        <w:instrText xml:space="preserve"> PAGEREF _Toc488234346 \h </w:instrText>
      </w:r>
      <w:r w:rsidR="008965FE">
        <w:rPr>
          <w:noProof/>
        </w:rPr>
      </w:r>
      <w:r w:rsidR="008965FE">
        <w:rPr>
          <w:noProof/>
        </w:rPr>
        <w:fldChar w:fldCharType="separate"/>
      </w:r>
      <w:r w:rsidR="00536ECC">
        <w:rPr>
          <w:noProof/>
        </w:rPr>
        <w:t>39</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5.3: Struktura HPH v terciéru v KK a ČR v letech 2005 a 2014</w:t>
      </w:r>
      <w:r>
        <w:rPr>
          <w:noProof/>
        </w:rPr>
        <w:tab/>
      </w:r>
      <w:r w:rsidR="008965FE">
        <w:rPr>
          <w:noProof/>
        </w:rPr>
        <w:fldChar w:fldCharType="begin"/>
      </w:r>
      <w:r>
        <w:rPr>
          <w:noProof/>
        </w:rPr>
        <w:instrText xml:space="preserve"> PAGEREF _Toc488234347 \h </w:instrText>
      </w:r>
      <w:r w:rsidR="008965FE">
        <w:rPr>
          <w:noProof/>
        </w:rPr>
      </w:r>
      <w:r w:rsidR="008965FE">
        <w:rPr>
          <w:noProof/>
        </w:rPr>
        <w:fldChar w:fldCharType="separate"/>
      </w:r>
      <w:r w:rsidR="00536ECC">
        <w:rPr>
          <w:noProof/>
        </w:rPr>
        <w:t>46</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6.1: Počet zaměstnanců ve VaV na 10 tisíc obyvatel kraje v letech 2005, 2010 a 2015</w:t>
      </w:r>
      <w:r>
        <w:rPr>
          <w:noProof/>
        </w:rPr>
        <w:tab/>
      </w:r>
      <w:r w:rsidR="008965FE">
        <w:rPr>
          <w:noProof/>
        </w:rPr>
        <w:fldChar w:fldCharType="begin"/>
      </w:r>
      <w:r>
        <w:rPr>
          <w:noProof/>
        </w:rPr>
        <w:instrText xml:space="preserve"> PAGEREF _Toc488234348 \h </w:instrText>
      </w:r>
      <w:r w:rsidR="008965FE">
        <w:rPr>
          <w:noProof/>
        </w:rPr>
      </w:r>
      <w:r w:rsidR="008965FE">
        <w:rPr>
          <w:noProof/>
        </w:rPr>
        <w:fldChar w:fldCharType="separate"/>
      </w:r>
      <w:r w:rsidR="00536ECC">
        <w:rPr>
          <w:noProof/>
        </w:rPr>
        <w:t>50</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6.2: Výdaje na oblast výzkumu a vývoje v krajích v letech 2005, 2009 a 2014 (v % HDP)</w:t>
      </w:r>
      <w:r>
        <w:rPr>
          <w:noProof/>
        </w:rPr>
        <w:tab/>
      </w:r>
      <w:r w:rsidR="008965FE">
        <w:rPr>
          <w:noProof/>
        </w:rPr>
        <w:fldChar w:fldCharType="begin"/>
      </w:r>
      <w:r>
        <w:rPr>
          <w:noProof/>
        </w:rPr>
        <w:instrText xml:space="preserve"> PAGEREF _Toc488234349 \h </w:instrText>
      </w:r>
      <w:r w:rsidR="008965FE">
        <w:rPr>
          <w:noProof/>
        </w:rPr>
      </w:r>
      <w:r w:rsidR="008965FE">
        <w:rPr>
          <w:noProof/>
        </w:rPr>
        <w:fldChar w:fldCharType="separate"/>
      </w:r>
      <w:r w:rsidR="00536ECC">
        <w:rPr>
          <w:noProof/>
        </w:rPr>
        <w:t>52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6.3: Podíl VŠ zaměstnanosti na celkové zaměstnanosti v krajích a podíl krajů na růstu VŠ zaměstnanosti v ČR v letech 2004, 2010 a 2015 (v %)</w:t>
      </w:r>
      <w:r>
        <w:rPr>
          <w:noProof/>
        </w:rPr>
        <w:tab/>
      </w:r>
      <w:r w:rsidR="008965FE">
        <w:rPr>
          <w:noProof/>
        </w:rPr>
        <w:fldChar w:fldCharType="begin"/>
      </w:r>
      <w:r>
        <w:rPr>
          <w:noProof/>
        </w:rPr>
        <w:instrText xml:space="preserve"> PAGEREF _Toc488234350 \h </w:instrText>
      </w:r>
      <w:r w:rsidR="008965FE">
        <w:rPr>
          <w:noProof/>
        </w:rPr>
      </w:r>
      <w:r w:rsidR="008965FE">
        <w:rPr>
          <w:noProof/>
        </w:rPr>
        <w:fldChar w:fldCharType="separate"/>
      </w:r>
      <w:r w:rsidR="00536ECC">
        <w:rPr>
          <w:noProof/>
        </w:rPr>
        <w:t>54</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6.4: Podíl zaměstnaných v třídách KZAM 2 a 3 na celkovém počtu zaměstnaných v kraji v letech 2004, 2010 a 2015</w:t>
      </w:r>
      <w:r>
        <w:rPr>
          <w:noProof/>
        </w:rPr>
        <w:tab/>
      </w:r>
      <w:r w:rsidR="008965FE">
        <w:rPr>
          <w:noProof/>
        </w:rPr>
        <w:fldChar w:fldCharType="begin"/>
      </w:r>
      <w:r>
        <w:rPr>
          <w:noProof/>
        </w:rPr>
        <w:instrText xml:space="preserve"> PAGEREF _Toc488234351 \h </w:instrText>
      </w:r>
      <w:r w:rsidR="008965FE">
        <w:rPr>
          <w:noProof/>
        </w:rPr>
      </w:r>
      <w:r w:rsidR="008965FE">
        <w:rPr>
          <w:noProof/>
        </w:rPr>
        <w:fldChar w:fldCharType="separate"/>
      </w:r>
      <w:r w:rsidR="00536ECC">
        <w:rPr>
          <w:noProof/>
        </w:rPr>
        <w:t>55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6.5: Struktura tržeb za inovované produkty u podniků s produktovou inovací podle krajů  v roce 2014</w:t>
      </w:r>
      <w:r>
        <w:rPr>
          <w:noProof/>
        </w:rPr>
        <w:tab/>
      </w:r>
      <w:r w:rsidR="008965FE">
        <w:rPr>
          <w:noProof/>
        </w:rPr>
        <w:fldChar w:fldCharType="begin"/>
      </w:r>
      <w:r>
        <w:rPr>
          <w:noProof/>
        </w:rPr>
        <w:instrText xml:space="preserve"> PAGEREF _Toc488234352 \h </w:instrText>
      </w:r>
      <w:r w:rsidR="008965FE">
        <w:rPr>
          <w:noProof/>
        </w:rPr>
      </w:r>
      <w:r w:rsidR="008965FE">
        <w:rPr>
          <w:noProof/>
        </w:rPr>
        <w:fldChar w:fldCharType="separate"/>
      </w:r>
      <w:r w:rsidR="00536ECC">
        <w:rPr>
          <w:noProof/>
        </w:rPr>
        <w:t>58</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8.1: Počet hostů a počet přenocování v přepočtu na tisíc obyvatel v krajích v roce 2015</w:t>
      </w:r>
      <w:r>
        <w:rPr>
          <w:noProof/>
        </w:rPr>
        <w:tab/>
      </w:r>
      <w:r w:rsidR="008965FE">
        <w:rPr>
          <w:noProof/>
        </w:rPr>
        <w:fldChar w:fldCharType="begin"/>
      </w:r>
      <w:r>
        <w:rPr>
          <w:noProof/>
        </w:rPr>
        <w:instrText xml:space="preserve"> PAGEREF _Toc488234353 \h </w:instrText>
      </w:r>
      <w:r w:rsidR="008965FE">
        <w:rPr>
          <w:noProof/>
        </w:rPr>
      </w:r>
      <w:r w:rsidR="008965FE">
        <w:rPr>
          <w:noProof/>
        </w:rPr>
        <w:fldChar w:fldCharType="separate"/>
      </w:r>
      <w:r w:rsidR="00536ECC">
        <w:rPr>
          <w:noProof/>
        </w:rPr>
        <w:t>75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8.2: Počet hostů v hromadných ubytovacích zařízeních v KK v letech 2005 – 2015</w:t>
      </w:r>
      <w:r>
        <w:rPr>
          <w:noProof/>
        </w:rPr>
        <w:tab/>
      </w:r>
      <w:r w:rsidR="008965FE">
        <w:rPr>
          <w:noProof/>
        </w:rPr>
        <w:fldChar w:fldCharType="begin"/>
      </w:r>
      <w:r>
        <w:rPr>
          <w:noProof/>
        </w:rPr>
        <w:instrText xml:space="preserve"> PAGEREF _Toc488234354 \h </w:instrText>
      </w:r>
      <w:r w:rsidR="008965FE">
        <w:rPr>
          <w:noProof/>
        </w:rPr>
      </w:r>
      <w:r w:rsidR="008965FE">
        <w:rPr>
          <w:noProof/>
        </w:rPr>
        <w:fldChar w:fldCharType="separate"/>
      </w:r>
      <w:r w:rsidR="00536ECC">
        <w:rPr>
          <w:noProof/>
        </w:rPr>
        <w:t>75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8.3: Hosté dle země původu v Karlovarském kraji v letech 2005, 2010, 2015</w:t>
      </w:r>
      <w:r>
        <w:rPr>
          <w:noProof/>
        </w:rPr>
        <w:tab/>
      </w:r>
      <w:r w:rsidR="008965FE">
        <w:rPr>
          <w:noProof/>
        </w:rPr>
        <w:fldChar w:fldCharType="begin"/>
      </w:r>
      <w:r>
        <w:rPr>
          <w:noProof/>
        </w:rPr>
        <w:instrText xml:space="preserve"> PAGEREF _Toc488234355 \h </w:instrText>
      </w:r>
      <w:r w:rsidR="008965FE">
        <w:rPr>
          <w:noProof/>
        </w:rPr>
      </w:r>
      <w:r w:rsidR="008965FE">
        <w:rPr>
          <w:noProof/>
        </w:rPr>
        <w:fldChar w:fldCharType="separate"/>
      </w:r>
      <w:r w:rsidR="00536ECC">
        <w:rPr>
          <w:noProof/>
        </w:rPr>
        <w:t>76</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lastRenderedPageBreak/>
        <w:t>Graf 8.4: Počet přenocování celkem v lázeňských zařízeních v krajích v letech 2012 - 2015</w:t>
      </w:r>
      <w:r>
        <w:rPr>
          <w:noProof/>
        </w:rPr>
        <w:tab/>
      </w:r>
      <w:r w:rsidR="008965FE">
        <w:rPr>
          <w:noProof/>
        </w:rPr>
        <w:fldChar w:fldCharType="begin"/>
      </w:r>
      <w:r>
        <w:rPr>
          <w:noProof/>
        </w:rPr>
        <w:instrText xml:space="preserve"> PAGEREF _Toc488234356 \h </w:instrText>
      </w:r>
      <w:r w:rsidR="008965FE">
        <w:rPr>
          <w:noProof/>
        </w:rPr>
      </w:r>
      <w:r w:rsidR="008965FE">
        <w:rPr>
          <w:noProof/>
        </w:rPr>
        <w:fldChar w:fldCharType="separate"/>
      </w:r>
      <w:r w:rsidR="00536ECC">
        <w:rPr>
          <w:noProof/>
        </w:rPr>
        <w:t>82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9.1: Vývoj podílu soukromých subjektů (zaměstnavatelé + pracující na vlastní účet) v krajích na celkovém počtu zaměstnaných v NH v letech 2009, 2012 a 2015 (v %)</w:t>
      </w:r>
      <w:r>
        <w:rPr>
          <w:noProof/>
        </w:rPr>
        <w:tab/>
      </w:r>
      <w:r w:rsidR="008965FE">
        <w:rPr>
          <w:noProof/>
        </w:rPr>
        <w:fldChar w:fldCharType="begin"/>
      </w:r>
      <w:r>
        <w:rPr>
          <w:noProof/>
        </w:rPr>
        <w:instrText xml:space="preserve"> PAGEREF _Toc488234357 \h </w:instrText>
      </w:r>
      <w:r w:rsidR="008965FE">
        <w:rPr>
          <w:noProof/>
        </w:rPr>
      </w:r>
      <w:r w:rsidR="008965FE">
        <w:rPr>
          <w:noProof/>
        </w:rPr>
        <w:fldChar w:fldCharType="separate"/>
      </w:r>
      <w:r w:rsidR="00536ECC">
        <w:rPr>
          <w:noProof/>
        </w:rPr>
        <w:t>96</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9.2: Srovnání míry nezaměstnanosti v regionech Karlovarského kraje s průměrem ČR (v %)</w:t>
      </w:r>
      <w:r>
        <w:rPr>
          <w:noProof/>
        </w:rPr>
        <w:tab/>
      </w:r>
      <w:r w:rsidR="008965FE">
        <w:rPr>
          <w:noProof/>
        </w:rPr>
        <w:fldChar w:fldCharType="begin"/>
      </w:r>
      <w:r>
        <w:rPr>
          <w:noProof/>
        </w:rPr>
        <w:instrText xml:space="preserve"> PAGEREF _Toc488234358 \h </w:instrText>
      </w:r>
      <w:r w:rsidR="008965FE">
        <w:rPr>
          <w:noProof/>
        </w:rPr>
      </w:r>
      <w:r w:rsidR="008965FE">
        <w:rPr>
          <w:noProof/>
        </w:rPr>
        <w:fldChar w:fldCharType="separate"/>
      </w:r>
      <w:r w:rsidR="00536ECC">
        <w:rPr>
          <w:noProof/>
        </w:rPr>
        <w:t>98</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9.3: Podíl nezaměstnaných podle délky nezaměstnanosti v KK a ČR v letech 2011 – 2015 (v %)</w:t>
      </w:r>
      <w:r>
        <w:rPr>
          <w:noProof/>
        </w:rPr>
        <w:tab/>
      </w:r>
      <w:r w:rsidR="008965FE">
        <w:rPr>
          <w:noProof/>
        </w:rPr>
        <w:fldChar w:fldCharType="begin"/>
      </w:r>
      <w:r>
        <w:rPr>
          <w:noProof/>
        </w:rPr>
        <w:instrText xml:space="preserve"> PAGEREF _Toc488234359 \h </w:instrText>
      </w:r>
      <w:r w:rsidR="008965FE">
        <w:rPr>
          <w:noProof/>
        </w:rPr>
      </w:r>
      <w:r w:rsidR="008965FE">
        <w:rPr>
          <w:noProof/>
        </w:rPr>
        <w:fldChar w:fldCharType="separate"/>
      </w:r>
      <w:r w:rsidR="00536ECC">
        <w:rPr>
          <w:noProof/>
        </w:rPr>
        <w:t>100</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9.4: Vývoj počtu uchazečů na jedno pracovní místo ve SO ORP v KK v letech 2005 – 2015</w:t>
      </w:r>
      <w:r>
        <w:rPr>
          <w:noProof/>
        </w:rPr>
        <w:tab/>
      </w:r>
      <w:r w:rsidR="008965FE">
        <w:rPr>
          <w:noProof/>
        </w:rPr>
        <w:fldChar w:fldCharType="begin"/>
      </w:r>
      <w:r>
        <w:rPr>
          <w:noProof/>
        </w:rPr>
        <w:instrText xml:space="preserve"> PAGEREF _Toc488234360 \h </w:instrText>
      </w:r>
      <w:r w:rsidR="008965FE">
        <w:rPr>
          <w:noProof/>
        </w:rPr>
      </w:r>
      <w:r w:rsidR="008965FE">
        <w:rPr>
          <w:noProof/>
        </w:rPr>
        <w:fldChar w:fldCharType="separate"/>
      </w:r>
      <w:r w:rsidR="00536ECC">
        <w:rPr>
          <w:noProof/>
        </w:rPr>
        <w:t>101</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9.5: Struktura uchazečů o zaměstnání podle věku v letech 2010, 2013 a 2015 (v %)</w:t>
      </w:r>
      <w:r>
        <w:rPr>
          <w:noProof/>
        </w:rPr>
        <w:tab/>
      </w:r>
      <w:r w:rsidR="008965FE">
        <w:rPr>
          <w:noProof/>
        </w:rPr>
        <w:fldChar w:fldCharType="begin"/>
      </w:r>
      <w:r>
        <w:rPr>
          <w:noProof/>
        </w:rPr>
        <w:instrText xml:space="preserve"> PAGEREF _Toc488234361 \h </w:instrText>
      </w:r>
      <w:r w:rsidR="008965FE">
        <w:rPr>
          <w:noProof/>
        </w:rPr>
      </w:r>
      <w:r w:rsidR="008965FE">
        <w:rPr>
          <w:noProof/>
        </w:rPr>
        <w:fldChar w:fldCharType="separate"/>
      </w:r>
      <w:r w:rsidR="00536ECC">
        <w:rPr>
          <w:noProof/>
        </w:rPr>
        <w:t>101</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9.6: Struktura uchazečů o zaměstnání podle vzdělání v letech 2010, 2012 a 2014 (%)</w:t>
      </w:r>
      <w:r>
        <w:rPr>
          <w:noProof/>
        </w:rPr>
        <w:tab/>
      </w:r>
      <w:r w:rsidR="008965FE">
        <w:rPr>
          <w:noProof/>
        </w:rPr>
        <w:fldChar w:fldCharType="begin"/>
      </w:r>
      <w:r>
        <w:rPr>
          <w:noProof/>
        </w:rPr>
        <w:instrText xml:space="preserve"> PAGEREF _Toc488234362 \h </w:instrText>
      </w:r>
      <w:r w:rsidR="008965FE">
        <w:rPr>
          <w:noProof/>
        </w:rPr>
      </w:r>
      <w:r w:rsidR="008965FE">
        <w:rPr>
          <w:noProof/>
        </w:rPr>
        <w:fldChar w:fldCharType="separate"/>
      </w:r>
      <w:r w:rsidR="00536ECC">
        <w:rPr>
          <w:noProof/>
        </w:rPr>
        <w:t>102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sidRPr="001526EC">
        <w:rPr>
          <w:rFonts w:eastAsia="Calibri"/>
          <w:bCs/>
          <w:noProof/>
          <w:lang w:eastAsia="en-US"/>
        </w:rPr>
        <w:t>Graf 9.7: Medián hrubé měsíční mzdy v podnikatelské sféře ve vybraných krajích a v ČR  v letech 2003 – 2014 (v Kč)</w:t>
      </w:r>
      <w:r>
        <w:rPr>
          <w:noProof/>
        </w:rPr>
        <w:tab/>
      </w:r>
      <w:r w:rsidR="008965FE">
        <w:rPr>
          <w:noProof/>
        </w:rPr>
        <w:fldChar w:fldCharType="begin"/>
      </w:r>
      <w:r>
        <w:rPr>
          <w:noProof/>
        </w:rPr>
        <w:instrText xml:space="preserve"> PAGEREF _Toc488234363 \h </w:instrText>
      </w:r>
      <w:r w:rsidR="008965FE">
        <w:rPr>
          <w:noProof/>
        </w:rPr>
      </w:r>
      <w:r w:rsidR="008965FE">
        <w:rPr>
          <w:noProof/>
        </w:rPr>
        <w:fldChar w:fldCharType="separate"/>
      </w:r>
      <w:r w:rsidR="00536ECC">
        <w:rPr>
          <w:noProof/>
        </w:rPr>
        <w:t>103</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10.1: Vývoj přirozeného, migračního a celkového přírůstku v KK a ČR v letech 2006 - 2015 (relativní údaje na 1000 obyvatel)</w:t>
      </w:r>
      <w:r>
        <w:rPr>
          <w:noProof/>
        </w:rPr>
        <w:tab/>
      </w:r>
      <w:r w:rsidR="008965FE">
        <w:rPr>
          <w:noProof/>
        </w:rPr>
        <w:fldChar w:fldCharType="begin"/>
      </w:r>
      <w:r>
        <w:rPr>
          <w:noProof/>
        </w:rPr>
        <w:instrText xml:space="preserve"> PAGEREF _Toc488234364 \h </w:instrText>
      </w:r>
      <w:r w:rsidR="008965FE">
        <w:rPr>
          <w:noProof/>
        </w:rPr>
      </w:r>
      <w:r w:rsidR="008965FE">
        <w:rPr>
          <w:noProof/>
        </w:rPr>
        <w:fldChar w:fldCharType="separate"/>
      </w:r>
      <w:r w:rsidR="00536ECC">
        <w:rPr>
          <w:noProof/>
        </w:rPr>
        <w:t>108</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10.2: Vnitřní stěhování mezi okresy KK v roce 2014</w:t>
      </w:r>
      <w:r>
        <w:rPr>
          <w:noProof/>
        </w:rPr>
        <w:tab/>
      </w:r>
      <w:r w:rsidR="008965FE">
        <w:rPr>
          <w:noProof/>
        </w:rPr>
        <w:fldChar w:fldCharType="begin"/>
      </w:r>
      <w:r>
        <w:rPr>
          <w:noProof/>
        </w:rPr>
        <w:instrText xml:space="preserve"> PAGEREF _Toc488234365 \h </w:instrText>
      </w:r>
      <w:r w:rsidR="008965FE">
        <w:rPr>
          <w:noProof/>
        </w:rPr>
      </w:r>
      <w:r w:rsidR="008965FE">
        <w:rPr>
          <w:noProof/>
        </w:rPr>
        <w:fldChar w:fldCharType="separate"/>
      </w:r>
      <w:r w:rsidR="00536ECC">
        <w:rPr>
          <w:noProof/>
        </w:rPr>
        <w:t>109</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10.3: Podíl cizinců (bez azylantů) na obyvatelstvu krajů v roce 2015 (v %)</w:t>
      </w:r>
      <w:r>
        <w:rPr>
          <w:noProof/>
        </w:rPr>
        <w:tab/>
      </w:r>
      <w:r w:rsidR="008965FE">
        <w:rPr>
          <w:noProof/>
        </w:rPr>
        <w:fldChar w:fldCharType="begin"/>
      </w:r>
      <w:r>
        <w:rPr>
          <w:noProof/>
        </w:rPr>
        <w:instrText xml:space="preserve"> PAGEREF _Toc488234366 \h </w:instrText>
      </w:r>
      <w:r w:rsidR="008965FE">
        <w:rPr>
          <w:noProof/>
        </w:rPr>
      </w:r>
      <w:r w:rsidR="008965FE">
        <w:rPr>
          <w:noProof/>
        </w:rPr>
        <w:fldChar w:fldCharType="separate"/>
      </w:r>
      <w:r w:rsidR="00536ECC">
        <w:rPr>
          <w:noProof/>
        </w:rPr>
        <w:t>110</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10.4: Projekce věkových skupin dětí a mladistvých v Karlovarském kraji do roku 2036</w:t>
      </w:r>
      <w:r>
        <w:rPr>
          <w:noProof/>
        </w:rPr>
        <w:tab/>
      </w:r>
      <w:r w:rsidR="008965FE">
        <w:rPr>
          <w:noProof/>
        </w:rPr>
        <w:fldChar w:fldCharType="begin"/>
      </w:r>
      <w:r>
        <w:rPr>
          <w:noProof/>
        </w:rPr>
        <w:instrText xml:space="preserve"> PAGEREF _Toc488234367 \h </w:instrText>
      </w:r>
      <w:r w:rsidR="008965FE">
        <w:rPr>
          <w:noProof/>
        </w:rPr>
      </w:r>
      <w:r w:rsidR="008965FE">
        <w:rPr>
          <w:noProof/>
        </w:rPr>
        <w:fldChar w:fldCharType="separate"/>
      </w:r>
      <w:r w:rsidR="00536ECC">
        <w:rPr>
          <w:noProof/>
        </w:rPr>
        <w:t>112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10.5: Projekce věkových skupin seniorů v Karlovarském kraji do roku 2036</w:t>
      </w:r>
      <w:r>
        <w:rPr>
          <w:noProof/>
        </w:rPr>
        <w:tab/>
      </w:r>
      <w:r w:rsidR="008965FE">
        <w:rPr>
          <w:noProof/>
        </w:rPr>
        <w:fldChar w:fldCharType="begin"/>
      </w:r>
      <w:r>
        <w:rPr>
          <w:noProof/>
        </w:rPr>
        <w:instrText xml:space="preserve"> PAGEREF _Toc488234368 \h </w:instrText>
      </w:r>
      <w:r w:rsidR="008965FE">
        <w:rPr>
          <w:noProof/>
        </w:rPr>
      </w:r>
      <w:r w:rsidR="008965FE">
        <w:rPr>
          <w:noProof/>
        </w:rPr>
        <w:fldChar w:fldCharType="separate"/>
      </w:r>
      <w:r w:rsidR="00536ECC">
        <w:rPr>
          <w:noProof/>
        </w:rPr>
        <w:t>112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11.1: Vývoj počtu škol a dětí/žáků v Karlovarském kraji ve školním roce 2010/11 – 2014/15</w:t>
      </w:r>
      <w:r>
        <w:rPr>
          <w:noProof/>
        </w:rPr>
        <w:tab/>
      </w:r>
      <w:r w:rsidR="008965FE">
        <w:rPr>
          <w:noProof/>
        </w:rPr>
        <w:fldChar w:fldCharType="begin"/>
      </w:r>
      <w:r>
        <w:rPr>
          <w:noProof/>
        </w:rPr>
        <w:instrText xml:space="preserve"> PAGEREF _Toc488234369 \h </w:instrText>
      </w:r>
      <w:r w:rsidR="008965FE">
        <w:rPr>
          <w:noProof/>
        </w:rPr>
      </w:r>
      <w:r w:rsidR="008965FE">
        <w:rPr>
          <w:noProof/>
        </w:rPr>
        <w:fldChar w:fldCharType="separate"/>
      </w:r>
      <w:r w:rsidR="00536ECC">
        <w:rPr>
          <w:noProof/>
        </w:rPr>
        <w:t>117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11.2: Míra nezaměstnanosti absolventů v Karlovarském kraji v letech 2011 až 2015 podle úrovně dosaženého vzdělání (denní studium, dubnové hodnoty)</w:t>
      </w:r>
      <w:r>
        <w:rPr>
          <w:noProof/>
        </w:rPr>
        <w:tab/>
      </w:r>
      <w:r w:rsidR="008965FE">
        <w:rPr>
          <w:noProof/>
        </w:rPr>
        <w:fldChar w:fldCharType="begin"/>
      </w:r>
      <w:r>
        <w:rPr>
          <w:noProof/>
        </w:rPr>
        <w:instrText xml:space="preserve"> PAGEREF _Toc488234370 \h </w:instrText>
      </w:r>
      <w:r w:rsidR="008965FE">
        <w:rPr>
          <w:noProof/>
        </w:rPr>
      </w:r>
      <w:r w:rsidR="008965FE">
        <w:rPr>
          <w:noProof/>
        </w:rPr>
        <w:fldChar w:fldCharType="separate"/>
      </w:r>
      <w:r w:rsidR="00536ECC">
        <w:rPr>
          <w:noProof/>
        </w:rPr>
        <w:t>121</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12.1: Struktura poskytovatelů sociálních služeb v Karlovarském kraji v roce 2016</w:t>
      </w:r>
      <w:r>
        <w:rPr>
          <w:noProof/>
        </w:rPr>
        <w:tab/>
      </w:r>
      <w:r w:rsidR="008965FE">
        <w:rPr>
          <w:noProof/>
        </w:rPr>
        <w:fldChar w:fldCharType="begin"/>
      </w:r>
      <w:r>
        <w:rPr>
          <w:noProof/>
        </w:rPr>
        <w:instrText xml:space="preserve"> PAGEREF _Toc488234371 \h </w:instrText>
      </w:r>
      <w:r w:rsidR="008965FE">
        <w:rPr>
          <w:noProof/>
        </w:rPr>
      </w:r>
      <w:r w:rsidR="008965FE">
        <w:rPr>
          <w:noProof/>
        </w:rPr>
        <w:fldChar w:fldCharType="separate"/>
      </w:r>
      <w:r w:rsidR="00536ECC">
        <w:rPr>
          <w:noProof/>
        </w:rPr>
        <w:t>130</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12.2: Podíl jednotlivých služeb sociální péče v KK v roce 2016</w:t>
      </w:r>
      <w:r>
        <w:rPr>
          <w:noProof/>
        </w:rPr>
        <w:tab/>
      </w:r>
      <w:r w:rsidR="008965FE">
        <w:rPr>
          <w:noProof/>
        </w:rPr>
        <w:fldChar w:fldCharType="begin"/>
      </w:r>
      <w:r>
        <w:rPr>
          <w:noProof/>
        </w:rPr>
        <w:instrText xml:space="preserve"> PAGEREF _Toc488234372 \h </w:instrText>
      </w:r>
      <w:r w:rsidR="008965FE">
        <w:rPr>
          <w:noProof/>
        </w:rPr>
      </w:r>
      <w:r w:rsidR="008965FE">
        <w:rPr>
          <w:noProof/>
        </w:rPr>
        <w:fldChar w:fldCharType="separate"/>
      </w:r>
      <w:r w:rsidR="00536ECC">
        <w:rPr>
          <w:noProof/>
        </w:rPr>
        <w:t>132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13.1: Počet lékařů na 10 tisíc obyvatel v lůžkové části nemocnic v roce 2013</w:t>
      </w:r>
      <w:r>
        <w:rPr>
          <w:noProof/>
        </w:rPr>
        <w:tab/>
      </w:r>
      <w:r w:rsidR="008965FE">
        <w:rPr>
          <w:noProof/>
        </w:rPr>
        <w:fldChar w:fldCharType="begin"/>
      </w:r>
      <w:r>
        <w:rPr>
          <w:noProof/>
        </w:rPr>
        <w:instrText xml:space="preserve"> PAGEREF _Toc488234373 \h </w:instrText>
      </w:r>
      <w:r w:rsidR="008965FE">
        <w:rPr>
          <w:noProof/>
        </w:rPr>
      </w:r>
      <w:r w:rsidR="008965FE">
        <w:rPr>
          <w:noProof/>
        </w:rPr>
        <w:fldChar w:fldCharType="separate"/>
      </w:r>
      <w:r w:rsidR="00536ECC">
        <w:rPr>
          <w:noProof/>
        </w:rPr>
        <w:t>146</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13.2: Počet všeobecných sester a porodních asistentek na 1 lékaře v roce 2013</w:t>
      </w:r>
      <w:r>
        <w:rPr>
          <w:noProof/>
        </w:rPr>
        <w:tab/>
      </w:r>
      <w:r w:rsidR="008965FE">
        <w:rPr>
          <w:noProof/>
        </w:rPr>
        <w:fldChar w:fldCharType="begin"/>
      </w:r>
      <w:r>
        <w:rPr>
          <w:noProof/>
        </w:rPr>
        <w:instrText xml:space="preserve"> PAGEREF _Toc488234374 \h </w:instrText>
      </w:r>
      <w:r w:rsidR="008965FE">
        <w:rPr>
          <w:noProof/>
        </w:rPr>
      </w:r>
      <w:r w:rsidR="008965FE">
        <w:rPr>
          <w:noProof/>
        </w:rPr>
        <w:fldChar w:fldCharType="separate"/>
      </w:r>
      <w:r w:rsidR="00536ECC">
        <w:rPr>
          <w:noProof/>
        </w:rPr>
        <w:t>146</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13.3: Přehled počtu lůžek v nemocnicích na 10 tisíc obyvatel u vybraných krajů (rok 2013)</w:t>
      </w:r>
      <w:r>
        <w:rPr>
          <w:noProof/>
        </w:rPr>
        <w:tab/>
      </w:r>
      <w:r w:rsidR="008965FE">
        <w:rPr>
          <w:noProof/>
        </w:rPr>
        <w:fldChar w:fldCharType="begin"/>
      </w:r>
      <w:r>
        <w:rPr>
          <w:noProof/>
        </w:rPr>
        <w:instrText xml:space="preserve"> PAGEREF _Toc488234375 \h </w:instrText>
      </w:r>
      <w:r w:rsidR="008965FE">
        <w:rPr>
          <w:noProof/>
        </w:rPr>
      </w:r>
      <w:r w:rsidR="008965FE">
        <w:rPr>
          <w:noProof/>
        </w:rPr>
        <w:fldChar w:fldCharType="separate"/>
      </w:r>
      <w:r w:rsidR="00536ECC">
        <w:rPr>
          <w:noProof/>
        </w:rPr>
        <w:t>147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14.1: Hustota silnic dálničního typu v krajích ČR (k 1. 1. 2016)</w:t>
      </w:r>
      <w:r>
        <w:rPr>
          <w:noProof/>
        </w:rPr>
        <w:tab/>
      </w:r>
      <w:r w:rsidR="008965FE">
        <w:rPr>
          <w:noProof/>
        </w:rPr>
        <w:fldChar w:fldCharType="begin"/>
      </w:r>
      <w:r>
        <w:rPr>
          <w:noProof/>
        </w:rPr>
        <w:instrText xml:space="preserve"> PAGEREF _Toc488234376 \h </w:instrText>
      </w:r>
      <w:r w:rsidR="008965FE">
        <w:rPr>
          <w:noProof/>
        </w:rPr>
      </w:r>
      <w:r w:rsidR="008965FE">
        <w:rPr>
          <w:noProof/>
        </w:rPr>
        <w:fldChar w:fldCharType="separate"/>
      </w:r>
      <w:r w:rsidR="00536ECC">
        <w:rPr>
          <w:noProof/>
        </w:rPr>
        <w:t>155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14.2: Hustota silnic I., II. a III. třídy v krajích ČR (k 1. 1. 2016, hustota na 100 km</w:t>
      </w:r>
      <w:r w:rsidRPr="001526EC">
        <w:rPr>
          <w:noProof/>
          <w:vertAlign w:val="superscript"/>
        </w:rPr>
        <w:t>2</w:t>
      </w:r>
      <w:r>
        <w:rPr>
          <w:noProof/>
        </w:rPr>
        <w:t>)</w:t>
      </w:r>
      <w:r>
        <w:rPr>
          <w:noProof/>
        </w:rPr>
        <w:tab/>
      </w:r>
      <w:r w:rsidR="008965FE">
        <w:rPr>
          <w:noProof/>
        </w:rPr>
        <w:fldChar w:fldCharType="begin"/>
      </w:r>
      <w:r>
        <w:rPr>
          <w:noProof/>
        </w:rPr>
        <w:instrText xml:space="preserve"> PAGEREF _Toc488234377 \h </w:instrText>
      </w:r>
      <w:r w:rsidR="008965FE">
        <w:rPr>
          <w:noProof/>
        </w:rPr>
      </w:r>
      <w:r w:rsidR="008965FE">
        <w:rPr>
          <w:noProof/>
        </w:rPr>
        <w:fldChar w:fldCharType="separate"/>
      </w:r>
      <w:r w:rsidR="00536ECC">
        <w:rPr>
          <w:noProof/>
        </w:rPr>
        <w:t>155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14.3: Hustota železnic v krajích ČR (k 31. 12. 2014)</w:t>
      </w:r>
      <w:r>
        <w:rPr>
          <w:noProof/>
        </w:rPr>
        <w:tab/>
      </w:r>
      <w:r w:rsidR="008965FE">
        <w:rPr>
          <w:noProof/>
        </w:rPr>
        <w:fldChar w:fldCharType="begin"/>
      </w:r>
      <w:r>
        <w:rPr>
          <w:noProof/>
        </w:rPr>
        <w:instrText xml:space="preserve"> PAGEREF _Toc488234378 \h </w:instrText>
      </w:r>
      <w:r w:rsidR="008965FE">
        <w:rPr>
          <w:noProof/>
        </w:rPr>
      </w:r>
      <w:r w:rsidR="008965FE">
        <w:rPr>
          <w:noProof/>
        </w:rPr>
        <w:fldChar w:fldCharType="separate"/>
      </w:r>
      <w:r w:rsidR="00536ECC">
        <w:rPr>
          <w:noProof/>
        </w:rPr>
        <w:t>156</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14.4: Nákladní přeprava silniční a železniční dopravou v rámci krajů v roce 2014 (v tis. tun)</w:t>
      </w:r>
      <w:r>
        <w:rPr>
          <w:noProof/>
        </w:rPr>
        <w:tab/>
      </w:r>
      <w:r w:rsidR="008965FE">
        <w:rPr>
          <w:noProof/>
        </w:rPr>
        <w:fldChar w:fldCharType="begin"/>
      </w:r>
      <w:r>
        <w:rPr>
          <w:noProof/>
        </w:rPr>
        <w:instrText xml:space="preserve"> PAGEREF _Toc488234379 \h </w:instrText>
      </w:r>
      <w:r w:rsidR="008965FE">
        <w:rPr>
          <w:noProof/>
        </w:rPr>
      </w:r>
      <w:r w:rsidR="008965FE">
        <w:rPr>
          <w:noProof/>
        </w:rPr>
        <w:fldChar w:fldCharType="separate"/>
      </w:r>
      <w:r w:rsidR="00536ECC">
        <w:rPr>
          <w:noProof/>
        </w:rPr>
        <w:t>156</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lastRenderedPageBreak/>
        <w:t>Graf 14.5: Přeprava cestujících silniční a železniční dopravou v rámci krajů v roce 2014 (v tis.)</w:t>
      </w:r>
      <w:r>
        <w:rPr>
          <w:noProof/>
        </w:rPr>
        <w:tab/>
      </w:r>
      <w:r w:rsidR="008965FE">
        <w:rPr>
          <w:noProof/>
        </w:rPr>
        <w:fldChar w:fldCharType="begin"/>
      </w:r>
      <w:r>
        <w:rPr>
          <w:noProof/>
        </w:rPr>
        <w:instrText xml:space="preserve"> PAGEREF _Toc488234380 \h </w:instrText>
      </w:r>
      <w:r w:rsidR="008965FE">
        <w:rPr>
          <w:noProof/>
        </w:rPr>
      </w:r>
      <w:r w:rsidR="008965FE">
        <w:rPr>
          <w:noProof/>
        </w:rPr>
        <w:fldChar w:fldCharType="separate"/>
      </w:r>
      <w:r w:rsidR="00536ECC">
        <w:rPr>
          <w:noProof/>
        </w:rPr>
        <w:t>157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15.1: Počet odbavených cestujících na letišti Karlovy Vary v letech 2005 - 2015</w:t>
      </w:r>
      <w:r>
        <w:rPr>
          <w:noProof/>
        </w:rPr>
        <w:tab/>
      </w:r>
      <w:r w:rsidR="008965FE">
        <w:rPr>
          <w:noProof/>
        </w:rPr>
        <w:fldChar w:fldCharType="begin"/>
      </w:r>
      <w:r>
        <w:rPr>
          <w:noProof/>
        </w:rPr>
        <w:instrText xml:space="preserve"> PAGEREF _Toc488234381 \h </w:instrText>
      </w:r>
      <w:r w:rsidR="008965FE">
        <w:rPr>
          <w:noProof/>
        </w:rPr>
      </w:r>
      <w:r w:rsidR="008965FE">
        <w:rPr>
          <w:noProof/>
        </w:rPr>
        <w:fldChar w:fldCharType="separate"/>
      </w:r>
      <w:r w:rsidR="00536ECC">
        <w:rPr>
          <w:noProof/>
        </w:rPr>
        <w:t>161</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15.2: Počet cestujících na letišti Karlovy Vary dle jednotlivých destinací v roce 2015</w:t>
      </w:r>
      <w:r>
        <w:rPr>
          <w:noProof/>
        </w:rPr>
        <w:tab/>
      </w:r>
      <w:r w:rsidR="008965FE">
        <w:rPr>
          <w:noProof/>
        </w:rPr>
        <w:fldChar w:fldCharType="begin"/>
      </w:r>
      <w:r>
        <w:rPr>
          <w:noProof/>
        </w:rPr>
        <w:instrText xml:space="preserve"> PAGEREF _Toc488234382 \h </w:instrText>
      </w:r>
      <w:r w:rsidR="008965FE">
        <w:rPr>
          <w:noProof/>
        </w:rPr>
      </w:r>
      <w:r w:rsidR="008965FE">
        <w:rPr>
          <w:noProof/>
        </w:rPr>
        <w:fldChar w:fldCharType="separate"/>
      </w:r>
      <w:r w:rsidR="00536ECC">
        <w:rPr>
          <w:noProof/>
        </w:rPr>
        <w:t>161</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15.3: Počet návštěvníků Karlovarského kraje v letech 2012 - 2015</w:t>
      </w:r>
      <w:r>
        <w:rPr>
          <w:noProof/>
        </w:rPr>
        <w:tab/>
      </w:r>
      <w:r w:rsidR="008965FE">
        <w:rPr>
          <w:noProof/>
        </w:rPr>
        <w:fldChar w:fldCharType="begin"/>
      </w:r>
      <w:r>
        <w:rPr>
          <w:noProof/>
        </w:rPr>
        <w:instrText xml:space="preserve"> PAGEREF _Toc488234383 \h </w:instrText>
      </w:r>
      <w:r w:rsidR="008965FE">
        <w:rPr>
          <w:noProof/>
        </w:rPr>
      </w:r>
      <w:r w:rsidR="008965FE">
        <w:rPr>
          <w:noProof/>
        </w:rPr>
        <w:fldChar w:fldCharType="separate"/>
      </w:r>
      <w:r w:rsidR="00536ECC">
        <w:rPr>
          <w:noProof/>
        </w:rPr>
        <w:t>162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15.4: Počet návštěvníků Karlovarského kraje v letech 2012 - 2015 (vybrané země)</w:t>
      </w:r>
      <w:r>
        <w:rPr>
          <w:noProof/>
        </w:rPr>
        <w:tab/>
      </w:r>
      <w:r w:rsidR="008965FE">
        <w:rPr>
          <w:noProof/>
        </w:rPr>
        <w:fldChar w:fldCharType="begin"/>
      </w:r>
      <w:r>
        <w:rPr>
          <w:noProof/>
        </w:rPr>
        <w:instrText xml:space="preserve"> PAGEREF _Toc488234384 \h </w:instrText>
      </w:r>
      <w:r w:rsidR="008965FE">
        <w:rPr>
          <w:noProof/>
        </w:rPr>
      </w:r>
      <w:r w:rsidR="008965FE">
        <w:rPr>
          <w:noProof/>
        </w:rPr>
        <w:fldChar w:fldCharType="separate"/>
      </w:r>
      <w:r w:rsidR="00536ECC">
        <w:rPr>
          <w:noProof/>
        </w:rPr>
        <w:t>163</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16.1: Výtěžnost tříděného komunálního odpadu v letech 2009 - 2013 (v kg/obyv.)</w:t>
      </w:r>
      <w:r>
        <w:rPr>
          <w:noProof/>
        </w:rPr>
        <w:tab/>
      </w:r>
      <w:r w:rsidR="008965FE">
        <w:rPr>
          <w:noProof/>
        </w:rPr>
        <w:fldChar w:fldCharType="begin"/>
      </w:r>
      <w:r>
        <w:rPr>
          <w:noProof/>
        </w:rPr>
        <w:instrText xml:space="preserve"> PAGEREF _Toc488234385 \h </w:instrText>
      </w:r>
      <w:r w:rsidR="008965FE">
        <w:rPr>
          <w:noProof/>
        </w:rPr>
      </w:r>
      <w:r w:rsidR="008965FE">
        <w:rPr>
          <w:noProof/>
        </w:rPr>
        <w:fldChar w:fldCharType="separate"/>
      </w:r>
      <w:r w:rsidR="00536ECC">
        <w:rPr>
          <w:noProof/>
        </w:rPr>
        <w:t>177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16.2: Měrné emise hlavních znečišťujících látek podle krajů v roce 2013 (v t/km2)</w:t>
      </w:r>
      <w:r>
        <w:rPr>
          <w:noProof/>
        </w:rPr>
        <w:tab/>
      </w:r>
      <w:r w:rsidR="008965FE">
        <w:rPr>
          <w:noProof/>
        </w:rPr>
        <w:fldChar w:fldCharType="begin"/>
      </w:r>
      <w:r>
        <w:rPr>
          <w:noProof/>
        </w:rPr>
        <w:instrText xml:space="preserve"> PAGEREF _Toc488234386 \h </w:instrText>
      </w:r>
      <w:r w:rsidR="008965FE">
        <w:rPr>
          <w:noProof/>
        </w:rPr>
      </w:r>
      <w:r w:rsidR="008965FE">
        <w:rPr>
          <w:noProof/>
        </w:rPr>
        <w:fldChar w:fldCharType="separate"/>
      </w:r>
      <w:r w:rsidR="00536ECC">
        <w:rPr>
          <w:noProof/>
        </w:rPr>
        <w:t>179</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17.1: Využití území v Karlovarském kraji (k 31. 12. 2015, v %)</w:t>
      </w:r>
      <w:r>
        <w:rPr>
          <w:noProof/>
        </w:rPr>
        <w:tab/>
      </w:r>
      <w:r w:rsidR="008965FE">
        <w:rPr>
          <w:noProof/>
        </w:rPr>
        <w:fldChar w:fldCharType="begin"/>
      </w:r>
      <w:r>
        <w:rPr>
          <w:noProof/>
        </w:rPr>
        <w:instrText xml:space="preserve"> PAGEREF _Toc488234387 \h </w:instrText>
      </w:r>
      <w:r w:rsidR="008965FE">
        <w:rPr>
          <w:noProof/>
        </w:rPr>
      </w:r>
      <w:r w:rsidR="008965FE">
        <w:rPr>
          <w:noProof/>
        </w:rPr>
        <w:fldChar w:fldCharType="separate"/>
      </w:r>
      <w:r w:rsidR="00536ECC">
        <w:rPr>
          <w:noProof/>
        </w:rPr>
        <w:t>187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17.2: Pravidelně zaměstnaní pracující v zemědělství podle věku v roce 2014 (v %)</w:t>
      </w:r>
      <w:r>
        <w:rPr>
          <w:noProof/>
        </w:rPr>
        <w:tab/>
      </w:r>
      <w:r w:rsidR="008965FE">
        <w:rPr>
          <w:noProof/>
        </w:rPr>
        <w:fldChar w:fldCharType="begin"/>
      </w:r>
      <w:r>
        <w:rPr>
          <w:noProof/>
        </w:rPr>
        <w:instrText xml:space="preserve"> PAGEREF _Toc488234388 \h </w:instrText>
      </w:r>
      <w:r w:rsidR="008965FE">
        <w:rPr>
          <w:noProof/>
        </w:rPr>
      </w:r>
      <w:r w:rsidR="008965FE">
        <w:rPr>
          <w:noProof/>
        </w:rPr>
        <w:fldChar w:fldCharType="separate"/>
      </w:r>
      <w:r w:rsidR="00536ECC">
        <w:rPr>
          <w:noProof/>
        </w:rPr>
        <w:t>189</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17.3: Zemědělská produkce v roce 2014 (v mil. Kč)</w:t>
      </w:r>
      <w:r>
        <w:rPr>
          <w:noProof/>
        </w:rPr>
        <w:tab/>
      </w:r>
      <w:r w:rsidR="008965FE">
        <w:rPr>
          <w:noProof/>
        </w:rPr>
        <w:fldChar w:fldCharType="begin"/>
      </w:r>
      <w:r>
        <w:rPr>
          <w:noProof/>
        </w:rPr>
        <w:instrText xml:space="preserve"> PAGEREF _Toc488234389 \h </w:instrText>
      </w:r>
      <w:r w:rsidR="008965FE">
        <w:rPr>
          <w:noProof/>
        </w:rPr>
      </w:r>
      <w:r w:rsidR="008965FE">
        <w:rPr>
          <w:noProof/>
        </w:rPr>
        <w:fldChar w:fldCharType="separate"/>
      </w:r>
      <w:r w:rsidR="00536ECC">
        <w:rPr>
          <w:noProof/>
        </w:rPr>
        <w:t>190</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17.4: Podíl lesních pozemků na rozloze kraje v roce 2014</w:t>
      </w:r>
      <w:r>
        <w:rPr>
          <w:noProof/>
        </w:rPr>
        <w:tab/>
      </w:r>
      <w:r w:rsidR="008965FE">
        <w:rPr>
          <w:noProof/>
        </w:rPr>
        <w:fldChar w:fldCharType="begin"/>
      </w:r>
      <w:r>
        <w:rPr>
          <w:noProof/>
        </w:rPr>
        <w:instrText xml:space="preserve"> PAGEREF _Toc488234390 \h </w:instrText>
      </w:r>
      <w:r w:rsidR="008965FE">
        <w:rPr>
          <w:noProof/>
        </w:rPr>
      </w:r>
      <w:r w:rsidR="008965FE">
        <w:rPr>
          <w:noProof/>
        </w:rPr>
        <w:fldChar w:fldCharType="separate"/>
      </w:r>
      <w:r w:rsidR="00536ECC">
        <w:rPr>
          <w:noProof/>
        </w:rPr>
        <w:t>191</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19.1: Podíl obyvatel napojených na vodovod a kanalizaci v krajích v roce 2015 (v %)</w:t>
      </w:r>
      <w:r>
        <w:rPr>
          <w:noProof/>
        </w:rPr>
        <w:tab/>
      </w:r>
      <w:r w:rsidR="008965FE">
        <w:rPr>
          <w:noProof/>
        </w:rPr>
        <w:fldChar w:fldCharType="begin"/>
      </w:r>
      <w:r>
        <w:rPr>
          <w:noProof/>
        </w:rPr>
        <w:instrText xml:space="preserve"> PAGEREF _Toc488234391 \h </w:instrText>
      </w:r>
      <w:r w:rsidR="008965FE">
        <w:rPr>
          <w:noProof/>
        </w:rPr>
      </w:r>
      <w:r w:rsidR="008965FE">
        <w:rPr>
          <w:noProof/>
        </w:rPr>
        <w:fldChar w:fldCharType="separate"/>
      </w:r>
      <w:r w:rsidR="00536ECC">
        <w:rPr>
          <w:noProof/>
        </w:rPr>
        <w:t>202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Graf 19.2: Občanská vybavenost v krajích v roce 2015 (přepočteno na 10 tis. obyv.)</w:t>
      </w:r>
      <w:r>
        <w:rPr>
          <w:noProof/>
        </w:rPr>
        <w:tab/>
      </w:r>
      <w:r w:rsidR="008965FE">
        <w:rPr>
          <w:noProof/>
        </w:rPr>
        <w:fldChar w:fldCharType="begin"/>
      </w:r>
      <w:r>
        <w:rPr>
          <w:noProof/>
        </w:rPr>
        <w:instrText xml:space="preserve"> PAGEREF _Toc488234392 \h </w:instrText>
      </w:r>
      <w:r w:rsidR="008965FE">
        <w:rPr>
          <w:noProof/>
        </w:rPr>
      </w:r>
      <w:r w:rsidR="008965FE">
        <w:rPr>
          <w:noProof/>
        </w:rPr>
        <w:fldChar w:fldCharType="separate"/>
      </w:r>
      <w:r w:rsidR="00536ECC">
        <w:rPr>
          <w:noProof/>
        </w:rPr>
        <w:t>203</w:t>
      </w:r>
      <w:r w:rsidR="008965FE">
        <w:rPr>
          <w:noProof/>
        </w:rPr>
        <w:fldChar w:fldCharType="end"/>
      </w:r>
    </w:p>
    <w:p w:rsidR="00DA3F4B" w:rsidRPr="00DA3F4B" w:rsidRDefault="008965FE" w:rsidP="00B20089">
      <w:pPr>
        <w:rPr>
          <w:lang w:eastAsia="en-US"/>
        </w:rPr>
      </w:pPr>
      <w:r w:rsidRPr="00DA3F4B">
        <w:rPr>
          <w:lang w:eastAsia="en-US"/>
        </w:rPr>
        <w:fldChar w:fldCharType="end"/>
      </w:r>
    </w:p>
    <w:p w:rsidR="00DA3F4B" w:rsidRPr="00DA3F4B" w:rsidRDefault="00DA3F4B" w:rsidP="00DA3F4B">
      <w:pPr>
        <w:spacing w:after="160" w:line="240" w:lineRule="auto"/>
        <w:rPr>
          <w:rFonts w:eastAsiaTheme="majorEastAsia" w:cstheme="majorBidi"/>
          <w:b/>
          <w:sz w:val="24"/>
          <w:szCs w:val="26"/>
          <w:lang w:eastAsia="en-US"/>
        </w:rPr>
      </w:pPr>
      <w:r w:rsidRPr="00DA3F4B">
        <w:rPr>
          <w:lang w:eastAsia="en-US"/>
        </w:rPr>
        <w:br w:type="page"/>
      </w:r>
    </w:p>
    <w:p w:rsidR="00C31229" w:rsidRPr="001A2A22" w:rsidRDefault="00F813BE" w:rsidP="001A2A22">
      <w:pPr>
        <w:pStyle w:val="Nadpis2"/>
      </w:pPr>
      <w:r w:rsidRPr="001A2A22">
        <w:lastRenderedPageBreak/>
        <w:t>Obrázky</w:t>
      </w:r>
    </w:p>
    <w:p w:rsidR="00FD378B" w:rsidRDefault="008965FE">
      <w:pPr>
        <w:pStyle w:val="Seznamobrzk"/>
        <w:tabs>
          <w:tab w:val="right" w:leader="dot" w:pos="9062"/>
        </w:tabs>
        <w:rPr>
          <w:rFonts w:asciiTheme="minorHAnsi" w:eastAsiaTheme="minorEastAsia" w:hAnsiTheme="minorHAnsi" w:cstheme="minorBidi"/>
          <w:noProof/>
        </w:rPr>
      </w:pPr>
      <w:r w:rsidRPr="00DA3F4B">
        <w:rPr>
          <w:lang w:eastAsia="en-US"/>
        </w:rPr>
        <w:fldChar w:fldCharType="begin"/>
      </w:r>
      <w:r w:rsidR="00F813BE" w:rsidRPr="00DA3F4B">
        <w:rPr>
          <w:lang w:eastAsia="en-US"/>
        </w:rPr>
        <w:instrText xml:space="preserve"> TOC \c "Obrázek" </w:instrText>
      </w:r>
      <w:r w:rsidRPr="00DA3F4B">
        <w:rPr>
          <w:lang w:eastAsia="en-US"/>
        </w:rPr>
        <w:fldChar w:fldCharType="separate"/>
      </w:r>
      <w:r w:rsidR="00FD378B">
        <w:rPr>
          <w:noProof/>
        </w:rPr>
        <w:t>Obrázek 6.2: Výdaje na VaV podle zdrojů financování a krajů v roce 2014</w:t>
      </w:r>
      <w:r w:rsidR="00FD378B">
        <w:rPr>
          <w:noProof/>
        </w:rPr>
        <w:tab/>
      </w:r>
      <w:r>
        <w:rPr>
          <w:noProof/>
        </w:rPr>
        <w:fldChar w:fldCharType="begin"/>
      </w:r>
      <w:r w:rsidR="00FD378B">
        <w:rPr>
          <w:noProof/>
        </w:rPr>
        <w:instrText xml:space="preserve"> PAGEREF _Toc488234393 \h </w:instrText>
      </w:r>
      <w:r>
        <w:rPr>
          <w:noProof/>
        </w:rPr>
      </w:r>
      <w:r>
        <w:rPr>
          <w:noProof/>
        </w:rPr>
        <w:fldChar w:fldCharType="separate"/>
      </w:r>
      <w:r w:rsidR="00DA707D">
        <w:rPr>
          <w:noProof/>
        </w:rPr>
        <w:t>53</w:t>
      </w:r>
      <w:r>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7.1: Regionální komunikační infrastruktura, Karlovarský kraj</w:t>
      </w:r>
      <w:r>
        <w:rPr>
          <w:noProof/>
        </w:rPr>
        <w:tab/>
      </w:r>
      <w:r w:rsidR="008965FE">
        <w:rPr>
          <w:noProof/>
        </w:rPr>
        <w:fldChar w:fldCharType="begin"/>
      </w:r>
      <w:r>
        <w:rPr>
          <w:noProof/>
        </w:rPr>
        <w:instrText xml:space="preserve"> PAGEREF _Toc488234394 \h </w:instrText>
      </w:r>
      <w:r w:rsidR="008965FE">
        <w:rPr>
          <w:noProof/>
        </w:rPr>
      </w:r>
      <w:r w:rsidR="008965FE">
        <w:rPr>
          <w:noProof/>
        </w:rPr>
        <w:fldChar w:fldCharType="separate"/>
      </w:r>
      <w:r w:rsidR="00DA707D">
        <w:rPr>
          <w:noProof/>
        </w:rPr>
        <w:t>68</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12.1: Podíl seniorské populace a počet příjemců příspěvku na péči v KK v roce 2012</w:t>
      </w:r>
      <w:r>
        <w:rPr>
          <w:noProof/>
        </w:rPr>
        <w:tab/>
      </w:r>
      <w:r w:rsidR="008965FE">
        <w:rPr>
          <w:noProof/>
        </w:rPr>
        <w:fldChar w:fldCharType="begin"/>
      </w:r>
      <w:r>
        <w:rPr>
          <w:noProof/>
        </w:rPr>
        <w:instrText xml:space="preserve"> PAGEREF _Toc488234395 \h </w:instrText>
      </w:r>
      <w:r w:rsidR="008965FE">
        <w:rPr>
          <w:noProof/>
        </w:rPr>
      </w:r>
      <w:r w:rsidR="008965FE">
        <w:rPr>
          <w:noProof/>
        </w:rPr>
        <w:fldChar w:fldCharType="separate"/>
      </w:r>
      <w:r w:rsidR="00DA707D">
        <w:rPr>
          <w:noProof/>
        </w:rPr>
        <w:t>135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12.2: Územní rozložení pečovatelské služby, domovů pro seniory a domovů se zvláštním režimem v Karlovarském kraji v roce 2016</w:t>
      </w:r>
      <w:r>
        <w:rPr>
          <w:noProof/>
        </w:rPr>
        <w:tab/>
      </w:r>
      <w:r w:rsidR="008965FE">
        <w:rPr>
          <w:noProof/>
        </w:rPr>
        <w:fldChar w:fldCharType="begin"/>
      </w:r>
      <w:r>
        <w:rPr>
          <w:noProof/>
        </w:rPr>
        <w:instrText xml:space="preserve"> PAGEREF _Toc488234396 \h </w:instrText>
      </w:r>
      <w:r w:rsidR="008965FE">
        <w:rPr>
          <w:noProof/>
        </w:rPr>
      </w:r>
      <w:r w:rsidR="008965FE">
        <w:rPr>
          <w:noProof/>
        </w:rPr>
        <w:fldChar w:fldCharType="separate"/>
      </w:r>
      <w:r w:rsidR="00DA707D">
        <w:rPr>
          <w:noProof/>
        </w:rPr>
        <w:t>137</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13.1: Dostupnost zdravotnických zařízení v Karlovarském kraji v roce 2009</w:t>
      </w:r>
      <w:r>
        <w:rPr>
          <w:noProof/>
        </w:rPr>
        <w:tab/>
      </w:r>
      <w:r w:rsidR="008965FE">
        <w:rPr>
          <w:noProof/>
        </w:rPr>
        <w:fldChar w:fldCharType="begin"/>
      </w:r>
      <w:r>
        <w:rPr>
          <w:noProof/>
        </w:rPr>
        <w:instrText xml:space="preserve"> PAGEREF _Toc488234397 \h </w:instrText>
      </w:r>
      <w:r w:rsidR="008965FE">
        <w:rPr>
          <w:noProof/>
        </w:rPr>
      </w:r>
      <w:r w:rsidR="008965FE">
        <w:rPr>
          <w:noProof/>
        </w:rPr>
        <w:fldChar w:fldCharType="separate"/>
      </w:r>
      <w:r w:rsidR="00DA707D">
        <w:rPr>
          <w:noProof/>
        </w:rPr>
        <w:t>145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15.1: Spádová oblast (catchment area) letiště Karlovy Vary a okolních letišť (dojezd 60 min)</w:t>
      </w:r>
      <w:r>
        <w:rPr>
          <w:noProof/>
        </w:rPr>
        <w:tab/>
      </w:r>
      <w:r w:rsidR="008965FE">
        <w:rPr>
          <w:noProof/>
        </w:rPr>
        <w:fldChar w:fldCharType="begin"/>
      </w:r>
      <w:r>
        <w:rPr>
          <w:noProof/>
        </w:rPr>
        <w:instrText xml:space="preserve"> PAGEREF _Toc488234398 \h </w:instrText>
      </w:r>
      <w:r w:rsidR="008965FE">
        <w:rPr>
          <w:noProof/>
        </w:rPr>
      </w:r>
      <w:r w:rsidR="008965FE">
        <w:rPr>
          <w:noProof/>
        </w:rPr>
        <w:fldChar w:fldCharType="separate"/>
      </w:r>
      <w:r w:rsidR="00DA707D">
        <w:rPr>
          <w:noProof/>
        </w:rPr>
        <w:t>165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16.1: Jakost vody v tocích, 2013 – 2014</w:t>
      </w:r>
      <w:r>
        <w:rPr>
          <w:noProof/>
        </w:rPr>
        <w:tab/>
      </w:r>
      <w:r w:rsidR="008965FE">
        <w:rPr>
          <w:noProof/>
        </w:rPr>
        <w:fldChar w:fldCharType="begin"/>
      </w:r>
      <w:r>
        <w:rPr>
          <w:noProof/>
        </w:rPr>
        <w:instrText xml:space="preserve"> PAGEREF _Toc488234399 \h </w:instrText>
      </w:r>
      <w:r w:rsidR="008965FE">
        <w:rPr>
          <w:noProof/>
        </w:rPr>
      </w:r>
      <w:r w:rsidR="008965FE">
        <w:rPr>
          <w:noProof/>
        </w:rPr>
        <w:fldChar w:fldCharType="separate"/>
      </w:r>
      <w:r w:rsidR="00DA707D">
        <w:rPr>
          <w:noProof/>
        </w:rPr>
        <w:t>171</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16.2: Záplavová území Karlovarského kraje</w:t>
      </w:r>
      <w:r>
        <w:rPr>
          <w:noProof/>
        </w:rPr>
        <w:tab/>
      </w:r>
      <w:r w:rsidR="008965FE">
        <w:rPr>
          <w:noProof/>
        </w:rPr>
        <w:fldChar w:fldCharType="begin"/>
      </w:r>
      <w:r>
        <w:rPr>
          <w:noProof/>
        </w:rPr>
        <w:instrText xml:space="preserve"> PAGEREF _Toc488234400 \h </w:instrText>
      </w:r>
      <w:r w:rsidR="008965FE">
        <w:rPr>
          <w:noProof/>
        </w:rPr>
      </w:r>
      <w:r w:rsidR="008965FE">
        <w:rPr>
          <w:noProof/>
        </w:rPr>
        <w:fldChar w:fldCharType="separate"/>
      </w:r>
      <w:r w:rsidR="00DA707D">
        <w:rPr>
          <w:noProof/>
        </w:rPr>
        <w:t>173</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16.3: Staré ekologické zátěže dle míry rizika</w:t>
      </w:r>
      <w:r>
        <w:rPr>
          <w:noProof/>
        </w:rPr>
        <w:tab/>
      </w:r>
      <w:r w:rsidR="008965FE">
        <w:rPr>
          <w:noProof/>
        </w:rPr>
        <w:fldChar w:fldCharType="begin"/>
      </w:r>
      <w:r>
        <w:rPr>
          <w:noProof/>
        </w:rPr>
        <w:instrText xml:space="preserve"> PAGEREF _Toc488234401 \h </w:instrText>
      </w:r>
      <w:r w:rsidR="008965FE">
        <w:rPr>
          <w:noProof/>
        </w:rPr>
      </w:r>
      <w:r w:rsidR="008965FE">
        <w:rPr>
          <w:noProof/>
        </w:rPr>
        <w:fldChar w:fldCharType="separate"/>
      </w:r>
      <w:r w:rsidR="00DA707D">
        <w:rPr>
          <w:noProof/>
        </w:rPr>
        <w:t>175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16.4: Kumulativní index znečištění ovzduší za rok 2009 – 2013</w:t>
      </w:r>
      <w:r>
        <w:rPr>
          <w:noProof/>
        </w:rPr>
        <w:tab/>
      </w:r>
      <w:r w:rsidR="008965FE">
        <w:rPr>
          <w:noProof/>
        </w:rPr>
        <w:fldChar w:fldCharType="begin"/>
      </w:r>
      <w:r>
        <w:rPr>
          <w:noProof/>
        </w:rPr>
        <w:instrText xml:space="preserve"> PAGEREF _Toc488234402 \h </w:instrText>
      </w:r>
      <w:r w:rsidR="008965FE">
        <w:rPr>
          <w:noProof/>
        </w:rPr>
      </w:r>
      <w:r w:rsidR="008965FE">
        <w:rPr>
          <w:noProof/>
        </w:rPr>
        <w:fldChar w:fldCharType="separate"/>
      </w:r>
      <w:r w:rsidR="00DA707D">
        <w:rPr>
          <w:noProof/>
        </w:rPr>
        <w:t>178</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18.1: Vývoj počtu obyvatel v ORP a obcích Karlovarského kraje mezi lety 2010 - 2015</w:t>
      </w:r>
      <w:r>
        <w:rPr>
          <w:noProof/>
        </w:rPr>
        <w:tab/>
      </w:r>
      <w:r w:rsidR="008965FE">
        <w:rPr>
          <w:noProof/>
        </w:rPr>
        <w:fldChar w:fldCharType="begin"/>
      </w:r>
      <w:r>
        <w:rPr>
          <w:noProof/>
        </w:rPr>
        <w:instrText xml:space="preserve"> PAGEREF _Toc488234403 \h </w:instrText>
      </w:r>
      <w:r w:rsidR="008965FE">
        <w:rPr>
          <w:noProof/>
        </w:rPr>
      </w:r>
      <w:r w:rsidR="008965FE">
        <w:rPr>
          <w:noProof/>
        </w:rPr>
        <w:fldChar w:fldCharType="separate"/>
      </w:r>
      <w:r w:rsidR="00DA707D">
        <w:rPr>
          <w:noProof/>
        </w:rPr>
        <w:t>195</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18.3: Časová dostupnost sídla kraje a správního obvodu ORP</w:t>
      </w:r>
      <w:r>
        <w:rPr>
          <w:noProof/>
        </w:rPr>
        <w:tab/>
      </w:r>
      <w:r w:rsidR="008965FE">
        <w:rPr>
          <w:noProof/>
        </w:rPr>
        <w:fldChar w:fldCharType="begin"/>
      </w:r>
      <w:r>
        <w:rPr>
          <w:noProof/>
        </w:rPr>
        <w:instrText xml:space="preserve"> PAGEREF _Toc488234404 \h </w:instrText>
      </w:r>
      <w:r w:rsidR="008965FE">
        <w:rPr>
          <w:noProof/>
        </w:rPr>
      </w:r>
      <w:r w:rsidR="008965FE">
        <w:rPr>
          <w:noProof/>
        </w:rPr>
        <w:fldChar w:fldCharType="separate"/>
      </w:r>
      <w:r w:rsidR="00DA707D">
        <w:rPr>
          <w:noProof/>
        </w:rPr>
        <w:t>199</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19.1: Podíl počtu obyvatel napojených na kanalizaci, plynovod a vodovod v obci v roce 2011</w:t>
      </w:r>
      <w:r>
        <w:rPr>
          <w:noProof/>
        </w:rPr>
        <w:tab/>
      </w:r>
      <w:r w:rsidR="008965FE">
        <w:rPr>
          <w:noProof/>
        </w:rPr>
        <w:fldChar w:fldCharType="begin"/>
      </w:r>
      <w:r>
        <w:rPr>
          <w:noProof/>
        </w:rPr>
        <w:instrText xml:space="preserve"> PAGEREF _Toc488234405 \h </w:instrText>
      </w:r>
      <w:r w:rsidR="008965FE">
        <w:rPr>
          <w:noProof/>
        </w:rPr>
      </w:r>
      <w:r w:rsidR="008965FE">
        <w:rPr>
          <w:noProof/>
        </w:rPr>
        <w:fldChar w:fldCharType="separate"/>
      </w:r>
      <w:r w:rsidR="00DA707D">
        <w:rPr>
          <w:noProof/>
        </w:rPr>
        <w:t>202</w:t>
      </w:r>
      <w:r w:rsidR="008965FE">
        <w:rPr>
          <w:noProof/>
        </w:rPr>
        <w:fldChar w:fldCharType="end"/>
      </w:r>
    </w:p>
    <w:p w:rsidR="00FD378B" w:rsidRDefault="00FD378B">
      <w:pPr>
        <w:pStyle w:val="Seznamobrzk"/>
        <w:tabs>
          <w:tab w:val="right" w:leader="dot" w:pos="9062"/>
        </w:tabs>
        <w:rPr>
          <w:rFonts w:asciiTheme="minorHAnsi" w:eastAsiaTheme="minorEastAsia" w:hAnsiTheme="minorHAnsi" w:cstheme="minorBidi"/>
          <w:noProof/>
        </w:rPr>
      </w:pPr>
      <w:r>
        <w:rPr>
          <w:noProof/>
        </w:rPr>
        <w:t>Obrázek 20.1: Mapa sousedních německých regionů Karlovarského kraje</w:t>
      </w:r>
      <w:r>
        <w:rPr>
          <w:noProof/>
        </w:rPr>
        <w:tab/>
      </w:r>
      <w:r w:rsidR="008965FE">
        <w:rPr>
          <w:noProof/>
        </w:rPr>
        <w:fldChar w:fldCharType="begin"/>
      </w:r>
      <w:r>
        <w:rPr>
          <w:noProof/>
        </w:rPr>
        <w:instrText xml:space="preserve"> PAGEREF _Toc488234406 \h </w:instrText>
      </w:r>
      <w:r w:rsidR="008965FE">
        <w:rPr>
          <w:noProof/>
        </w:rPr>
      </w:r>
      <w:r w:rsidR="008965FE">
        <w:rPr>
          <w:noProof/>
        </w:rPr>
        <w:fldChar w:fldCharType="separate"/>
      </w:r>
      <w:r w:rsidR="00DA707D">
        <w:rPr>
          <w:noProof/>
        </w:rPr>
        <w:t>205</w:t>
      </w:r>
      <w:r w:rsidR="008965FE">
        <w:rPr>
          <w:noProof/>
        </w:rPr>
        <w:fldChar w:fldCharType="end"/>
      </w:r>
    </w:p>
    <w:p w:rsidR="00DA3F4B" w:rsidRDefault="008965FE" w:rsidP="00EB551E">
      <w:pPr>
        <w:rPr>
          <w:lang w:eastAsia="en-US"/>
        </w:rPr>
      </w:pPr>
      <w:r w:rsidRPr="00DA3F4B">
        <w:rPr>
          <w:lang w:eastAsia="en-US"/>
        </w:rPr>
        <w:fldChar w:fldCharType="end"/>
      </w:r>
    </w:p>
    <w:p w:rsidR="00DA3F4B" w:rsidRDefault="00DA3F4B">
      <w:pPr>
        <w:spacing w:after="160" w:line="259" w:lineRule="auto"/>
        <w:jc w:val="left"/>
        <w:rPr>
          <w:rFonts w:asciiTheme="minorHAnsi" w:eastAsiaTheme="majorEastAsia" w:hAnsiTheme="minorHAnsi" w:cstheme="majorBidi"/>
          <w:b/>
          <w:color w:val="2E74B5" w:themeColor="accent1" w:themeShade="BF"/>
          <w:sz w:val="24"/>
          <w:szCs w:val="26"/>
          <w:lang w:eastAsia="en-US"/>
        </w:rPr>
      </w:pPr>
      <w:r>
        <w:rPr>
          <w:lang w:eastAsia="en-US"/>
        </w:rPr>
        <w:br w:type="page"/>
      </w:r>
    </w:p>
    <w:p w:rsidR="00F813BE" w:rsidRDefault="00F813BE" w:rsidP="002C40B2">
      <w:pPr>
        <w:pStyle w:val="Nadpis2"/>
        <w:rPr>
          <w:lang w:eastAsia="en-US"/>
        </w:rPr>
      </w:pPr>
      <w:r>
        <w:rPr>
          <w:lang w:eastAsia="en-US"/>
        </w:rPr>
        <w:lastRenderedPageBreak/>
        <w:t>Přílohy</w:t>
      </w:r>
    </w:p>
    <w:p w:rsidR="001A2A22" w:rsidRDefault="008965FE">
      <w:pPr>
        <w:pStyle w:val="Seznamobrzk"/>
        <w:tabs>
          <w:tab w:val="right" w:leader="dot" w:pos="9062"/>
        </w:tabs>
        <w:rPr>
          <w:rFonts w:asciiTheme="minorHAnsi" w:eastAsiaTheme="minorEastAsia" w:hAnsiTheme="minorHAnsi" w:cstheme="minorBidi"/>
          <w:noProof/>
        </w:rPr>
      </w:pPr>
      <w:r>
        <w:rPr>
          <w:lang w:eastAsia="en-US"/>
        </w:rPr>
        <w:fldChar w:fldCharType="begin"/>
      </w:r>
      <w:r w:rsidR="00F813BE">
        <w:rPr>
          <w:lang w:eastAsia="en-US"/>
        </w:rPr>
        <w:instrText xml:space="preserve"> TOC \c "Příloha" </w:instrText>
      </w:r>
      <w:r>
        <w:rPr>
          <w:lang w:eastAsia="en-US"/>
        </w:rPr>
        <w:fldChar w:fldCharType="separate"/>
      </w:r>
      <w:r w:rsidR="001A2A22">
        <w:rPr>
          <w:noProof/>
        </w:rPr>
        <w:t>Příloha 1: Produktivita sektorů ekonomiky dle NACE v KK a ČR v roce 2014</w:t>
      </w:r>
      <w:r w:rsidR="001A2A22">
        <w:rPr>
          <w:noProof/>
        </w:rPr>
        <w:tab/>
      </w:r>
      <w:r>
        <w:rPr>
          <w:noProof/>
        </w:rPr>
        <w:fldChar w:fldCharType="begin"/>
      </w:r>
      <w:r w:rsidR="001A2A22">
        <w:rPr>
          <w:noProof/>
        </w:rPr>
        <w:instrText xml:space="preserve"> PAGEREF _Toc488233193 \h </w:instrText>
      </w:r>
      <w:r>
        <w:rPr>
          <w:noProof/>
        </w:rPr>
      </w:r>
      <w:r>
        <w:rPr>
          <w:noProof/>
        </w:rPr>
        <w:fldChar w:fldCharType="separate"/>
      </w:r>
      <w:r w:rsidR="00DA707D">
        <w:rPr>
          <w:noProof/>
        </w:rPr>
        <w:t>220</w:t>
      </w:r>
      <w:r>
        <w:rPr>
          <w:noProof/>
        </w:rPr>
        <w:fldChar w:fldCharType="end"/>
      </w:r>
    </w:p>
    <w:p w:rsidR="001A2A22" w:rsidRDefault="001A2A22">
      <w:pPr>
        <w:pStyle w:val="Seznamobrzk"/>
        <w:tabs>
          <w:tab w:val="right" w:leader="dot" w:pos="9062"/>
        </w:tabs>
        <w:rPr>
          <w:rFonts w:asciiTheme="minorHAnsi" w:eastAsiaTheme="minorEastAsia" w:hAnsiTheme="minorHAnsi" w:cstheme="minorBidi"/>
          <w:noProof/>
        </w:rPr>
      </w:pPr>
      <w:r>
        <w:rPr>
          <w:noProof/>
        </w:rPr>
        <w:t>Příloha 2: Podíl nezaměstnaných osob podle obcí v Karlovarském kraji k 31. 12. 2014 (v %)</w:t>
      </w:r>
      <w:r>
        <w:rPr>
          <w:noProof/>
        </w:rPr>
        <w:tab/>
      </w:r>
      <w:r w:rsidR="008965FE">
        <w:rPr>
          <w:noProof/>
        </w:rPr>
        <w:fldChar w:fldCharType="begin"/>
      </w:r>
      <w:r>
        <w:rPr>
          <w:noProof/>
        </w:rPr>
        <w:instrText xml:space="preserve"> PAGEREF _Toc488233194 \h </w:instrText>
      </w:r>
      <w:r w:rsidR="008965FE">
        <w:rPr>
          <w:noProof/>
        </w:rPr>
      </w:r>
      <w:r w:rsidR="008965FE">
        <w:rPr>
          <w:noProof/>
        </w:rPr>
        <w:fldChar w:fldCharType="separate"/>
      </w:r>
      <w:r w:rsidR="00DA707D">
        <w:rPr>
          <w:noProof/>
        </w:rPr>
        <w:t>221</w:t>
      </w:r>
      <w:r w:rsidR="008965FE">
        <w:rPr>
          <w:noProof/>
        </w:rPr>
        <w:fldChar w:fldCharType="end"/>
      </w:r>
    </w:p>
    <w:p w:rsidR="001A2A22" w:rsidRDefault="001A2A22">
      <w:pPr>
        <w:pStyle w:val="Seznamobrzk"/>
        <w:tabs>
          <w:tab w:val="right" w:leader="dot" w:pos="9062"/>
        </w:tabs>
        <w:rPr>
          <w:rFonts w:asciiTheme="minorHAnsi" w:eastAsiaTheme="minorEastAsia" w:hAnsiTheme="minorHAnsi" w:cstheme="minorBidi"/>
          <w:noProof/>
        </w:rPr>
      </w:pPr>
      <w:r>
        <w:rPr>
          <w:noProof/>
        </w:rPr>
        <w:t>Příloha 3: Projekce obyvatelstva Karlovarského kraje - pohyb a věkové složení obyvatelstva bez migrace</w:t>
      </w:r>
      <w:r>
        <w:rPr>
          <w:noProof/>
        </w:rPr>
        <w:tab/>
      </w:r>
      <w:r w:rsidR="008965FE">
        <w:rPr>
          <w:noProof/>
        </w:rPr>
        <w:fldChar w:fldCharType="begin"/>
      </w:r>
      <w:r>
        <w:rPr>
          <w:noProof/>
        </w:rPr>
        <w:instrText xml:space="preserve"> PAGEREF _Toc488233195 \h </w:instrText>
      </w:r>
      <w:r w:rsidR="008965FE">
        <w:rPr>
          <w:noProof/>
        </w:rPr>
      </w:r>
      <w:r w:rsidR="008965FE">
        <w:rPr>
          <w:noProof/>
        </w:rPr>
        <w:fldChar w:fldCharType="separate"/>
      </w:r>
      <w:r w:rsidR="00DA707D">
        <w:rPr>
          <w:noProof/>
        </w:rPr>
        <w:t>222</w:t>
      </w:r>
      <w:r w:rsidR="008965FE">
        <w:rPr>
          <w:noProof/>
        </w:rPr>
        <w:fldChar w:fldCharType="end"/>
      </w:r>
    </w:p>
    <w:p w:rsidR="001A2A22" w:rsidRDefault="001A2A22">
      <w:pPr>
        <w:pStyle w:val="Seznamobrzk"/>
        <w:tabs>
          <w:tab w:val="right" w:leader="dot" w:pos="9062"/>
        </w:tabs>
        <w:rPr>
          <w:rFonts w:asciiTheme="minorHAnsi" w:eastAsiaTheme="minorEastAsia" w:hAnsiTheme="minorHAnsi" w:cstheme="minorBidi"/>
          <w:noProof/>
        </w:rPr>
      </w:pPr>
      <w:r>
        <w:rPr>
          <w:noProof/>
        </w:rPr>
        <w:t>Příloha 4: Projekce počtu obyvatel Karlovarského kraje ve věkových skupinách dětí, mladistvých a seniorů bez migrace</w:t>
      </w:r>
      <w:r>
        <w:rPr>
          <w:noProof/>
        </w:rPr>
        <w:tab/>
      </w:r>
      <w:r w:rsidR="008965FE">
        <w:rPr>
          <w:noProof/>
        </w:rPr>
        <w:fldChar w:fldCharType="begin"/>
      </w:r>
      <w:r>
        <w:rPr>
          <w:noProof/>
        </w:rPr>
        <w:instrText xml:space="preserve"> PAGEREF _Toc488233196 \h </w:instrText>
      </w:r>
      <w:r w:rsidR="008965FE">
        <w:rPr>
          <w:noProof/>
        </w:rPr>
      </w:r>
      <w:r w:rsidR="008965FE">
        <w:rPr>
          <w:noProof/>
        </w:rPr>
        <w:fldChar w:fldCharType="separate"/>
      </w:r>
      <w:r w:rsidR="00DA707D">
        <w:rPr>
          <w:noProof/>
        </w:rPr>
        <w:t>222</w:t>
      </w:r>
      <w:r w:rsidR="008965FE">
        <w:rPr>
          <w:noProof/>
        </w:rPr>
        <w:fldChar w:fldCharType="end"/>
      </w:r>
    </w:p>
    <w:p w:rsidR="001A2A22" w:rsidRDefault="001A2A22">
      <w:pPr>
        <w:pStyle w:val="Seznamobrzk"/>
        <w:tabs>
          <w:tab w:val="right" w:leader="dot" w:pos="9062"/>
        </w:tabs>
        <w:rPr>
          <w:rFonts w:asciiTheme="minorHAnsi" w:eastAsiaTheme="minorEastAsia" w:hAnsiTheme="minorHAnsi" w:cstheme="minorBidi"/>
          <w:noProof/>
        </w:rPr>
      </w:pPr>
      <w:r>
        <w:rPr>
          <w:noProof/>
        </w:rPr>
        <w:t>Příloha 5: Míra nezaměstnanosti absolventů v Karlovarském kraji v letech 2014 až 2015 podle skupiny oborů (denní studium, dubnové hodnoty)</w:t>
      </w:r>
      <w:r>
        <w:rPr>
          <w:noProof/>
        </w:rPr>
        <w:tab/>
      </w:r>
      <w:r w:rsidR="008965FE">
        <w:rPr>
          <w:noProof/>
        </w:rPr>
        <w:fldChar w:fldCharType="begin"/>
      </w:r>
      <w:r>
        <w:rPr>
          <w:noProof/>
        </w:rPr>
        <w:instrText xml:space="preserve"> PAGEREF _Toc488233197 \h </w:instrText>
      </w:r>
      <w:r w:rsidR="008965FE">
        <w:rPr>
          <w:noProof/>
        </w:rPr>
      </w:r>
      <w:r w:rsidR="008965FE">
        <w:rPr>
          <w:noProof/>
        </w:rPr>
        <w:fldChar w:fldCharType="separate"/>
      </w:r>
      <w:r w:rsidR="00DA707D">
        <w:rPr>
          <w:noProof/>
        </w:rPr>
        <w:t>223</w:t>
      </w:r>
      <w:r w:rsidR="008965FE">
        <w:rPr>
          <w:noProof/>
        </w:rPr>
        <w:fldChar w:fldCharType="end"/>
      </w:r>
    </w:p>
    <w:p w:rsidR="00F813BE" w:rsidRDefault="008965FE" w:rsidP="002C40B2">
      <w:pPr>
        <w:rPr>
          <w:lang w:eastAsia="en-US"/>
        </w:rPr>
      </w:pPr>
      <w:r>
        <w:rPr>
          <w:lang w:eastAsia="en-US"/>
        </w:rPr>
        <w:fldChar w:fldCharType="end"/>
      </w:r>
    </w:p>
    <w:p w:rsidR="00F813BE" w:rsidRDefault="00F813BE" w:rsidP="002C40B2">
      <w:pPr>
        <w:spacing w:after="160"/>
        <w:jc w:val="left"/>
        <w:rPr>
          <w:lang w:eastAsia="en-US"/>
        </w:rPr>
      </w:pPr>
      <w:r>
        <w:rPr>
          <w:lang w:eastAsia="en-US"/>
        </w:rPr>
        <w:br w:type="page"/>
      </w:r>
    </w:p>
    <w:p w:rsidR="001E1A7E" w:rsidRDefault="001E1A7E" w:rsidP="00094A5B">
      <w:pPr>
        <w:pStyle w:val="Nadpis1"/>
      </w:pPr>
      <w:bookmarkStart w:id="5" w:name="_Toc488233385"/>
      <w:r w:rsidRPr="001E1A7E">
        <w:lastRenderedPageBreak/>
        <w:t>Seznam zkratek</w:t>
      </w:r>
      <w:bookmarkEnd w:id="5"/>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AV ČR</w:t>
      </w:r>
      <w:r w:rsidRPr="00F813BE">
        <w:rPr>
          <w:rFonts w:asciiTheme="minorHAnsi" w:hAnsiTheme="minorHAnsi" w:cs="Calibri"/>
          <w:sz w:val="22"/>
          <w:szCs w:val="22"/>
        </w:rPr>
        <w:tab/>
        <w:t>Akademie věd České republiky</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b. c.</w:t>
      </w:r>
      <w:r w:rsidRPr="00F813BE">
        <w:rPr>
          <w:rFonts w:asciiTheme="minorHAnsi" w:hAnsiTheme="minorHAnsi" w:cs="Calibri"/>
          <w:sz w:val="22"/>
          <w:szCs w:val="22"/>
        </w:rPr>
        <w:tab/>
        <w:t>běžné ceny</w:t>
      </w:r>
    </w:p>
    <w:p w:rsidR="00206FFC" w:rsidRDefault="00206FFC" w:rsidP="002C40B2">
      <w:pPr>
        <w:pStyle w:val="normln0"/>
        <w:tabs>
          <w:tab w:val="right" w:pos="-4560"/>
          <w:tab w:val="left" w:pos="1680"/>
        </w:tabs>
        <w:spacing w:before="0" w:line="276" w:lineRule="auto"/>
        <w:rPr>
          <w:rFonts w:asciiTheme="minorHAnsi" w:hAnsiTheme="minorHAnsi" w:cs="Calibri"/>
          <w:iCs/>
          <w:sz w:val="22"/>
          <w:szCs w:val="22"/>
        </w:rPr>
      </w:pPr>
      <w:r w:rsidRPr="00F813BE">
        <w:rPr>
          <w:rFonts w:asciiTheme="minorHAnsi" w:hAnsiTheme="minorHAnsi" w:cs="Calibri"/>
          <w:sz w:val="22"/>
          <w:szCs w:val="22"/>
        </w:rPr>
        <w:t>BERD</w:t>
      </w:r>
      <w:r w:rsidRPr="00F813BE">
        <w:rPr>
          <w:rFonts w:asciiTheme="minorHAnsi" w:hAnsiTheme="minorHAnsi" w:cs="Calibri"/>
          <w:sz w:val="22"/>
          <w:szCs w:val="22"/>
        </w:rPr>
        <w:tab/>
        <w:t xml:space="preserve">výdaje podnikatelského sektoru na </w:t>
      </w:r>
      <w:r w:rsidRPr="00F813BE">
        <w:rPr>
          <w:rFonts w:asciiTheme="minorHAnsi" w:hAnsiTheme="minorHAnsi" w:cs="Calibri"/>
          <w:iCs/>
          <w:sz w:val="22"/>
          <w:szCs w:val="22"/>
        </w:rPr>
        <w:t>výzkum</w:t>
      </w:r>
      <w:r w:rsidRPr="00F813BE">
        <w:rPr>
          <w:rFonts w:asciiTheme="minorHAnsi" w:hAnsiTheme="minorHAnsi" w:cs="Calibri"/>
          <w:sz w:val="22"/>
          <w:szCs w:val="22"/>
        </w:rPr>
        <w:t xml:space="preserve"> a </w:t>
      </w:r>
      <w:r w:rsidRPr="00F813BE">
        <w:rPr>
          <w:rFonts w:asciiTheme="minorHAnsi" w:hAnsiTheme="minorHAnsi" w:cs="Calibri"/>
          <w:iCs/>
          <w:sz w:val="22"/>
          <w:szCs w:val="22"/>
        </w:rPr>
        <w:t>vývoj</w:t>
      </w:r>
    </w:p>
    <w:p w:rsidR="00277F6F" w:rsidRDefault="00277F6F" w:rsidP="002C40B2">
      <w:pPr>
        <w:pStyle w:val="normln0"/>
        <w:tabs>
          <w:tab w:val="right" w:pos="-4560"/>
          <w:tab w:val="left" w:pos="1680"/>
        </w:tabs>
        <w:spacing w:before="0" w:line="276" w:lineRule="auto"/>
        <w:rPr>
          <w:rFonts w:asciiTheme="minorHAnsi" w:hAnsiTheme="minorHAnsi" w:cs="Calibri"/>
          <w:iCs/>
          <w:sz w:val="22"/>
          <w:szCs w:val="22"/>
        </w:rPr>
      </w:pPr>
      <w:r w:rsidRPr="00277F6F">
        <w:rPr>
          <w:rFonts w:asciiTheme="minorHAnsi" w:hAnsiTheme="minorHAnsi" w:cs="Calibri"/>
          <w:iCs/>
          <w:sz w:val="22"/>
          <w:szCs w:val="22"/>
        </w:rPr>
        <w:t xml:space="preserve">BI </w:t>
      </w:r>
      <w:r>
        <w:rPr>
          <w:rFonts w:asciiTheme="minorHAnsi" w:hAnsiTheme="minorHAnsi" w:cs="Calibri"/>
          <w:iCs/>
          <w:sz w:val="22"/>
          <w:szCs w:val="22"/>
        </w:rPr>
        <w:tab/>
      </w:r>
      <w:r w:rsidRPr="00277F6F">
        <w:rPr>
          <w:rFonts w:asciiTheme="minorHAnsi" w:hAnsiTheme="minorHAnsi" w:cs="Calibri"/>
          <w:iCs/>
          <w:sz w:val="22"/>
          <w:szCs w:val="22"/>
        </w:rPr>
        <w:t>B</w:t>
      </w:r>
      <w:r>
        <w:rPr>
          <w:rFonts w:asciiTheme="minorHAnsi" w:hAnsiTheme="minorHAnsi" w:cs="Calibri"/>
          <w:iCs/>
          <w:sz w:val="22"/>
          <w:szCs w:val="22"/>
        </w:rPr>
        <w:t>us</w:t>
      </w:r>
      <w:r w:rsidRPr="00277F6F">
        <w:rPr>
          <w:rFonts w:asciiTheme="minorHAnsi" w:hAnsiTheme="minorHAnsi" w:cs="Calibri"/>
          <w:iCs/>
          <w:sz w:val="22"/>
          <w:szCs w:val="22"/>
        </w:rPr>
        <w:t>ine</w:t>
      </w:r>
      <w:r>
        <w:rPr>
          <w:rFonts w:asciiTheme="minorHAnsi" w:hAnsiTheme="minorHAnsi" w:cs="Calibri"/>
          <w:iCs/>
          <w:sz w:val="22"/>
          <w:szCs w:val="22"/>
        </w:rPr>
        <w:t>s</w:t>
      </w:r>
      <w:r w:rsidRPr="00277F6F">
        <w:rPr>
          <w:rFonts w:asciiTheme="minorHAnsi" w:hAnsiTheme="minorHAnsi" w:cs="Calibri"/>
          <w:iCs/>
          <w:sz w:val="22"/>
          <w:szCs w:val="22"/>
        </w:rPr>
        <w:t>s inte</w:t>
      </w:r>
      <w:r>
        <w:rPr>
          <w:rFonts w:asciiTheme="minorHAnsi" w:hAnsiTheme="minorHAnsi" w:cs="Calibri"/>
          <w:iCs/>
          <w:sz w:val="22"/>
          <w:szCs w:val="22"/>
        </w:rPr>
        <w:t>l</w:t>
      </w:r>
      <w:r w:rsidRPr="00277F6F">
        <w:rPr>
          <w:rFonts w:asciiTheme="minorHAnsi" w:hAnsiTheme="minorHAnsi" w:cs="Calibri"/>
          <w:iCs/>
          <w:sz w:val="22"/>
          <w:szCs w:val="22"/>
        </w:rPr>
        <w:t>ligence</w:t>
      </w:r>
    </w:p>
    <w:p w:rsidR="004379B0" w:rsidRDefault="004379B0" w:rsidP="002C40B2">
      <w:pPr>
        <w:pStyle w:val="normln0"/>
        <w:tabs>
          <w:tab w:val="right" w:pos="-4560"/>
          <w:tab w:val="left" w:pos="1680"/>
        </w:tabs>
        <w:spacing w:before="0" w:line="276" w:lineRule="auto"/>
        <w:rPr>
          <w:rFonts w:asciiTheme="minorHAnsi" w:hAnsiTheme="minorHAnsi" w:cs="Calibri"/>
          <w:iCs/>
          <w:sz w:val="22"/>
          <w:szCs w:val="22"/>
        </w:rPr>
      </w:pPr>
      <w:r>
        <w:rPr>
          <w:rFonts w:asciiTheme="minorHAnsi" w:hAnsiTheme="minorHAnsi" w:cs="Calibri"/>
          <w:iCs/>
          <w:sz w:val="22"/>
          <w:szCs w:val="22"/>
        </w:rPr>
        <w:t>CCB</w:t>
      </w:r>
      <w:r>
        <w:rPr>
          <w:rFonts w:asciiTheme="minorHAnsi" w:hAnsiTheme="minorHAnsi" w:cs="Calibri"/>
          <w:iCs/>
          <w:sz w:val="22"/>
          <w:szCs w:val="22"/>
        </w:rPr>
        <w:tab/>
      </w:r>
      <w:r w:rsidRPr="00EB551E">
        <w:rPr>
          <w:rFonts w:asciiTheme="minorHAnsi" w:hAnsiTheme="minorHAnsi" w:cs="Calibri"/>
          <w:iCs/>
          <w:sz w:val="22"/>
          <w:szCs w:val="22"/>
        </w:rPr>
        <w:t>Carlsbad Convention Bureau, o.p.s.</w:t>
      </w:r>
    </w:p>
    <w:p w:rsidR="00206FFC" w:rsidRPr="00F813BE" w:rsidRDefault="00206FFC" w:rsidP="002C40B2">
      <w:pPr>
        <w:pStyle w:val="normln0"/>
        <w:tabs>
          <w:tab w:val="right" w:pos="-4560"/>
          <w:tab w:val="left" w:pos="1680"/>
        </w:tabs>
        <w:spacing w:before="0" w:line="276" w:lineRule="auto"/>
        <w:rPr>
          <w:rFonts w:asciiTheme="minorHAnsi" w:hAnsiTheme="minorHAnsi" w:cs="Calibri"/>
          <w:iCs/>
          <w:sz w:val="22"/>
          <w:szCs w:val="22"/>
        </w:rPr>
      </w:pPr>
      <w:r>
        <w:rPr>
          <w:rFonts w:asciiTheme="minorHAnsi" w:hAnsiTheme="minorHAnsi" w:cs="Calibri"/>
          <w:iCs/>
          <w:sz w:val="22"/>
          <w:szCs w:val="22"/>
        </w:rPr>
        <w:t>CR</w:t>
      </w:r>
      <w:r>
        <w:rPr>
          <w:rFonts w:asciiTheme="minorHAnsi" w:hAnsiTheme="minorHAnsi" w:cs="Calibri"/>
          <w:iCs/>
          <w:sz w:val="22"/>
          <w:szCs w:val="22"/>
        </w:rPr>
        <w:tab/>
        <w:t>cestovní ruch</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ČDDD</w:t>
      </w:r>
      <w:r w:rsidRPr="00F813BE">
        <w:rPr>
          <w:rFonts w:asciiTheme="minorHAnsi" w:hAnsiTheme="minorHAnsi" w:cs="Calibri"/>
          <w:sz w:val="22"/>
          <w:szCs w:val="22"/>
        </w:rPr>
        <w:tab/>
        <w:t>čistý disponibilní důchod domácností</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ČNB</w:t>
      </w:r>
      <w:r w:rsidRPr="00F813BE">
        <w:rPr>
          <w:rFonts w:asciiTheme="minorHAnsi" w:hAnsiTheme="minorHAnsi" w:cs="Calibri"/>
          <w:sz w:val="22"/>
          <w:szCs w:val="22"/>
        </w:rPr>
        <w:tab/>
      </w:r>
      <w:r w:rsidRPr="003371F1">
        <w:rPr>
          <w:rFonts w:asciiTheme="minorHAnsi" w:hAnsiTheme="minorHAnsi" w:cs="Calibri"/>
          <w:sz w:val="22"/>
          <w:szCs w:val="22"/>
        </w:rPr>
        <w:t>Česká národní banka</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 xml:space="preserve">ČOV </w:t>
      </w:r>
      <w:r>
        <w:rPr>
          <w:rFonts w:asciiTheme="minorHAnsi" w:hAnsiTheme="minorHAnsi" w:cs="Calibri"/>
          <w:sz w:val="22"/>
          <w:szCs w:val="22"/>
        </w:rPr>
        <w:tab/>
        <w:t>čistírn</w:t>
      </w:r>
      <w:r w:rsidR="0075781E">
        <w:rPr>
          <w:rFonts w:asciiTheme="minorHAnsi" w:hAnsiTheme="minorHAnsi" w:cs="Calibri"/>
          <w:sz w:val="22"/>
          <w:szCs w:val="22"/>
        </w:rPr>
        <w:t>a/čistička</w:t>
      </w:r>
      <w:r>
        <w:rPr>
          <w:rFonts w:asciiTheme="minorHAnsi" w:hAnsiTheme="minorHAnsi" w:cs="Calibri"/>
          <w:sz w:val="22"/>
          <w:szCs w:val="22"/>
        </w:rPr>
        <w:t xml:space="preserve"> odpadních vod</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ČR</w:t>
      </w:r>
      <w:r w:rsidRPr="003371F1">
        <w:rPr>
          <w:rFonts w:asciiTheme="minorHAnsi" w:hAnsiTheme="minorHAnsi" w:cs="Calibri"/>
          <w:sz w:val="22"/>
          <w:szCs w:val="22"/>
        </w:rPr>
        <w:tab/>
        <w:t>Česká republika</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ČSÚ</w:t>
      </w:r>
      <w:r w:rsidRPr="003371F1">
        <w:rPr>
          <w:rFonts w:asciiTheme="minorHAnsi" w:hAnsiTheme="minorHAnsi" w:cs="Calibri"/>
          <w:sz w:val="22"/>
          <w:szCs w:val="22"/>
        </w:rPr>
        <w:tab/>
        <w:t>Český statistický úřad</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 xml:space="preserve">ČÚZK </w:t>
      </w:r>
      <w:r>
        <w:rPr>
          <w:rFonts w:asciiTheme="minorHAnsi" w:hAnsiTheme="minorHAnsi" w:cs="Calibri"/>
          <w:sz w:val="22"/>
          <w:szCs w:val="22"/>
        </w:rPr>
        <w:tab/>
        <w:t xml:space="preserve">Český úřad zeměměřičský a katastrální </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DPH</w:t>
      </w:r>
      <w:r w:rsidRPr="003371F1">
        <w:rPr>
          <w:rFonts w:asciiTheme="minorHAnsi" w:hAnsiTheme="minorHAnsi" w:cs="Calibri"/>
          <w:sz w:val="22"/>
          <w:szCs w:val="22"/>
        </w:rPr>
        <w:tab/>
        <w:t>daň z přidané hodnoty</w:t>
      </w:r>
    </w:p>
    <w:p w:rsidR="0004240C" w:rsidRDefault="0004240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DMVS</w:t>
      </w:r>
      <w:r>
        <w:rPr>
          <w:rFonts w:asciiTheme="minorHAnsi" w:hAnsiTheme="minorHAnsi" w:cs="Calibri"/>
          <w:sz w:val="22"/>
          <w:szCs w:val="22"/>
        </w:rPr>
        <w:tab/>
        <w:t>Digitální mapa veřejné správy</w:t>
      </w:r>
    </w:p>
    <w:p w:rsidR="00277F6F" w:rsidRPr="003371F1" w:rsidRDefault="00277F6F" w:rsidP="002C40B2">
      <w:pPr>
        <w:pStyle w:val="normln0"/>
        <w:tabs>
          <w:tab w:val="right" w:pos="-4560"/>
          <w:tab w:val="left" w:pos="1680"/>
        </w:tabs>
        <w:spacing w:before="0" w:line="276" w:lineRule="auto"/>
        <w:rPr>
          <w:rFonts w:asciiTheme="minorHAnsi" w:hAnsiTheme="minorHAnsi" w:cs="Calibri"/>
          <w:sz w:val="22"/>
          <w:szCs w:val="22"/>
        </w:rPr>
      </w:pPr>
      <w:r w:rsidRPr="00277F6F">
        <w:rPr>
          <w:rFonts w:asciiTheme="minorHAnsi" w:hAnsiTheme="minorHAnsi" w:cs="Calibri"/>
          <w:sz w:val="22"/>
          <w:szCs w:val="22"/>
        </w:rPr>
        <w:t xml:space="preserve">DTM </w:t>
      </w:r>
      <w:r>
        <w:rPr>
          <w:rFonts w:asciiTheme="minorHAnsi" w:hAnsiTheme="minorHAnsi" w:cs="Calibri"/>
          <w:sz w:val="22"/>
          <w:szCs w:val="22"/>
        </w:rPr>
        <w:tab/>
        <w:t>D</w:t>
      </w:r>
      <w:r w:rsidRPr="00277F6F">
        <w:rPr>
          <w:rFonts w:asciiTheme="minorHAnsi" w:hAnsiTheme="minorHAnsi" w:cs="Calibri"/>
          <w:sz w:val="22"/>
          <w:szCs w:val="22"/>
        </w:rPr>
        <w:t>igitálně technická mapa</w:t>
      </w:r>
    </w:p>
    <w:p w:rsidR="00206FFC" w:rsidRPr="003371F1" w:rsidRDefault="00206FFC" w:rsidP="002C40B2">
      <w:pPr>
        <w:pStyle w:val="normln0"/>
        <w:tabs>
          <w:tab w:val="right" w:pos="-4560"/>
          <w:tab w:val="left" w:pos="1680"/>
        </w:tabs>
        <w:spacing w:before="0" w:line="276" w:lineRule="auto"/>
        <w:rPr>
          <w:rFonts w:asciiTheme="minorHAnsi" w:hAnsiTheme="minorHAnsi"/>
          <w:sz w:val="22"/>
          <w:szCs w:val="22"/>
        </w:rPr>
      </w:pPr>
      <w:r w:rsidRPr="003371F1">
        <w:rPr>
          <w:rFonts w:asciiTheme="minorHAnsi" w:hAnsiTheme="minorHAnsi"/>
          <w:sz w:val="22"/>
          <w:szCs w:val="22"/>
        </w:rPr>
        <w:t>DVPP</w:t>
      </w:r>
      <w:r w:rsidRPr="003371F1">
        <w:rPr>
          <w:rFonts w:asciiTheme="minorHAnsi" w:hAnsiTheme="minorHAnsi"/>
          <w:sz w:val="22"/>
          <w:szCs w:val="22"/>
        </w:rPr>
        <w:tab/>
        <w:t>další vzdělávání pedagogických pracovníků</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sz w:val="22"/>
          <w:szCs w:val="22"/>
        </w:rPr>
        <w:t>ESF</w:t>
      </w:r>
      <w:r w:rsidRPr="003371F1">
        <w:rPr>
          <w:rFonts w:asciiTheme="minorHAnsi" w:hAnsiTheme="minorHAnsi"/>
          <w:sz w:val="22"/>
          <w:szCs w:val="22"/>
        </w:rPr>
        <w:tab/>
        <w:t>Evropský sociální fond</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EU</w:t>
      </w:r>
      <w:r w:rsidRPr="003371F1">
        <w:rPr>
          <w:rFonts w:asciiTheme="minorHAnsi" w:hAnsiTheme="minorHAnsi" w:cs="Calibri"/>
          <w:sz w:val="22"/>
          <w:szCs w:val="22"/>
        </w:rPr>
        <w:tab/>
        <w:t>Evropská unie</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GERD</w:t>
      </w:r>
      <w:r w:rsidRPr="003371F1">
        <w:rPr>
          <w:rFonts w:asciiTheme="minorHAnsi" w:hAnsiTheme="minorHAnsi" w:cs="Calibri"/>
          <w:sz w:val="22"/>
          <w:szCs w:val="22"/>
        </w:rPr>
        <w:tab/>
        <w:t xml:space="preserve">celkové výdaje na </w:t>
      </w:r>
      <w:r w:rsidRPr="003371F1">
        <w:rPr>
          <w:rFonts w:asciiTheme="minorHAnsi" w:hAnsiTheme="minorHAnsi" w:cs="Calibri"/>
          <w:iCs/>
          <w:sz w:val="22"/>
          <w:szCs w:val="22"/>
        </w:rPr>
        <w:t>výzkum</w:t>
      </w:r>
      <w:r w:rsidRPr="003371F1">
        <w:rPr>
          <w:rFonts w:asciiTheme="minorHAnsi" w:hAnsiTheme="minorHAnsi" w:cs="Calibri"/>
          <w:sz w:val="22"/>
          <w:szCs w:val="22"/>
        </w:rPr>
        <w:t xml:space="preserve"> a </w:t>
      </w:r>
      <w:r w:rsidRPr="003371F1">
        <w:rPr>
          <w:rFonts w:asciiTheme="minorHAnsi" w:hAnsiTheme="minorHAnsi" w:cs="Calibri"/>
          <w:iCs/>
          <w:sz w:val="22"/>
          <w:szCs w:val="22"/>
        </w:rPr>
        <w:t>vývoj</w:t>
      </w:r>
    </w:p>
    <w:p w:rsidR="00206FFC" w:rsidRPr="003371F1" w:rsidRDefault="00206FFC" w:rsidP="002C40B2">
      <w:pPr>
        <w:pStyle w:val="normln0"/>
        <w:tabs>
          <w:tab w:val="right" w:pos="-4560"/>
          <w:tab w:val="left" w:pos="1680"/>
        </w:tabs>
        <w:spacing w:before="0" w:line="276" w:lineRule="auto"/>
        <w:rPr>
          <w:rFonts w:asciiTheme="minorHAnsi" w:hAnsiTheme="minorHAnsi" w:cs="Calibri"/>
          <w:iCs/>
          <w:sz w:val="22"/>
          <w:szCs w:val="22"/>
        </w:rPr>
      </w:pPr>
      <w:r w:rsidRPr="003371F1">
        <w:rPr>
          <w:rFonts w:asciiTheme="minorHAnsi" w:hAnsiTheme="minorHAnsi"/>
          <w:sz w:val="22"/>
          <w:szCs w:val="22"/>
        </w:rPr>
        <w:t>GOVERD</w:t>
      </w:r>
      <w:r w:rsidRPr="003371F1">
        <w:rPr>
          <w:rFonts w:asciiTheme="minorHAnsi" w:hAnsiTheme="minorHAnsi"/>
          <w:sz w:val="22"/>
          <w:szCs w:val="22"/>
        </w:rPr>
        <w:tab/>
      </w:r>
      <w:r w:rsidRPr="003371F1">
        <w:rPr>
          <w:rFonts w:asciiTheme="minorHAnsi" w:hAnsiTheme="minorHAnsi" w:cs="Calibri"/>
          <w:sz w:val="22"/>
          <w:szCs w:val="22"/>
        </w:rPr>
        <w:t xml:space="preserve">výdaje veřejného (vládního) sektoru na </w:t>
      </w:r>
      <w:r w:rsidRPr="003371F1">
        <w:rPr>
          <w:rFonts w:asciiTheme="minorHAnsi" w:hAnsiTheme="minorHAnsi" w:cs="Calibri"/>
          <w:iCs/>
          <w:sz w:val="22"/>
          <w:szCs w:val="22"/>
        </w:rPr>
        <w:t>výzkum</w:t>
      </w:r>
      <w:r w:rsidRPr="003371F1">
        <w:rPr>
          <w:rFonts w:asciiTheme="minorHAnsi" w:hAnsiTheme="minorHAnsi" w:cs="Calibri"/>
          <w:sz w:val="22"/>
          <w:szCs w:val="22"/>
        </w:rPr>
        <w:t xml:space="preserve"> a </w:t>
      </w:r>
      <w:r w:rsidRPr="003371F1">
        <w:rPr>
          <w:rFonts w:asciiTheme="minorHAnsi" w:hAnsiTheme="minorHAnsi" w:cs="Calibri"/>
          <w:iCs/>
          <w:sz w:val="22"/>
          <w:szCs w:val="22"/>
        </w:rPr>
        <w:t>vývoj</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HDP</w:t>
      </w:r>
      <w:r w:rsidRPr="003371F1">
        <w:rPr>
          <w:rFonts w:asciiTheme="minorHAnsi" w:hAnsiTheme="minorHAnsi" w:cs="Calibri"/>
          <w:sz w:val="22"/>
          <w:szCs w:val="22"/>
        </w:rPr>
        <w:tab/>
        <w:t>hrubý domácí produkt</w:t>
      </w:r>
    </w:p>
    <w:p w:rsidR="00206FFC" w:rsidRPr="003371F1" w:rsidRDefault="00206FFC" w:rsidP="002C40B2">
      <w:pPr>
        <w:pStyle w:val="normln0"/>
        <w:tabs>
          <w:tab w:val="right" w:pos="-4560"/>
          <w:tab w:val="left" w:pos="1680"/>
        </w:tabs>
        <w:spacing w:before="0" w:line="276" w:lineRule="auto"/>
        <w:rPr>
          <w:rFonts w:asciiTheme="minorHAnsi" w:hAnsiTheme="minorHAnsi" w:cs="Calibri"/>
          <w:iCs/>
          <w:sz w:val="22"/>
          <w:szCs w:val="22"/>
        </w:rPr>
      </w:pPr>
      <w:r w:rsidRPr="003371F1">
        <w:rPr>
          <w:rFonts w:asciiTheme="minorHAnsi" w:hAnsiTheme="minorHAnsi" w:cs="Calibri"/>
          <w:sz w:val="22"/>
          <w:szCs w:val="22"/>
        </w:rPr>
        <w:t>HERD</w:t>
      </w:r>
      <w:r w:rsidRPr="003371F1">
        <w:rPr>
          <w:rFonts w:asciiTheme="minorHAnsi" w:hAnsiTheme="minorHAnsi" w:cs="Calibri"/>
          <w:sz w:val="22"/>
          <w:szCs w:val="22"/>
        </w:rPr>
        <w:tab/>
        <w:t xml:space="preserve">výdaje vysokoškolského sektoru na </w:t>
      </w:r>
      <w:r w:rsidRPr="003371F1">
        <w:rPr>
          <w:rFonts w:asciiTheme="minorHAnsi" w:hAnsiTheme="minorHAnsi" w:cs="Calibri"/>
          <w:iCs/>
          <w:sz w:val="22"/>
          <w:szCs w:val="22"/>
        </w:rPr>
        <w:t>výzkum</w:t>
      </w:r>
      <w:r w:rsidRPr="003371F1">
        <w:rPr>
          <w:rFonts w:asciiTheme="minorHAnsi" w:hAnsiTheme="minorHAnsi" w:cs="Calibri"/>
          <w:sz w:val="22"/>
          <w:szCs w:val="22"/>
        </w:rPr>
        <w:t xml:space="preserve"> a </w:t>
      </w:r>
      <w:r w:rsidRPr="003371F1">
        <w:rPr>
          <w:rFonts w:asciiTheme="minorHAnsi" w:hAnsiTheme="minorHAnsi" w:cs="Calibri"/>
          <w:iCs/>
          <w:sz w:val="22"/>
          <w:szCs w:val="22"/>
        </w:rPr>
        <w:t>vývoj</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HKK</w:t>
      </w:r>
      <w:r w:rsidRPr="003371F1">
        <w:rPr>
          <w:rFonts w:asciiTheme="minorHAnsi" w:hAnsiTheme="minorHAnsi" w:cs="Calibri"/>
          <w:sz w:val="22"/>
          <w:szCs w:val="22"/>
        </w:rPr>
        <w:tab/>
        <w:t>Královehradecký kraj</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HPH</w:t>
      </w:r>
      <w:r w:rsidRPr="003371F1">
        <w:rPr>
          <w:rFonts w:asciiTheme="minorHAnsi" w:hAnsiTheme="minorHAnsi" w:cs="Calibri"/>
          <w:sz w:val="22"/>
          <w:szCs w:val="22"/>
        </w:rPr>
        <w:tab/>
        <w:t>hrubá přidaná hodnota</w:t>
      </w:r>
    </w:p>
    <w:p w:rsidR="00F21DB7" w:rsidRDefault="00F21DB7"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HZS</w:t>
      </w:r>
      <w:r>
        <w:rPr>
          <w:rFonts w:asciiTheme="minorHAnsi" w:hAnsiTheme="minorHAnsi" w:cs="Calibri"/>
          <w:sz w:val="22"/>
          <w:szCs w:val="22"/>
        </w:rPr>
        <w:tab/>
        <w:t>hasičský záchranný sbor</w:t>
      </w:r>
    </w:p>
    <w:p w:rsidR="00277F6F" w:rsidRPr="003371F1" w:rsidRDefault="00277F6F"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ICT</w:t>
      </w:r>
      <w:r>
        <w:rPr>
          <w:rFonts w:asciiTheme="minorHAnsi" w:hAnsiTheme="minorHAnsi" w:cs="Calibri"/>
          <w:sz w:val="22"/>
          <w:szCs w:val="22"/>
        </w:rPr>
        <w:tab/>
        <w:t>informační a komunikační technologie</w:t>
      </w:r>
    </w:p>
    <w:p w:rsidR="00206FFC" w:rsidRDefault="00206FFC" w:rsidP="002C40B2">
      <w:pPr>
        <w:pStyle w:val="normln0"/>
        <w:tabs>
          <w:tab w:val="right" w:pos="-4560"/>
          <w:tab w:val="left" w:pos="1680"/>
        </w:tabs>
        <w:spacing w:before="0" w:line="276" w:lineRule="auto"/>
        <w:rPr>
          <w:rFonts w:asciiTheme="minorHAnsi" w:hAnsiTheme="minorHAnsi"/>
          <w:sz w:val="22"/>
          <w:szCs w:val="22"/>
        </w:rPr>
      </w:pPr>
      <w:r w:rsidRPr="003371F1">
        <w:rPr>
          <w:rFonts w:asciiTheme="minorHAnsi" w:hAnsiTheme="minorHAnsi"/>
          <w:sz w:val="22"/>
          <w:szCs w:val="22"/>
        </w:rPr>
        <w:t>IROP</w:t>
      </w:r>
      <w:r w:rsidRPr="003371F1">
        <w:rPr>
          <w:rFonts w:asciiTheme="minorHAnsi" w:hAnsiTheme="minorHAnsi"/>
          <w:sz w:val="22"/>
          <w:szCs w:val="22"/>
        </w:rPr>
        <w:tab/>
        <w:t>Integrovaný regionální operační program</w:t>
      </w:r>
    </w:p>
    <w:p w:rsidR="00277F6F" w:rsidRDefault="00277F6F" w:rsidP="002C40B2">
      <w:pPr>
        <w:pStyle w:val="normln0"/>
        <w:tabs>
          <w:tab w:val="right" w:pos="-4560"/>
          <w:tab w:val="left" w:pos="1680"/>
        </w:tabs>
        <w:spacing w:before="0" w:line="276" w:lineRule="auto"/>
        <w:rPr>
          <w:rFonts w:asciiTheme="minorHAnsi" w:hAnsiTheme="minorHAnsi"/>
          <w:sz w:val="22"/>
          <w:szCs w:val="22"/>
        </w:rPr>
      </w:pPr>
      <w:r w:rsidRPr="00277F6F">
        <w:rPr>
          <w:rFonts w:asciiTheme="minorHAnsi" w:hAnsiTheme="minorHAnsi"/>
          <w:sz w:val="22"/>
          <w:szCs w:val="22"/>
        </w:rPr>
        <w:t xml:space="preserve">ISVS </w:t>
      </w:r>
      <w:r>
        <w:rPr>
          <w:rFonts w:asciiTheme="minorHAnsi" w:hAnsiTheme="minorHAnsi"/>
          <w:sz w:val="22"/>
          <w:szCs w:val="22"/>
        </w:rPr>
        <w:tab/>
        <w:t>infor</w:t>
      </w:r>
      <w:r w:rsidRPr="00277F6F">
        <w:rPr>
          <w:rFonts w:asciiTheme="minorHAnsi" w:hAnsiTheme="minorHAnsi"/>
          <w:sz w:val="22"/>
          <w:szCs w:val="22"/>
        </w:rPr>
        <w:t>m</w:t>
      </w:r>
      <w:r>
        <w:rPr>
          <w:rFonts w:asciiTheme="minorHAnsi" w:hAnsiTheme="minorHAnsi"/>
          <w:sz w:val="22"/>
          <w:szCs w:val="22"/>
        </w:rPr>
        <w:t>a</w:t>
      </w:r>
      <w:r w:rsidRPr="00277F6F">
        <w:rPr>
          <w:rFonts w:asciiTheme="minorHAnsi" w:hAnsiTheme="minorHAnsi"/>
          <w:sz w:val="22"/>
          <w:szCs w:val="22"/>
        </w:rPr>
        <w:t>ční systém veřejné správy</w:t>
      </w:r>
    </w:p>
    <w:p w:rsidR="00CD0438" w:rsidRPr="003371F1" w:rsidRDefault="00CD0438" w:rsidP="002C40B2">
      <w:pPr>
        <w:pStyle w:val="normln0"/>
        <w:tabs>
          <w:tab w:val="right" w:pos="-4560"/>
          <w:tab w:val="left" w:pos="1680"/>
        </w:tabs>
        <w:spacing w:before="0" w:line="276" w:lineRule="auto"/>
        <w:rPr>
          <w:rFonts w:asciiTheme="minorHAnsi" w:hAnsiTheme="minorHAnsi"/>
          <w:sz w:val="22"/>
          <w:szCs w:val="22"/>
        </w:rPr>
      </w:pPr>
      <w:r>
        <w:rPr>
          <w:rFonts w:asciiTheme="minorHAnsi" w:hAnsiTheme="minorHAnsi"/>
          <w:sz w:val="22"/>
          <w:szCs w:val="22"/>
        </w:rPr>
        <w:t>IZS</w:t>
      </w:r>
      <w:r>
        <w:rPr>
          <w:rFonts w:asciiTheme="minorHAnsi" w:hAnsiTheme="minorHAnsi"/>
          <w:sz w:val="22"/>
          <w:szCs w:val="22"/>
        </w:rPr>
        <w:tab/>
        <w:t>integrovaný záchranný systém</w:t>
      </w:r>
    </w:p>
    <w:p w:rsidR="00206FFC" w:rsidRPr="003371F1" w:rsidRDefault="00206FFC" w:rsidP="002C40B2">
      <w:pPr>
        <w:pStyle w:val="normln0"/>
        <w:tabs>
          <w:tab w:val="right" w:pos="-4560"/>
          <w:tab w:val="left" w:pos="1680"/>
        </w:tabs>
        <w:spacing w:before="0" w:line="276" w:lineRule="auto"/>
        <w:rPr>
          <w:rFonts w:asciiTheme="minorHAnsi" w:hAnsiTheme="minorHAnsi"/>
          <w:sz w:val="22"/>
          <w:szCs w:val="22"/>
        </w:rPr>
      </w:pPr>
      <w:r w:rsidRPr="003371F1">
        <w:rPr>
          <w:rFonts w:asciiTheme="minorHAnsi" w:hAnsiTheme="minorHAnsi"/>
          <w:sz w:val="22"/>
          <w:szCs w:val="22"/>
        </w:rPr>
        <w:t>JHC</w:t>
      </w:r>
      <w:r w:rsidRPr="003371F1">
        <w:rPr>
          <w:rFonts w:asciiTheme="minorHAnsi" w:hAnsiTheme="minorHAnsi"/>
          <w:sz w:val="22"/>
          <w:szCs w:val="22"/>
        </w:rPr>
        <w:tab/>
        <w:t>Jihočeský kraj</w:t>
      </w:r>
    </w:p>
    <w:p w:rsidR="00206FFC" w:rsidRDefault="00206FFC" w:rsidP="002C40B2">
      <w:pPr>
        <w:pStyle w:val="normln0"/>
        <w:tabs>
          <w:tab w:val="right" w:pos="-4560"/>
          <w:tab w:val="left" w:pos="1680"/>
        </w:tabs>
        <w:spacing w:before="0" w:line="276" w:lineRule="auto"/>
        <w:rPr>
          <w:rFonts w:asciiTheme="minorHAnsi" w:hAnsiTheme="minorHAnsi"/>
          <w:sz w:val="22"/>
          <w:szCs w:val="22"/>
        </w:rPr>
      </w:pPr>
      <w:r w:rsidRPr="003371F1">
        <w:rPr>
          <w:rFonts w:asciiTheme="minorHAnsi" w:hAnsiTheme="minorHAnsi"/>
          <w:sz w:val="22"/>
          <w:szCs w:val="22"/>
        </w:rPr>
        <w:t>JHM</w:t>
      </w:r>
      <w:r w:rsidRPr="003371F1">
        <w:rPr>
          <w:rFonts w:asciiTheme="minorHAnsi" w:hAnsiTheme="minorHAnsi"/>
          <w:sz w:val="22"/>
          <w:szCs w:val="22"/>
        </w:rPr>
        <w:tab/>
        <w:t>Jihomoravský kraj</w:t>
      </w:r>
    </w:p>
    <w:p w:rsidR="00277F6F" w:rsidRPr="004071F1" w:rsidRDefault="00277F6F" w:rsidP="002C40B2">
      <w:pPr>
        <w:pStyle w:val="normln0"/>
        <w:tabs>
          <w:tab w:val="right" w:pos="-4560"/>
          <w:tab w:val="left" w:pos="1680"/>
        </w:tabs>
        <w:spacing w:before="0" w:line="276" w:lineRule="auto"/>
        <w:rPr>
          <w:rFonts w:asciiTheme="minorHAnsi" w:hAnsiTheme="minorHAnsi" w:cs="Calibri"/>
          <w:sz w:val="22"/>
          <w:szCs w:val="22"/>
        </w:rPr>
      </w:pPr>
      <w:r w:rsidRPr="004071F1">
        <w:rPr>
          <w:rFonts w:asciiTheme="minorHAnsi" w:hAnsiTheme="minorHAnsi" w:cs="Calibri"/>
          <w:sz w:val="22"/>
          <w:szCs w:val="22"/>
        </w:rPr>
        <w:t xml:space="preserve">KDS </w:t>
      </w:r>
      <w:r w:rsidR="001D343C">
        <w:rPr>
          <w:rFonts w:asciiTheme="minorHAnsi" w:hAnsiTheme="minorHAnsi" w:cs="Calibri"/>
          <w:sz w:val="22"/>
          <w:szCs w:val="22"/>
        </w:rPr>
        <w:tab/>
      </w:r>
      <w:r w:rsidRPr="004071F1">
        <w:rPr>
          <w:rFonts w:asciiTheme="minorHAnsi" w:hAnsiTheme="minorHAnsi" w:cs="Calibri"/>
          <w:sz w:val="22"/>
          <w:szCs w:val="22"/>
        </w:rPr>
        <w:t xml:space="preserve">Krajská digitální spisovna </w:t>
      </w:r>
    </w:p>
    <w:p w:rsidR="00277F6F" w:rsidRPr="004071F1" w:rsidRDefault="00277F6F" w:rsidP="002C40B2">
      <w:pPr>
        <w:pStyle w:val="normln0"/>
        <w:tabs>
          <w:tab w:val="right" w:pos="-4560"/>
          <w:tab w:val="left" w:pos="1680"/>
        </w:tabs>
        <w:spacing w:before="0" w:line="276" w:lineRule="auto"/>
        <w:rPr>
          <w:rFonts w:asciiTheme="minorHAnsi" w:hAnsiTheme="minorHAnsi" w:cs="Calibri"/>
          <w:sz w:val="22"/>
          <w:szCs w:val="22"/>
        </w:rPr>
      </w:pPr>
      <w:r w:rsidRPr="004071F1">
        <w:rPr>
          <w:rFonts w:asciiTheme="minorHAnsi" w:hAnsiTheme="minorHAnsi" w:cs="Calibri"/>
          <w:sz w:val="22"/>
          <w:szCs w:val="22"/>
        </w:rPr>
        <w:t xml:space="preserve">KDR </w:t>
      </w:r>
      <w:r w:rsidR="001D343C">
        <w:rPr>
          <w:rFonts w:asciiTheme="minorHAnsi" w:hAnsiTheme="minorHAnsi" w:cs="Calibri"/>
          <w:sz w:val="22"/>
          <w:szCs w:val="22"/>
        </w:rPr>
        <w:tab/>
      </w:r>
      <w:r w:rsidRPr="004071F1">
        <w:rPr>
          <w:rFonts w:asciiTheme="minorHAnsi" w:hAnsiTheme="minorHAnsi" w:cs="Calibri"/>
          <w:sz w:val="22"/>
          <w:szCs w:val="22"/>
        </w:rPr>
        <w:t xml:space="preserve">Krajský digitální repozitář </w:t>
      </w:r>
    </w:p>
    <w:p w:rsidR="0075781E" w:rsidRDefault="00277F6F" w:rsidP="002C40B2">
      <w:pPr>
        <w:pStyle w:val="normln0"/>
        <w:tabs>
          <w:tab w:val="right" w:pos="-4560"/>
          <w:tab w:val="left" w:pos="1680"/>
        </w:tabs>
        <w:spacing w:before="0" w:line="276" w:lineRule="auto"/>
        <w:rPr>
          <w:rFonts w:asciiTheme="minorHAnsi" w:hAnsiTheme="minorHAnsi" w:cs="Calibri"/>
          <w:sz w:val="22"/>
          <w:szCs w:val="22"/>
        </w:rPr>
      </w:pPr>
      <w:r w:rsidRPr="004071F1">
        <w:rPr>
          <w:rFonts w:asciiTheme="minorHAnsi" w:hAnsiTheme="minorHAnsi" w:cs="Calibri"/>
          <w:sz w:val="22"/>
          <w:szCs w:val="22"/>
        </w:rPr>
        <w:t xml:space="preserve">KDU </w:t>
      </w:r>
      <w:r w:rsidR="001D343C">
        <w:rPr>
          <w:rFonts w:asciiTheme="minorHAnsi" w:hAnsiTheme="minorHAnsi" w:cs="Calibri"/>
          <w:sz w:val="22"/>
          <w:szCs w:val="22"/>
        </w:rPr>
        <w:tab/>
      </w:r>
      <w:r w:rsidRPr="004071F1">
        <w:rPr>
          <w:rFonts w:asciiTheme="minorHAnsi" w:hAnsiTheme="minorHAnsi" w:cs="Calibri"/>
          <w:sz w:val="22"/>
          <w:szCs w:val="22"/>
        </w:rPr>
        <w:t>Krajské digitální úložiště</w:t>
      </w:r>
      <w:r w:rsidR="001D343C" w:rsidRPr="004071F1">
        <w:rPr>
          <w:rFonts w:asciiTheme="minorHAnsi" w:hAnsiTheme="minorHAnsi" w:cs="Calibri"/>
          <w:sz w:val="22"/>
          <w:szCs w:val="22"/>
        </w:rPr>
        <w:t xml:space="preserve"> </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KK, KVK</w:t>
      </w:r>
      <w:r w:rsidRPr="003371F1">
        <w:rPr>
          <w:rFonts w:asciiTheme="minorHAnsi" w:hAnsiTheme="minorHAnsi" w:cs="Calibri"/>
          <w:sz w:val="22"/>
          <w:szCs w:val="22"/>
        </w:rPr>
        <w:tab/>
        <w:t>Karlovarský kraj</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KKN</w:t>
      </w:r>
      <w:r>
        <w:rPr>
          <w:rFonts w:asciiTheme="minorHAnsi" w:hAnsiTheme="minorHAnsi" w:cs="Calibri"/>
          <w:sz w:val="22"/>
          <w:szCs w:val="22"/>
        </w:rPr>
        <w:tab/>
        <w:t>Karlovarská krajská nemocnice, a. s.</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lastRenderedPageBreak/>
        <w:t>KO</w:t>
      </w:r>
      <w:r>
        <w:rPr>
          <w:rFonts w:asciiTheme="minorHAnsi" w:hAnsiTheme="minorHAnsi" w:cs="Calibri"/>
          <w:sz w:val="22"/>
          <w:szCs w:val="22"/>
        </w:rPr>
        <w:tab/>
        <w:t>komunální odpad</w:t>
      </w:r>
    </w:p>
    <w:p w:rsidR="00495E3A" w:rsidRDefault="00495E3A"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KV</w:t>
      </w:r>
      <w:r>
        <w:rPr>
          <w:rFonts w:asciiTheme="minorHAnsi" w:hAnsiTheme="minorHAnsi" w:cs="Calibri"/>
          <w:sz w:val="22"/>
          <w:szCs w:val="22"/>
        </w:rPr>
        <w:tab/>
        <w:t>Karlovy Vary</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sz w:val="22"/>
          <w:szCs w:val="22"/>
        </w:rPr>
        <w:t>KVC</w:t>
      </w:r>
      <w:r w:rsidRPr="003371F1">
        <w:rPr>
          <w:rFonts w:asciiTheme="minorHAnsi" w:hAnsiTheme="minorHAnsi"/>
          <w:sz w:val="22"/>
          <w:szCs w:val="22"/>
        </w:rPr>
        <w:tab/>
        <w:t>Krajské vzdělávací centrum</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KZAM</w:t>
      </w:r>
      <w:r w:rsidRPr="003371F1">
        <w:rPr>
          <w:rFonts w:asciiTheme="minorHAnsi" w:hAnsiTheme="minorHAnsi" w:cs="Calibri"/>
          <w:sz w:val="22"/>
          <w:szCs w:val="22"/>
        </w:rPr>
        <w:tab/>
        <w:t>klasifikace zaměstnání</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LBK</w:t>
      </w:r>
      <w:r w:rsidRPr="003371F1">
        <w:rPr>
          <w:rFonts w:asciiTheme="minorHAnsi" w:hAnsiTheme="minorHAnsi" w:cs="Calibri"/>
          <w:sz w:val="22"/>
          <w:szCs w:val="22"/>
        </w:rPr>
        <w:tab/>
        <w:t>Liberecký kraj</w:t>
      </w:r>
    </w:p>
    <w:p w:rsidR="00206FFC" w:rsidRPr="003371F1" w:rsidRDefault="00206FFC" w:rsidP="002C40B2">
      <w:pPr>
        <w:pStyle w:val="normln0"/>
        <w:tabs>
          <w:tab w:val="right" w:pos="-4560"/>
          <w:tab w:val="left" w:pos="1680"/>
        </w:tabs>
        <w:spacing w:before="0" w:line="276" w:lineRule="auto"/>
        <w:ind w:left="1680" w:hanging="1680"/>
        <w:rPr>
          <w:rFonts w:asciiTheme="minorHAnsi" w:hAnsiTheme="minorHAnsi" w:cs="Calibri"/>
          <w:sz w:val="22"/>
          <w:szCs w:val="22"/>
        </w:rPr>
      </w:pPr>
      <w:r w:rsidRPr="003371F1">
        <w:rPr>
          <w:rFonts w:asciiTheme="minorHAnsi" w:hAnsiTheme="minorHAnsi" w:cs="Calibri"/>
          <w:sz w:val="22"/>
          <w:szCs w:val="22"/>
        </w:rPr>
        <w:t>LQ</w:t>
      </w:r>
      <w:r w:rsidRPr="003371F1">
        <w:rPr>
          <w:rFonts w:asciiTheme="minorHAnsi" w:hAnsiTheme="minorHAnsi" w:cs="Calibri"/>
          <w:sz w:val="22"/>
          <w:szCs w:val="22"/>
        </w:rPr>
        <w:tab/>
        <w:t>lokalizační kvocient</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MHD</w:t>
      </w:r>
      <w:r w:rsidRPr="003371F1">
        <w:rPr>
          <w:rFonts w:asciiTheme="minorHAnsi" w:hAnsiTheme="minorHAnsi" w:cs="Calibri"/>
          <w:sz w:val="22"/>
          <w:szCs w:val="22"/>
        </w:rPr>
        <w:tab/>
        <w:t>městská hromadná doprava</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MN</w:t>
      </w:r>
      <w:r w:rsidRPr="003371F1">
        <w:rPr>
          <w:rFonts w:asciiTheme="minorHAnsi" w:hAnsiTheme="minorHAnsi" w:cs="Calibri"/>
          <w:sz w:val="22"/>
          <w:szCs w:val="22"/>
        </w:rPr>
        <w:tab/>
        <w:t>míra nezaměstnanosti</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MPSV</w:t>
      </w:r>
      <w:r w:rsidRPr="003371F1">
        <w:rPr>
          <w:rFonts w:asciiTheme="minorHAnsi" w:hAnsiTheme="minorHAnsi" w:cs="Calibri"/>
          <w:sz w:val="22"/>
          <w:szCs w:val="22"/>
        </w:rPr>
        <w:tab/>
        <w:t>Ministerstvo práce a sociálních věcí</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MSK</w:t>
      </w:r>
      <w:r w:rsidRPr="003371F1">
        <w:rPr>
          <w:rFonts w:asciiTheme="minorHAnsi" w:hAnsiTheme="minorHAnsi" w:cs="Calibri"/>
          <w:sz w:val="22"/>
          <w:szCs w:val="22"/>
        </w:rPr>
        <w:tab/>
        <w:t>Moravskoslezský kraj</w:t>
      </w:r>
    </w:p>
    <w:p w:rsidR="00F21DB7" w:rsidRDefault="00F21DB7"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MU</w:t>
      </w:r>
      <w:r>
        <w:rPr>
          <w:rFonts w:asciiTheme="minorHAnsi" w:hAnsiTheme="minorHAnsi" w:cs="Calibri"/>
          <w:sz w:val="22"/>
          <w:szCs w:val="22"/>
        </w:rPr>
        <w:tab/>
        <w:t>mimořádné události</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MZČR</w:t>
      </w:r>
      <w:r>
        <w:rPr>
          <w:rFonts w:asciiTheme="minorHAnsi" w:hAnsiTheme="minorHAnsi" w:cs="Calibri"/>
          <w:sz w:val="22"/>
          <w:szCs w:val="22"/>
        </w:rPr>
        <w:tab/>
        <w:t>Ministerstvo zdravotnictví ČR</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MŽP</w:t>
      </w:r>
      <w:r>
        <w:rPr>
          <w:rFonts w:asciiTheme="minorHAnsi" w:hAnsiTheme="minorHAnsi" w:cs="Calibri"/>
          <w:sz w:val="22"/>
          <w:szCs w:val="22"/>
        </w:rPr>
        <w:tab/>
        <w:t>Ministerstvo životního prostředí</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NH</w:t>
      </w:r>
      <w:r w:rsidRPr="003371F1">
        <w:rPr>
          <w:rFonts w:asciiTheme="minorHAnsi" w:hAnsiTheme="minorHAnsi" w:cs="Calibri"/>
          <w:sz w:val="22"/>
          <w:szCs w:val="22"/>
        </w:rPr>
        <w:tab/>
        <w:t>národní hospodářství</w:t>
      </w:r>
    </w:p>
    <w:p w:rsidR="00206FFC" w:rsidRDefault="00206FFC" w:rsidP="002C40B2">
      <w:pPr>
        <w:pStyle w:val="normln0"/>
        <w:tabs>
          <w:tab w:val="right" w:pos="-4560"/>
          <w:tab w:val="left" w:pos="1680"/>
        </w:tabs>
        <w:spacing w:before="0" w:line="276" w:lineRule="auto"/>
        <w:rPr>
          <w:rFonts w:asciiTheme="minorHAnsi" w:hAnsiTheme="minorHAnsi"/>
          <w:bCs/>
          <w:sz w:val="22"/>
          <w:szCs w:val="22"/>
        </w:rPr>
      </w:pPr>
      <w:r w:rsidRPr="003371F1">
        <w:rPr>
          <w:rFonts w:asciiTheme="minorHAnsi" w:hAnsiTheme="minorHAnsi"/>
          <w:bCs/>
          <w:sz w:val="22"/>
          <w:szCs w:val="22"/>
        </w:rPr>
        <w:t>NIDV</w:t>
      </w:r>
      <w:r w:rsidRPr="003371F1">
        <w:rPr>
          <w:rFonts w:asciiTheme="minorHAnsi" w:hAnsiTheme="minorHAnsi"/>
          <w:bCs/>
          <w:sz w:val="22"/>
          <w:szCs w:val="22"/>
        </w:rPr>
        <w:tab/>
        <w:t>Národní institut pro další vzdělávání</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NIKM</w:t>
      </w:r>
      <w:r>
        <w:rPr>
          <w:rFonts w:asciiTheme="minorHAnsi" w:hAnsiTheme="minorHAnsi" w:cs="Calibri"/>
          <w:sz w:val="22"/>
          <w:szCs w:val="22"/>
        </w:rPr>
        <w:tab/>
        <w:t>národní inventarizace kontaminovaných míst</w:t>
      </w:r>
    </w:p>
    <w:p w:rsidR="00A06854" w:rsidRDefault="00A06854"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NKP</w:t>
      </w:r>
      <w:r>
        <w:rPr>
          <w:rFonts w:asciiTheme="minorHAnsi" w:hAnsiTheme="minorHAnsi" w:cs="Calibri"/>
          <w:sz w:val="22"/>
          <w:szCs w:val="22"/>
        </w:rPr>
        <w:tab/>
        <w:t>národní kulturní památka</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bCs/>
          <w:sz w:val="22"/>
          <w:szCs w:val="22"/>
        </w:rPr>
        <w:t>NNO</w:t>
      </w:r>
      <w:r>
        <w:rPr>
          <w:rFonts w:asciiTheme="minorHAnsi" w:hAnsiTheme="minorHAnsi"/>
          <w:bCs/>
          <w:sz w:val="22"/>
          <w:szCs w:val="22"/>
        </w:rPr>
        <w:tab/>
        <w:t>nestátní neziskové organizace</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 xml:space="preserve">NÚOV </w:t>
      </w:r>
      <w:r w:rsidRPr="003371F1">
        <w:rPr>
          <w:rFonts w:asciiTheme="minorHAnsi" w:hAnsiTheme="minorHAnsi" w:cs="Calibri"/>
          <w:sz w:val="22"/>
          <w:szCs w:val="22"/>
        </w:rPr>
        <w:tab/>
      </w:r>
      <w:hyperlink r:id="rId12" w:history="1">
        <w:r w:rsidRPr="003371F1">
          <w:rPr>
            <w:rFonts w:asciiTheme="minorHAnsi" w:hAnsiTheme="minorHAnsi" w:cs="Calibri"/>
            <w:sz w:val="22"/>
            <w:szCs w:val="22"/>
          </w:rPr>
          <w:t>Národní ústav odborného vzdělávání</w:t>
        </w:r>
      </w:hyperlink>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NUTS</w:t>
      </w:r>
      <w:r w:rsidRPr="003371F1">
        <w:rPr>
          <w:rFonts w:asciiTheme="minorHAnsi" w:hAnsiTheme="minorHAnsi" w:cs="Calibri"/>
          <w:bCs/>
          <w:sz w:val="22"/>
          <w:szCs w:val="22"/>
          <w:lang w:eastAsia="en-US"/>
        </w:rPr>
        <w:tab/>
      </w:r>
      <w:r w:rsidRPr="003371F1">
        <w:rPr>
          <w:rFonts w:asciiTheme="minorHAnsi" w:hAnsiTheme="minorHAnsi" w:cs="Calibri"/>
          <w:sz w:val="22"/>
          <w:szCs w:val="22"/>
        </w:rPr>
        <w:t>nomenklatura územních statistických jednotek</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OECD</w:t>
      </w:r>
      <w:r w:rsidRPr="003371F1">
        <w:rPr>
          <w:rFonts w:asciiTheme="minorHAnsi" w:hAnsiTheme="minorHAnsi" w:cs="Calibri"/>
          <w:sz w:val="22"/>
          <w:szCs w:val="22"/>
        </w:rPr>
        <w:tab/>
        <w:t>Organizace pro hospodářskou spolupráci a rozvoj</w:t>
      </w:r>
    </w:p>
    <w:p w:rsidR="00206FFC" w:rsidRPr="003371F1" w:rsidRDefault="00206FFC" w:rsidP="002C40B2">
      <w:pPr>
        <w:pStyle w:val="normln0"/>
        <w:tabs>
          <w:tab w:val="right" w:pos="-4560"/>
          <w:tab w:val="left" w:pos="1680"/>
        </w:tabs>
        <w:spacing w:before="0" w:line="276" w:lineRule="auto"/>
        <w:rPr>
          <w:rFonts w:asciiTheme="minorHAnsi" w:hAnsiTheme="minorHAnsi" w:cs="Calibri"/>
          <w:sz w:val="22"/>
          <w:szCs w:val="22"/>
        </w:rPr>
      </w:pPr>
      <w:r w:rsidRPr="003371F1">
        <w:rPr>
          <w:rFonts w:asciiTheme="minorHAnsi" w:hAnsiTheme="minorHAnsi" w:cs="Calibri"/>
          <w:sz w:val="22"/>
          <w:szCs w:val="22"/>
        </w:rPr>
        <w:t>OKEČ</w:t>
      </w:r>
      <w:r w:rsidRPr="003371F1">
        <w:rPr>
          <w:rFonts w:asciiTheme="minorHAnsi" w:hAnsiTheme="minorHAnsi" w:cs="Calibri"/>
          <w:sz w:val="22"/>
          <w:szCs w:val="22"/>
        </w:rPr>
        <w:tab/>
        <w:t>odvětvová klasifikace ekonomických činností</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OLK</w:t>
      </w:r>
      <w:r w:rsidRPr="00F813BE">
        <w:rPr>
          <w:rFonts w:asciiTheme="minorHAnsi" w:hAnsiTheme="minorHAnsi" w:cs="Calibri"/>
          <w:sz w:val="22"/>
          <w:szCs w:val="22"/>
        </w:rPr>
        <w:tab/>
        <w:t>Olomoucký kraj</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OP VaVpI</w:t>
      </w:r>
      <w:r>
        <w:rPr>
          <w:rFonts w:asciiTheme="minorHAnsi" w:hAnsiTheme="minorHAnsi" w:cs="Calibri"/>
          <w:sz w:val="22"/>
          <w:szCs w:val="22"/>
        </w:rPr>
        <w:tab/>
        <w:t>operační program V</w:t>
      </w:r>
      <w:r w:rsidRPr="00F813BE">
        <w:rPr>
          <w:rFonts w:asciiTheme="minorHAnsi" w:hAnsiTheme="minorHAnsi" w:cs="Calibri"/>
          <w:sz w:val="22"/>
          <w:szCs w:val="22"/>
        </w:rPr>
        <w:t>ýzkum a vývoj pro inovace</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OP VK</w:t>
      </w:r>
      <w:r>
        <w:rPr>
          <w:rFonts w:asciiTheme="minorHAnsi" w:hAnsiTheme="minorHAnsi" w:cs="Calibri"/>
          <w:sz w:val="22"/>
          <w:szCs w:val="22"/>
        </w:rPr>
        <w:tab/>
        <w:t>operační program Vzdělávání pro konkurenceschopnost</w:t>
      </w:r>
    </w:p>
    <w:p w:rsidR="00206FFC" w:rsidRPr="00B958E3" w:rsidRDefault="00206FFC" w:rsidP="002C40B2">
      <w:pPr>
        <w:pStyle w:val="normln0"/>
        <w:tabs>
          <w:tab w:val="right" w:pos="-4560"/>
          <w:tab w:val="left" w:pos="1680"/>
        </w:tabs>
        <w:spacing w:before="0" w:line="276" w:lineRule="auto"/>
        <w:rPr>
          <w:rFonts w:asciiTheme="minorHAnsi" w:hAnsiTheme="minorHAnsi"/>
          <w:sz w:val="22"/>
          <w:szCs w:val="22"/>
        </w:rPr>
      </w:pPr>
      <w:r w:rsidRPr="00B958E3">
        <w:rPr>
          <w:rFonts w:asciiTheme="minorHAnsi" w:hAnsiTheme="minorHAnsi"/>
          <w:sz w:val="22"/>
          <w:szCs w:val="22"/>
        </w:rPr>
        <w:t>OP</w:t>
      </w:r>
      <w:r>
        <w:rPr>
          <w:rFonts w:asciiTheme="minorHAnsi" w:hAnsiTheme="minorHAnsi"/>
          <w:sz w:val="22"/>
          <w:szCs w:val="22"/>
        </w:rPr>
        <w:t xml:space="preserve"> </w:t>
      </w:r>
      <w:r w:rsidRPr="00B958E3">
        <w:rPr>
          <w:rFonts w:asciiTheme="minorHAnsi" w:hAnsiTheme="minorHAnsi"/>
          <w:sz w:val="22"/>
          <w:szCs w:val="22"/>
        </w:rPr>
        <w:t>VVV</w:t>
      </w:r>
      <w:r w:rsidRPr="00B958E3">
        <w:rPr>
          <w:rFonts w:asciiTheme="minorHAnsi" w:hAnsiTheme="minorHAnsi"/>
          <w:sz w:val="22"/>
          <w:szCs w:val="22"/>
        </w:rPr>
        <w:tab/>
      </w:r>
      <w:r>
        <w:rPr>
          <w:rFonts w:asciiTheme="minorHAnsi" w:hAnsiTheme="minorHAnsi" w:cs="Calibri"/>
          <w:sz w:val="22"/>
          <w:szCs w:val="22"/>
        </w:rPr>
        <w:t>operační program V</w:t>
      </w:r>
      <w:r w:rsidRPr="00B958E3">
        <w:rPr>
          <w:rFonts w:asciiTheme="minorHAnsi" w:hAnsiTheme="minorHAnsi"/>
          <w:sz w:val="22"/>
          <w:szCs w:val="22"/>
        </w:rPr>
        <w:t>ýzkum, vývoj a vzdělávání</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ORP</w:t>
      </w:r>
      <w:r w:rsidRPr="00F813BE">
        <w:rPr>
          <w:rFonts w:asciiTheme="minorHAnsi" w:hAnsiTheme="minorHAnsi" w:cs="Calibri"/>
          <w:sz w:val="22"/>
          <w:szCs w:val="22"/>
        </w:rPr>
        <w:tab/>
        <w:t>obec s rozšířenou působností</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OZE</w:t>
      </w:r>
      <w:r>
        <w:rPr>
          <w:rFonts w:asciiTheme="minorHAnsi" w:hAnsiTheme="minorHAnsi" w:cs="Calibri"/>
          <w:sz w:val="22"/>
          <w:szCs w:val="22"/>
        </w:rPr>
        <w:tab/>
        <w:t>obnovitelné zdroje energie</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p. b.</w:t>
      </w:r>
      <w:r w:rsidRPr="00F813BE">
        <w:rPr>
          <w:rFonts w:asciiTheme="minorHAnsi" w:hAnsiTheme="minorHAnsi" w:cs="Calibri"/>
          <w:sz w:val="22"/>
          <w:szCs w:val="22"/>
        </w:rPr>
        <w:tab/>
        <w:t>procentní bod</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PAK</w:t>
      </w:r>
      <w:r w:rsidRPr="00F813BE">
        <w:rPr>
          <w:rFonts w:asciiTheme="minorHAnsi" w:hAnsiTheme="minorHAnsi" w:cs="Calibri"/>
          <w:sz w:val="22"/>
          <w:szCs w:val="22"/>
        </w:rPr>
        <w:tab/>
        <w:t>Pardubický kraj</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PH</w:t>
      </w:r>
      <w:r w:rsidRPr="00F813BE">
        <w:rPr>
          <w:rFonts w:asciiTheme="minorHAnsi" w:hAnsiTheme="minorHAnsi" w:cs="Calibri"/>
          <w:sz w:val="22"/>
          <w:szCs w:val="22"/>
        </w:rPr>
        <w:tab/>
        <w:t>přidaná hodnota</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PHA</w:t>
      </w:r>
      <w:r w:rsidRPr="00F813BE">
        <w:rPr>
          <w:rFonts w:asciiTheme="minorHAnsi" w:hAnsiTheme="minorHAnsi" w:cs="Calibri"/>
          <w:sz w:val="22"/>
          <w:szCs w:val="22"/>
        </w:rPr>
        <w:tab/>
        <w:t>Hlavní město Praha</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PLK</w:t>
      </w:r>
      <w:r w:rsidRPr="00F813BE">
        <w:rPr>
          <w:rFonts w:asciiTheme="minorHAnsi" w:hAnsiTheme="minorHAnsi" w:cs="Calibri"/>
          <w:sz w:val="22"/>
          <w:szCs w:val="22"/>
        </w:rPr>
        <w:tab/>
        <w:t>Plzeňský kraj</w:t>
      </w:r>
    </w:p>
    <w:p w:rsidR="00F21DB7" w:rsidRDefault="00F21DB7"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PO</w:t>
      </w:r>
      <w:r>
        <w:rPr>
          <w:rFonts w:asciiTheme="minorHAnsi" w:hAnsiTheme="minorHAnsi" w:cs="Calibri"/>
          <w:sz w:val="22"/>
          <w:szCs w:val="22"/>
        </w:rPr>
        <w:tab/>
        <w:t>požární ochrana</w:t>
      </w:r>
    </w:p>
    <w:p w:rsidR="00414CAC" w:rsidRPr="00F813BE" w:rsidRDefault="00414CA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POÚ</w:t>
      </w:r>
      <w:r>
        <w:rPr>
          <w:rFonts w:asciiTheme="minorHAnsi" w:hAnsiTheme="minorHAnsi" w:cs="Calibri"/>
          <w:sz w:val="22"/>
          <w:szCs w:val="22"/>
        </w:rPr>
        <w:tab/>
        <w:t>obec s pověřeným úřadem</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PZI</w:t>
      </w:r>
      <w:r w:rsidRPr="00F813BE">
        <w:rPr>
          <w:rFonts w:asciiTheme="minorHAnsi" w:hAnsiTheme="minorHAnsi" w:cs="Calibri"/>
          <w:sz w:val="22"/>
          <w:szCs w:val="22"/>
        </w:rPr>
        <w:tab/>
        <w:t>přímé zahraniční investice</w:t>
      </w:r>
    </w:p>
    <w:p w:rsidR="00277F6F" w:rsidRPr="00F813BE" w:rsidRDefault="00277F6F"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RKI</w:t>
      </w:r>
      <w:r>
        <w:rPr>
          <w:rFonts w:asciiTheme="minorHAnsi" w:hAnsiTheme="minorHAnsi" w:cs="Calibri"/>
          <w:sz w:val="22"/>
          <w:szCs w:val="22"/>
        </w:rPr>
        <w:tab/>
        <w:t>Regionální komunikační infrastruktura</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ŘSD ČR</w:t>
      </w:r>
      <w:r>
        <w:rPr>
          <w:rFonts w:asciiTheme="minorHAnsi" w:hAnsiTheme="minorHAnsi" w:cs="Calibri"/>
          <w:sz w:val="22"/>
          <w:szCs w:val="22"/>
        </w:rPr>
        <w:tab/>
        <w:t>Ředitelství silnic a dálnic České republiky</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lastRenderedPageBreak/>
        <w:t>s. c.</w:t>
      </w:r>
      <w:r w:rsidRPr="00F813BE">
        <w:rPr>
          <w:rFonts w:asciiTheme="minorHAnsi" w:hAnsiTheme="minorHAnsi" w:cs="Calibri"/>
          <w:sz w:val="22"/>
          <w:szCs w:val="22"/>
        </w:rPr>
        <w:tab/>
        <w:t>stálé ceny</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SEKM</w:t>
      </w:r>
      <w:r>
        <w:rPr>
          <w:rFonts w:asciiTheme="minorHAnsi" w:hAnsiTheme="minorHAnsi" w:cs="Calibri"/>
          <w:sz w:val="22"/>
          <w:szCs w:val="22"/>
        </w:rPr>
        <w:tab/>
        <w:t>systém evidence kontaminovaných míst</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SKO</w:t>
      </w:r>
      <w:r>
        <w:rPr>
          <w:rFonts w:asciiTheme="minorHAnsi" w:hAnsiTheme="minorHAnsi" w:cs="Calibri"/>
          <w:sz w:val="22"/>
          <w:szCs w:val="22"/>
        </w:rPr>
        <w:tab/>
        <w:t>směsný komunální odpad</w:t>
      </w:r>
    </w:p>
    <w:p w:rsidR="00167928" w:rsidRDefault="008B1EE8" w:rsidP="00167928">
      <w:pPr>
        <w:pStyle w:val="normln0"/>
        <w:tabs>
          <w:tab w:val="right" w:pos="-4560"/>
          <w:tab w:val="left" w:pos="1680"/>
        </w:tabs>
        <w:spacing w:before="0" w:line="276" w:lineRule="auto"/>
        <w:rPr>
          <w:rFonts w:asciiTheme="minorHAnsi" w:hAnsiTheme="minorHAnsi" w:cs="Calibri"/>
          <w:sz w:val="22"/>
          <w:szCs w:val="22"/>
        </w:rPr>
      </w:pPr>
      <w:r w:rsidRPr="008B1EE8">
        <w:rPr>
          <w:rFonts w:asciiTheme="minorHAnsi" w:hAnsiTheme="minorHAnsi" w:cs="Calibri"/>
          <w:sz w:val="22"/>
          <w:szCs w:val="22"/>
        </w:rPr>
        <w:t>SO ORP</w:t>
      </w:r>
      <w:r w:rsidRPr="008B1EE8">
        <w:rPr>
          <w:rFonts w:asciiTheme="minorHAnsi" w:hAnsiTheme="minorHAnsi" w:cs="Calibri"/>
          <w:sz w:val="22"/>
          <w:szCs w:val="22"/>
        </w:rPr>
        <w:tab/>
        <w:t>správní obvod obce s rozšířenou působností</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STC</w:t>
      </w:r>
      <w:r w:rsidRPr="00F813BE">
        <w:rPr>
          <w:rFonts w:asciiTheme="minorHAnsi" w:hAnsiTheme="minorHAnsi" w:cs="Calibri"/>
          <w:sz w:val="22"/>
          <w:szCs w:val="22"/>
        </w:rPr>
        <w:tab/>
        <w:t>Středočeský kraj</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SVL</w:t>
      </w:r>
      <w:r>
        <w:rPr>
          <w:rFonts w:asciiTheme="minorHAnsi" w:hAnsiTheme="minorHAnsi" w:cs="Calibri"/>
          <w:sz w:val="22"/>
          <w:szCs w:val="22"/>
        </w:rPr>
        <w:tab/>
        <w:t>sociálně vyloučené lokality</w:t>
      </w:r>
    </w:p>
    <w:p w:rsidR="00277F6F" w:rsidRDefault="00277F6F" w:rsidP="002C40B2">
      <w:pPr>
        <w:pStyle w:val="normln0"/>
        <w:tabs>
          <w:tab w:val="right" w:pos="-4560"/>
          <w:tab w:val="left" w:pos="1680"/>
        </w:tabs>
        <w:spacing w:before="0" w:line="276" w:lineRule="auto"/>
        <w:rPr>
          <w:rFonts w:asciiTheme="minorHAnsi" w:hAnsiTheme="minorHAnsi" w:cs="Calibri"/>
          <w:sz w:val="22"/>
          <w:szCs w:val="22"/>
        </w:rPr>
      </w:pPr>
      <w:r w:rsidRPr="00277F6F">
        <w:rPr>
          <w:rFonts w:asciiTheme="minorHAnsi" w:hAnsiTheme="minorHAnsi" w:cs="Calibri"/>
          <w:sz w:val="22"/>
          <w:szCs w:val="22"/>
        </w:rPr>
        <w:t xml:space="preserve">TCK </w:t>
      </w:r>
      <w:r w:rsidRPr="00277F6F">
        <w:rPr>
          <w:rFonts w:asciiTheme="minorHAnsi" w:hAnsiTheme="minorHAnsi" w:cs="Calibri"/>
          <w:sz w:val="22"/>
          <w:szCs w:val="22"/>
        </w:rPr>
        <w:tab/>
        <w:t>Technologické centrum kraje</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THFK</w:t>
      </w:r>
      <w:r w:rsidRPr="00F813BE">
        <w:rPr>
          <w:rFonts w:asciiTheme="minorHAnsi" w:hAnsiTheme="minorHAnsi" w:cs="Calibri"/>
          <w:sz w:val="22"/>
          <w:szCs w:val="22"/>
        </w:rPr>
        <w:tab/>
        <w:t>tvorba hrubého fixního kapitálu</w:t>
      </w:r>
    </w:p>
    <w:p w:rsidR="00277F6F" w:rsidRPr="00F813BE" w:rsidRDefault="00277F6F" w:rsidP="002C40B2">
      <w:pPr>
        <w:pStyle w:val="normln0"/>
        <w:tabs>
          <w:tab w:val="right" w:pos="-4560"/>
          <w:tab w:val="left" w:pos="1680"/>
        </w:tabs>
        <w:spacing w:before="0" w:line="276" w:lineRule="auto"/>
        <w:rPr>
          <w:rFonts w:asciiTheme="minorHAnsi" w:hAnsiTheme="minorHAnsi" w:cs="Calibri"/>
          <w:sz w:val="22"/>
          <w:szCs w:val="22"/>
        </w:rPr>
      </w:pPr>
      <w:r w:rsidRPr="00277F6F">
        <w:rPr>
          <w:rFonts w:asciiTheme="minorHAnsi" w:hAnsiTheme="minorHAnsi" w:cs="Calibri"/>
          <w:sz w:val="22"/>
          <w:szCs w:val="22"/>
        </w:rPr>
        <w:t xml:space="preserve">UKM </w:t>
      </w:r>
      <w:r>
        <w:rPr>
          <w:rFonts w:asciiTheme="minorHAnsi" w:hAnsiTheme="minorHAnsi" w:cs="Calibri"/>
          <w:sz w:val="22"/>
          <w:szCs w:val="22"/>
        </w:rPr>
        <w:tab/>
        <w:t>Ú</w:t>
      </w:r>
      <w:r w:rsidRPr="00277F6F">
        <w:rPr>
          <w:rFonts w:asciiTheme="minorHAnsi" w:hAnsiTheme="minorHAnsi" w:cs="Calibri"/>
          <w:sz w:val="22"/>
          <w:szCs w:val="22"/>
        </w:rPr>
        <w:t>čelová katastrální mapa</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ULK</w:t>
      </w:r>
      <w:r w:rsidRPr="00F813BE">
        <w:rPr>
          <w:rFonts w:asciiTheme="minorHAnsi" w:hAnsiTheme="minorHAnsi" w:cs="Calibri"/>
          <w:sz w:val="22"/>
          <w:szCs w:val="22"/>
        </w:rPr>
        <w:tab/>
        <w:t>Ústecký kraj</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UP</w:t>
      </w:r>
      <w:r w:rsidRPr="00F813BE">
        <w:rPr>
          <w:rFonts w:asciiTheme="minorHAnsi" w:hAnsiTheme="minorHAnsi" w:cs="Calibri"/>
          <w:sz w:val="22"/>
          <w:szCs w:val="22"/>
        </w:rPr>
        <w:tab/>
      </w:r>
      <w:r w:rsidRPr="00797213">
        <w:rPr>
          <w:rFonts w:asciiTheme="minorHAnsi" w:hAnsiTheme="minorHAnsi" w:cs="Calibri"/>
          <w:sz w:val="22"/>
          <w:szCs w:val="22"/>
        </w:rPr>
        <w:t>Univerzita Palackého</w:t>
      </w:r>
    </w:p>
    <w:p w:rsidR="00277F6F" w:rsidRDefault="00277F6F"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ÚAP</w:t>
      </w:r>
      <w:r>
        <w:rPr>
          <w:rFonts w:asciiTheme="minorHAnsi" w:hAnsiTheme="minorHAnsi" w:cs="Calibri"/>
          <w:sz w:val="22"/>
          <w:szCs w:val="22"/>
        </w:rPr>
        <w:tab/>
        <w:t>územně analytické podklady</w:t>
      </w:r>
    </w:p>
    <w:p w:rsidR="00206FFC" w:rsidRPr="00797213"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ÚZIS</w:t>
      </w:r>
      <w:r w:rsidRPr="00797213">
        <w:rPr>
          <w:rFonts w:asciiTheme="minorHAnsi" w:hAnsiTheme="minorHAnsi" w:cs="Calibri"/>
          <w:sz w:val="22"/>
          <w:szCs w:val="22"/>
        </w:rPr>
        <w:tab/>
        <w:t>Ústav zdravotnických informací a statistik</w:t>
      </w:r>
    </w:p>
    <w:p w:rsidR="00206FFC" w:rsidRPr="00797213" w:rsidRDefault="00206FFC" w:rsidP="002C40B2">
      <w:pPr>
        <w:pStyle w:val="normln0"/>
        <w:tabs>
          <w:tab w:val="right" w:pos="-4560"/>
          <w:tab w:val="left" w:pos="1680"/>
        </w:tabs>
        <w:spacing w:before="0" w:line="276" w:lineRule="auto"/>
        <w:rPr>
          <w:rFonts w:asciiTheme="minorHAnsi" w:hAnsiTheme="minorHAnsi" w:cs="Calibri"/>
          <w:sz w:val="22"/>
          <w:szCs w:val="22"/>
        </w:rPr>
      </w:pPr>
      <w:r w:rsidRPr="00797213">
        <w:rPr>
          <w:rFonts w:asciiTheme="minorHAnsi" w:hAnsiTheme="minorHAnsi" w:cs="Calibri"/>
          <w:sz w:val="22"/>
          <w:szCs w:val="22"/>
        </w:rPr>
        <w:t>VaV</w:t>
      </w:r>
      <w:r w:rsidRPr="00797213">
        <w:rPr>
          <w:rFonts w:asciiTheme="minorHAnsi" w:hAnsiTheme="minorHAnsi" w:cs="Calibri"/>
          <w:sz w:val="22"/>
          <w:szCs w:val="22"/>
        </w:rPr>
        <w:tab/>
        <w:t>výzkum a vývoj</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VŠ</w:t>
      </w:r>
      <w:r w:rsidRPr="00F813BE">
        <w:rPr>
          <w:rFonts w:asciiTheme="minorHAnsi" w:hAnsiTheme="minorHAnsi" w:cs="Calibri"/>
          <w:sz w:val="22"/>
          <w:szCs w:val="22"/>
        </w:rPr>
        <w:tab/>
        <w:t>vysoká škola</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VŠPS</w:t>
      </w:r>
      <w:r w:rsidRPr="00F813BE">
        <w:rPr>
          <w:rFonts w:asciiTheme="minorHAnsi" w:hAnsiTheme="minorHAnsi" w:cs="Calibri"/>
          <w:sz w:val="22"/>
          <w:szCs w:val="22"/>
        </w:rPr>
        <w:tab/>
        <w:t>výběrové šetření pracovních sil</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VTP</w:t>
      </w:r>
      <w:r w:rsidRPr="00F813BE">
        <w:rPr>
          <w:rFonts w:asciiTheme="minorHAnsi" w:hAnsiTheme="minorHAnsi" w:cs="Calibri"/>
          <w:sz w:val="22"/>
          <w:szCs w:val="22"/>
        </w:rPr>
        <w:tab/>
        <w:t>vědecko-technický park</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VYS</w:t>
      </w:r>
      <w:r w:rsidRPr="00F813BE">
        <w:rPr>
          <w:rFonts w:asciiTheme="minorHAnsi" w:hAnsiTheme="minorHAnsi" w:cs="Calibri"/>
          <w:sz w:val="22"/>
          <w:szCs w:val="22"/>
        </w:rPr>
        <w:tab/>
        <w:t>kraj Vysočina</w:t>
      </w:r>
    </w:p>
    <w:p w:rsidR="00206FFC" w:rsidRPr="00F813BE" w:rsidRDefault="00206FFC" w:rsidP="002C40B2">
      <w:pPr>
        <w:pStyle w:val="normln0"/>
        <w:tabs>
          <w:tab w:val="right" w:pos="-4560"/>
          <w:tab w:val="left" w:pos="1680"/>
        </w:tabs>
        <w:spacing w:before="0" w:line="276" w:lineRule="auto"/>
        <w:rPr>
          <w:rFonts w:asciiTheme="minorHAnsi" w:hAnsiTheme="minorHAnsi" w:cs="Calibri"/>
          <w:sz w:val="22"/>
          <w:szCs w:val="22"/>
        </w:rPr>
      </w:pPr>
      <w:r w:rsidRPr="00F813BE">
        <w:rPr>
          <w:rFonts w:asciiTheme="minorHAnsi" w:hAnsiTheme="minorHAnsi" w:cs="Calibri"/>
          <w:sz w:val="22"/>
          <w:szCs w:val="22"/>
        </w:rPr>
        <w:t>ZLK</w:t>
      </w:r>
      <w:r w:rsidRPr="00F813BE">
        <w:rPr>
          <w:rFonts w:asciiTheme="minorHAnsi" w:hAnsiTheme="minorHAnsi" w:cs="Calibri"/>
          <w:sz w:val="22"/>
          <w:szCs w:val="22"/>
        </w:rPr>
        <w:tab/>
        <w:t>Zlínský kraj</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ZP</w:t>
      </w:r>
      <w:r w:rsidRPr="00F813BE">
        <w:rPr>
          <w:rFonts w:asciiTheme="minorHAnsi" w:hAnsiTheme="minorHAnsi" w:cs="Calibri"/>
          <w:sz w:val="22"/>
          <w:szCs w:val="22"/>
        </w:rPr>
        <w:tab/>
        <w:t>zpracovatelský průmysl</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ZZ</w:t>
      </w:r>
      <w:r>
        <w:rPr>
          <w:rFonts w:asciiTheme="minorHAnsi" w:hAnsiTheme="minorHAnsi" w:cs="Calibri"/>
          <w:sz w:val="22"/>
          <w:szCs w:val="22"/>
        </w:rPr>
        <w:tab/>
      </w:r>
      <w:r w:rsidRPr="00AA5D8D">
        <w:rPr>
          <w:rFonts w:asciiTheme="minorHAnsi" w:hAnsiTheme="minorHAnsi" w:cs="Calibri"/>
          <w:sz w:val="22"/>
          <w:szCs w:val="22"/>
        </w:rPr>
        <w:t>zdravotnická zařízení</w:t>
      </w:r>
    </w:p>
    <w:p w:rsidR="00277F6F" w:rsidRDefault="00277F6F"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ZZO</w:t>
      </w:r>
      <w:r>
        <w:rPr>
          <w:rFonts w:asciiTheme="minorHAnsi" w:hAnsiTheme="minorHAnsi" w:cs="Calibri"/>
          <w:sz w:val="22"/>
          <w:szCs w:val="22"/>
        </w:rPr>
        <w:tab/>
        <w:t>zřizované a zakládané organizace</w:t>
      </w:r>
    </w:p>
    <w:p w:rsidR="00206FFC" w:rsidRDefault="00206FFC" w:rsidP="002C40B2">
      <w:pPr>
        <w:pStyle w:val="normln0"/>
        <w:tabs>
          <w:tab w:val="right" w:pos="-4560"/>
          <w:tab w:val="left" w:pos="1680"/>
        </w:tabs>
        <w:spacing w:before="0" w:line="276" w:lineRule="auto"/>
        <w:rPr>
          <w:rFonts w:asciiTheme="minorHAnsi" w:hAnsiTheme="minorHAnsi" w:cs="Calibri"/>
          <w:sz w:val="22"/>
          <w:szCs w:val="22"/>
        </w:rPr>
      </w:pPr>
      <w:r>
        <w:rPr>
          <w:rFonts w:asciiTheme="minorHAnsi" w:hAnsiTheme="minorHAnsi" w:cs="Calibri"/>
          <w:sz w:val="22"/>
          <w:szCs w:val="22"/>
        </w:rPr>
        <w:t>ZZS KK</w:t>
      </w:r>
      <w:r>
        <w:rPr>
          <w:rFonts w:asciiTheme="minorHAnsi" w:hAnsiTheme="minorHAnsi" w:cs="Calibri"/>
          <w:sz w:val="22"/>
          <w:szCs w:val="22"/>
        </w:rPr>
        <w:tab/>
        <w:t>zdravotnická záchranná služba Karlovarského kraje</w:t>
      </w:r>
    </w:p>
    <w:p w:rsidR="001E1A7E" w:rsidRPr="00AA5D8D" w:rsidRDefault="001E1A7E" w:rsidP="002C40B2">
      <w:pPr>
        <w:spacing w:after="160"/>
        <w:jc w:val="left"/>
        <w:rPr>
          <w:b/>
          <w:sz w:val="28"/>
          <w:szCs w:val="28"/>
        </w:rPr>
      </w:pPr>
      <w:r>
        <w:rPr>
          <w:b/>
          <w:color w:val="0070C0"/>
          <w:sz w:val="28"/>
          <w:szCs w:val="28"/>
        </w:rPr>
        <w:br w:type="page"/>
      </w:r>
    </w:p>
    <w:p w:rsidR="004D2796" w:rsidRPr="00FA67EA" w:rsidRDefault="004D2796" w:rsidP="00094A5B">
      <w:pPr>
        <w:pStyle w:val="Nadpis1"/>
      </w:pPr>
      <w:bookmarkStart w:id="6" w:name="_Toc488233386"/>
      <w:r w:rsidRPr="00FA67EA">
        <w:lastRenderedPageBreak/>
        <w:t>Úvod</w:t>
      </w:r>
      <w:bookmarkEnd w:id="0"/>
      <w:bookmarkEnd w:id="1"/>
      <w:bookmarkEnd w:id="6"/>
    </w:p>
    <w:p w:rsidR="00AB7CF7" w:rsidRDefault="004D2796" w:rsidP="002C40B2">
      <w:r w:rsidRPr="00E563C8">
        <w:t xml:space="preserve">Karlovarský kraj </w:t>
      </w:r>
      <w:r w:rsidR="00AB7CF7">
        <w:t xml:space="preserve">(KK) </w:t>
      </w:r>
      <w:r w:rsidRPr="00E563C8">
        <w:t xml:space="preserve">je součástí regionu NUTS 2 Severozápad, nachází se v nejzápadnější části Čech při hranicích s Bavorskem a Saskem. </w:t>
      </w:r>
      <w:r w:rsidR="00AB7CF7" w:rsidRPr="00AE46CF">
        <w:t>V</w:t>
      </w:r>
      <w:r w:rsidR="00AB7CF7">
        <w:t xml:space="preserve"> rámci </w:t>
      </w:r>
      <w:r w:rsidR="00AB7CF7" w:rsidRPr="00AE46CF">
        <w:t> Česk</w:t>
      </w:r>
      <w:r w:rsidR="00AB7CF7">
        <w:t>é republiky (ČR)</w:t>
      </w:r>
      <w:r w:rsidR="00AB7CF7" w:rsidRPr="00AE46CF">
        <w:t xml:space="preserve"> sousedí </w:t>
      </w:r>
      <w:r w:rsidRPr="00E563C8">
        <w:t xml:space="preserve">s krajem Ústeckým, Plzeňským a Středočeským. </w:t>
      </w:r>
      <w:r w:rsidR="00AB7CF7" w:rsidRPr="00AE46CF">
        <w:t xml:space="preserve">Karlovarský kraj </w:t>
      </w:r>
      <w:r w:rsidR="00AB7CF7">
        <w:t> má nejmenší počet obyvatel (</w:t>
      </w:r>
      <w:r w:rsidR="00AB7CF7">
        <w:rPr>
          <w:rFonts w:ascii="Arial" w:eastAsia="Calibri" w:hAnsi="Arial" w:cs="Arial"/>
          <w:sz w:val="20"/>
          <w:szCs w:val="20"/>
        </w:rPr>
        <w:t>297 212 k 30.</w:t>
      </w:r>
      <w:r w:rsidR="00441CA8">
        <w:rPr>
          <w:rFonts w:ascii="Arial" w:eastAsia="Calibri" w:hAnsi="Arial" w:cs="Arial"/>
          <w:sz w:val="20"/>
          <w:szCs w:val="20"/>
        </w:rPr>
        <w:t xml:space="preserve"> </w:t>
      </w:r>
      <w:r w:rsidR="00AB7CF7">
        <w:rPr>
          <w:rFonts w:ascii="Arial" w:eastAsia="Calibri" w:hAnsi="Arial" w:cs="Arial"/>
          <w:sz w:val="20"/>
          <w:szCs w:val="20"/>
        </w:rPr>
        <w:t>6.</w:t>
      </w:r>
      <w:r w:rsidR="00441CA8">
        <w:rPr>
          <w:rFonts w:ascii="Arial" w:eastAsia="Calibri" w:hAnsi="Arial" w:cs="Arial"/>
          <w:sz w:val="20"/>
          <w:szCs w:val="20"/>
        </w:rPr>
        <w:t xml:space="preserve"> </w:t>
      </w:r>
      <w:r w:rsidR="00AB7CF7">
        <w:rPr>
          <w:rFonts w:ascii="Arial" w:eastAsia="Calibri" w:hAnsi="Arial" w:cs="Arial"/>
          <w:sz w:val="20"/>
          <w:szCs w:val="20"/>
        </w:rPr>
        <w:t>2016) a svou</w:t>
      </w:r>
      <w:r w:rsidR="00AB7CF7">
        <w:t xml:space="preserve"> rozlohou (</w:t>
      </w:r>
      <w:r w:rsidR="00AB7CF7" w:rsidRPr="00AE46CF">
        <w:t>3 314 km</w:t>
      </w:r>
      <w:r w:rsidR="00AB7CF7" w:rsidRPr="00AE46CF">
        <w:rPr>
          <w:vertAlign w:val="superscript"/>
        </w:rPr>
        <w:t>2</w:t>
      </w:r>
      <w:r w:rsidR="00AB7CF7">
        <w:t xml:space="preserve">) je druhým </w:t>
      </w:r>
      <w:r w:rsidR="00AB7CF7" w:rsidRPr="00AE46CF">
        <w:t>nejmenším kraj</w:t>
      </w:r>
      <w:r w:rsidR="00AB7CF7">
        <w:t>em</w:t>
      </w:r>
      <w:r w:rsidR="00AB7CF7" w:rsidRPr="00AE46CF">
        <w:t xml:space="preserve"> </w:t>
      </w:r>
      <w:r w:rsidR="00AB7CF7">
        <w:t>ČR</w:t>
      </w:r>
      <w:r w:rsidR="00421335" w:rsidRPr="00E563C8">
        <w:t>,</w:t>
      </w:r>
      <w:r w:rsidRPr="00E563C8">
        <w:t xml:space="preserve"> </w:t>
      </w:r>
      <w:r w:rsidR="00E563C8">
        <w:rPr>
          <w:rFonts w:ascii="ArialMT" w:eastAsiaTheme="minorHAnsi" w:hAnsi="ArialMT" w:cs="ArialMT"/>
          <w:sz w:val="20"/>
          <w:szCs w:val="20"/>
          <w:lang w:eastAsia="en-US"/>
        </w:rPr>
        <w:t>zaujímá pouze 4,2 % území ČR. Kraj tvoří 3 okresy – chebský, karlovarský a sokolovský</w:t>
      </w:r>
      <w:r w:rsidR="00C239B2">
        <w:rPr>
          <w:rFonts w:ascii="ArialMT" w:eastAsiaTheme="minorHAnsi" w:hAnsi="ArialMT" w:cs="ArialMT"/>
          <w:sz w:val="20"/>
          <w:szCs w:val="20"/>
          <w:lang w:eastAsia="en-US"/>
        </w:rPr>
        <w:t xml:space="preserve">. </w:t>
      </w:r>
      <w:r w:rsidR="00AB7CF7">
        <w:rPr>
          <w:rFonts w:ascii="ArialMT" w:eastAsiaTheme="minorHAnsi" w:hAnsi="ArialMT" w:cs="ArialMT"/>
          <w:sz w:val="20"/>
          <w:szCs w:val="20"/>
          <w:lang w:eastAsia="en-US"/>
        </w:rPr>
        <w:t>Je zde nejmenší počet</w:t>
      </w:r>
      <w:r w:rsidRPr="00AE46CF">
        <w:t xml:space="preserve"> obcí</w:t>
      </w:r>
      <w:r w:rsidR="00E563C8">
        <w:t xml:space="preserve"> (132)</w:t>
      </w:r>
      <w:r w:rsidR="00C239B2">
        <w:t>, celkem</w:t>
      </w:r>
      <w:r w:rsidR="00E563C8">
        <w:rPr>
          <w:rFonts w:ascii="ArialMT" w:eastAsiaTheme="minorHAnsi" w:hAnsi="ArialMT" w:cs="ArialMT"/>
          <w:sz w:val="20"/>
          <w:szCs w:val="20"/>
          <w:lang w:eastAsia="en-US"/>
        </w:rPr>
        <w:t xml:space="preserve"> je </w:t>
      </w:r>
      <w:r w:rsidR="00C239B2">
        <w:rPr>
          <w:rFonts w:ascii="ArialMT" w:eastAsiaTheme="minorHAnsi" w:hAnsi="ArialMT" w:cs="ArialMT"/>
          <w:sz w:val="20"/>
          <w:szCs w:val="20"/>
          <w:lang w:eastAsia="en-US"/>
        </w:rPr>
        <w:t>zde</w:t>
      </w:r>
      <w:r w:rsidR="00E563C8">
        <w:rPr>
          <w:rFonts w:ascii="ArialMT" w:eastAsiaTheme="minorHAnsi" w:hAnsi="ArialMT" w:cs="ArialMT"/>
          <w:sz w:val="20"/>
          <w:szCs w:val="20"/>
          <w:lang w:eastAsia="en-US"/>
        </w:rPr>
        <w:t xml:space="preserve"> 38 měst. Ve městech </w:t>
      </w:r>
      <w:r w:rsidR="00E563C8">
        <w:t>žije</w:t>
      </w:r>
      <w:r w:rsidRPr="00AE46CF">
        <w:t xml:space="preserve"> </w:t>
      </w:r>
      <w:r w:rsidR="00C239B2">
        <w:t>82,5</w:t>
      </w:r>
      <w:r w:rsidR="00E563C8">
        <w:t xml:space="preserve"> % </w:t>
      </w:r>
      <w:r w:rsidRPr="00AE46CF">
        <w:t xml:space="preserve">obyvatel </w:t>
      </w:r>
      <w:r w:rsidR="00E563C8">
        <w:t>a</w:t>
      </w:r>
      <w:r w:rsidRPr="00AE46CF">
        <w:t xml:space="preserve"> kraj </w:t>
      </w:r>
      <w:r w:rsidR="00E563C8">
        <w:t xml:space="preserve">je tak </w:t>
      </w:r>
      <w:r w:rsidR="00C239B2">
        <w:t xml:space="preserve">řadí k </w:t>
      </w:r>
      <w:r w:rsidRPr="00AE46CF">
        <w:t>nejvíce urbanizovaným v</w:t>
      </w:r>
      <w:r w:rsidR="00AB7CF7">
        <w:t> </w:t>
      </w:r>
      <w:r w:rsidRPr="00AE46CF">
        <w:t>Č</w:t>
      </w:r>
      <w:r w:rsidR="00E563C8">
        <w:t>R</w:t>
      </w:r>
      <w:r w:rsidR="00AB7CF7">
        <w:t xml:space="preserve"> (průměrný podíl městského obyvatelstva v ČR je 69,3 %). </w:t>
      </w:r>
    </w:p>
    <w:p w:rsidR="004D2796" w:rsidRPr="009B29B2" w:rsidRDefault="00AB7CF7" w:rsidP="002C40B2">
      <w:pPr>
        <w:rPr>
          <w:b/>
        </w:rPr>
      </w:pPr>
      <w:r w:rsidRPr="00AE46CF">
        <w:t xml:space="preserve">Podle dosažené úrovně </w:t>
      </w:r>
      <w:r>
        <w:t>hrubého domácího produktu (HDP)</w:t>
      </w:r>
      <w:r w:rsidRPr="00AE46CF">
        <w:t xml:space="preserve"> na obyvatele je Karlovarský kraj nejvíce zaostávajícím krajem. V roce 201</w:t>
      </w:r>
      <w:r>
        <w:t>4 dosaho</w:t>
      </w:r>
      <w:r w:rsidRPr="00AE46CF">
        <w:t xml:space="preserve">val HDP/obyv. jen </w:t>
      </w:r>
      <w:r>
        <w:t>68,4</w:t>
      </w:r>
      <w:r w:rsidRPr="00AE46CF">
        <w:t>% průměru ČR.</w:t>
      </w:r>
      <w:r>
        <w:t xml:space="preserve"> </w:t>
      </w:r>
      <w:r w:rsidR="004D2796" w:rsidRPr="009B29B2">
        <w:t xml:space="preserve">Významnější je </w:t>
      </w:r>
      <w:r w:rsidR="00421335" w:rsidRPr="009B29B2">
        <w:t xml:space="preserve">však </w:t>
      </w:r>
      <w:r w:rsidR="004D2796" w:rsidRPr="009B29B2">
        <w:t xml:space="preserve">dlouhodobý trend postupného poklesu relativní pozice kraje vůči hodnotám za </w:t>
      </w:r>
      <w:r w:rsidR="00421335" w:rsidRPr="009B29B2">
        <w:t>celou Českou republiku</w:t>
      </w:r>
      <w:r w:rsidR="004D2796" w:rsidRPr="009B29B2">
        <w:t xml:space="preserve">: Karlovarský kraj rostl za posledních </w:t>
      </w:r>
      <w:r w:rsidR="009B29B2" w:rsidRPr="009B29B2">
        <w:t>10</w:t>
      </w:r>
      <w:r w:rsidR="004D2796" w:rsidRPr="009B29B2">
        <w:t xml:space="preserve"> let výrazn</w:t>
      </w:r>
      <w:r w:rsidR="009B29B2" w:rsidRPr="009B29B2">
        <w:t>ě nejpomaleji ze všech krajů ČR.</w:t>
      </w:r>
      <w:r w:rsidR="004D2796" w:rsidRPr="009B29B2">
        <w:t xml:space="preserve"> </w:t>
      </w:r>
      <w:r w:rsidR="009B29B2" w:rsidRPr="009B29B2">
        <w:t>I</w:t>
      </w:r>
      <w:r w:rsidR="004D2796" w:rsidRPr="009B29B2">
        <w:t xml:space="preserve">ndex růstu HDP od roku </w:t>
      </w:r>
      <w:r w:rsidR="009B29B2" w:rsidRPr="009B29B2">
        <w:t>2004</w:t>
      </w:r>
      <w:r w:rsidR="004D2796" w:rsidRPr="009B29B2">
        <w:t xml:space="preserve"> byl jen </w:t>
      </w:r>
      <w:r w:rsidR="009B29B2" w:rsidRPr="009B29B2">
        <w:t>29 p. b.</w:t>
      </w:r>
      <w:r w:rsidR="004D2796" w:rsidRPr="009B29B2">
        <w:t xml:space="preserve"> </w:t>
      </w:r>
      <w:r w:rsidRPr="009B29B2">
        <w:t xml:space="preserve">Podobně jsou na tom </w:t>
      </w:r>
      <w:r w:rsidR="004D2796" w:rsidRPr="009B29B2">
        <w:t>Moravskoslezský kraj</w:t>
      </w:r>
      <w:r w:rsidRPr="009B29B2">
        <w:t xml:space="preserve"> a Ústecký kraj</w:t>
      </w:r>
      <w:r w:rsidR="004D2796" w:rsidRPr="009B29B2">
        <w:t>.</w:t>
      </w:r>
      <w:r w:rsidR="004D2796" w:rsidRPr="00AE46CF">
        <w:t xml:space="preserve"> </w:t>
      </w:r>
      <w:r w:rsidR="009B29B2">
        <w:t xml:space="preserve">Hospodářská restrukturalizace těchto 3 krajů proto bude v následujících letech podpořena i ze strany státu. </w:t>
      </w:r>
    </w:p>
    <w:p w:rsidR="004D2796" w:rsidRPr="00AE46CF" w:rsidRDefault="004D2796" w:rsidP="002C40B2">
      <w:r w:rsidRPr="00AE46CF">
        <w:t xml:space="preserve">Ačkoliv úroveň produkce na obyvatele není měřítkem životní úrovně ve smyslu kvality života místních obyvatel, ovlivňuje zásadním způsobem zaměstnanost (včetně kvalitativní struktury pracovních míst) a indikuje jak úroveň příjmů obyvatel, tak schopnost místní ekonomiky generovat zdroje na všestranný rozvoj regionu (včetně rozvoje sociálních služeb a kvalitního prostředí pro život). </w:t>
      </w:r>
    </w:p>
    <w:p w:rsidR="004D2796" w:rsidRPr="00AE46CF" w:rsidRDefault="004D2796" w:rsidP="002C40B2">
      <w:r w:rsidRPr="00AE46CF">
        <w:t>V kontextu uvedené závislosti všestranného rozvoje regionu na hospodářské výkonnosti, považujeme za hlavní výzvy:</w:t>
      </w:r>
    </w:p>
    <w:p w:rsidR="004D2796" w:rsidRPr="00AE46CF" w:rsidRDefault="004D2796" w:rsidP="002C40B2">
      <w:pPr>
        <w:numPr>
          <w:ilvl w:val="0"/>
          <w:numId w:val="1"/>
        </w:numPr>
        <w:spacing w:after="60"/>
        <w:ind w:left="1077"/>
      </w:pPr>
      <w:r w:rsidRPr="00AE46CF">
        <w:t>zastavení propadu relativní pozice kraje v hospodářské výkonnosti</w:t>
      </w:r>
    </w:p>
    <w:p w:rsidR="004D2796" w:rsidRPr="00AE46CF" w:rsidRDefault="004D2796" w:rsidP="002C40B2">
      <w:pPr>
        <w:numPr>
          <w:ilvl w:val="0"/>
          <w:numId w:val="1"/>
        </w:numPr>
        <w:spacing w:after="60"/>
        <w:ind w:left="1077"/>
      </w:pPr>
      <w:r w:rsidRPr="00AE46CF">
        <w:t>vytváření podmínek pro takový rozvoj hospodářských aktivit, v jehož důsledku dojde ke zmírnění zaostání kraje za průměrem Česka a k vytváření nových pracovních míst</w:t>
      </w:r>
    </w:p>
    <w:p w:rsidR="004D2796" w:rsidRPr="00AE46CF" w:rsidRDefault="004D2796" w:rsidP="002C40B2">
      <w:pPr>
        <w:numPr>
          <w:ilvl w:val="0"/>
          <w:numId w:val="1"/>
        </w:numPr>
      </w:pPr>
      <w:r w:rsidRPr="00AE46CF">
        <w:t>zlepšení atraktivity kraje tak, aby přitahoval nové obyvatele a investory, aby udržel stávající obyvatele, a aby přitahoval více návštěvníků a nové návštěvníky.</w:t>
      </w:r>
    </w:p>
    <w:p w:rsidR="004D2796" w:rsidRPr="00AE46CF" w:rsidRDefault="004D2796" w:rsidP="002C40B2">
      <w:r w:rsidRPr="00AE46CF">
        <w:t>Identifikace příčin současného vývoje a zejména potenciálu a podmínek pro naplnění uvedených výzev je jedním z</w:t>
      </w:r>
      <w:r w:rsidR="003A313D">
        <w:t> hlavních cílů této socio</w:t>
      </w:r>
      <w:r w:rsidRPr="00AE46CF">
        <w:t xml:space="preserve">ekonomické analýzy Karlovarského kraje. </w:t>
      </w:r>
    </w:p>
    <w:p w:rsidR="004D2796" w:rsidRDefault="004D2796" w:rsidP="002C40B2">
      <w:r w:rsidRPr="00AE46CF">
        <w:t xml:space="preserve">Předkládaná analýza je </w:t>
      </w:r>
      <w:r w:rsidRPr="000562C0">
        <w:t xml:space="preserve">členěna do </w:t>
      </w:r>
      <w:r w:rsidR="0075781E">
        <w:t>20</w:t>
      </w:r>
      <w:r w:rsidR="0075781E" w:rsidRPr="000562C0">
        <w:t xml:space="preserve"> </w:t>
      </w:r>
      <w:r w:rsidRPr="000562C0">
        <w:t>kapitol</w:t>
      </w:r>
      <w:r w:rsidRPr="00AE46CF">
        <w:t>. Každá kapitola je strukturována do dvou částí: nejdříve je analytický a vysvětlující text, obsahující také tabulky, grafy a obrázky (mapy/kartogramy), za ním následuje shrnující popis klíčových problémů a výzev v dané oblasti, včetně vysvětlení příčin</w:t>
      </w:r>
      <w:r w:rsidR="0075781E">
        <w:t xml:space="preserve"> </w:t>
      </w:r>
      <w:r w:rsidRPr="00AE46CF">
        <w:t>a důsledků těchto problémů či výzev. Tato druhá část každé kapitoly má tedy formu problémové analýzy, která shrnuje hlavní poznatky analytických prací a je vodítkem pro zaměření rozvojových a</w:t>
      </w:r>
      <w:r w:rsidR="003A313D">
        <w:t xml:space="preserve">ktivit/programů a jejich cílů. </w:t>
      </w:r>
    </w:p>
    <w:p w:rsidR="009B29B2" w:rsidRDefault="009B29B2" w:rsidP="002C40B2">
      <w:pPr>
        <w:spacing w:after="160"/>
        <w:jc w:val="left"/>
      </w:pPr>
      <w:r>
        <w:br w:type="page"/>
      </w:r>
    </w:p>
    <w:p w:rsidR="004D2796" w:rsidRPr="006A7852" w:rsidRDefault="004D2796" w:rsidP="00094A5B">
      <w:pPr>
        <w:pStyle w:val="Nadpis1"/>
      </w:pPr>
      <w:bookmarkStart w:id="7" w:name="_Toc237253764"/>
      <w:bookmarkStart w:id="8" w:name="_Toc243110939"/>
      <w:bookmarkStart w:id="9" w:name="_Toc259895352"/>
      <w:bookmarkStart w:id="10" w:name="_Toc321405925"/>
      <w:bookmarkStart w:id="11" w:name="_Toc488233387"/>
      <w:r w:rsidRPr="006A7852">
        <w:lastRenderedPageBreak/>
        <w:t>Metodika</w:t>
      </w:r>
      <w:bookmarkEnd w:id="7"/>
      <w:bookmarkEnd w:id="8"/>
      <w:bookmarkEnd w:id="9"/>
      <w:bookmarkEnd w:id="10"/>
      <w:bookmarkEnd w:id="11"/>
    </w:p>
    <w:p w:rsidR="00CA0BFA" w:rsidRPr="00AE46CF" w:rsidRDefault="00CA0BFA" w:rsidP="002C40B2">
      <w:r w:rsidRPr="00AE46CF">
        <w:t xml:space="preserve">Analýza se soustřeďuje na identifikaci dílčích problémů a výzev a na hledání souvislostí rozvoje kraje, čímž připravuje informace a poznatky, které jsou využívány pro problémovou analýzu. Zpracování analýzy sestává ze tří kroků: </w:t>
      </w:r>
    </w:p>
    <w:p w:rsidR="00CA0BFA" w:rsidRPr="00AE46CF" w:rsidRDefault="00CA0BFA" w:rsidP="002C40B2">
      <w:pPr>
        <w:numPr>
          <w:ilvl w:val="0"/>
          <w:numId w:val="3"/>
        </w:numPr>
        <w:spacing w:after="60"/>
        <w:ind w:left="1077"/>
      </w:pPr>
      <w:r w:rsidRPr="00AE46CF">
        <w:t xml:space="preserve">získání dat a jejich analytické zpracování, </w:t>
      </w:r>
    </w:p>
    <w:p w:rsidR="00CA0BFA" w:rsidRPr="00AE46CF" w:rsidRDefault="00CA0BFA" w:rsidP="002C40B2">
      <w:pPr>
        <w:numPr>
          <w:ilvl w:val="0"/>
          <w:numId w:val="3"/>
        </w:numPr>
        <w:spacing w:after="60"/>
        <w:ind w:left="1077"/>
      </w:pPr>
      <w:r w:rsidRPr="00AE46CF">
        <w:t>interpretace výsledků analýz – identifikace problémů a vysvětlení jejich souvislostí – příčin a případných důsledků</w:t>
      </w:r>
    </w:p>
    <w:p w:rsidR="00CA0BFA" w:rsidRPr="00AE46CF" w:rsidRDefault="00CA0BFA" w:rsidP="002C40B2">
      <w:pPr>
        <w:numPr>
          <w:ilvl w:val="0"/>
          <w:numId w:val="3"/>
        </w:numPr>
      </w:pPr>
      <w:r w:rsidRPr="00AE46CF">
        <w:t>zpracování závěrů – popis klíčových problémových okruhů, jejich zdrojů a potřeby řešení.</w:t>
      </w:r>
    </w:p>
    <w:p w:rsidR="00CA0BFA" w:rsidRPr="00AE46CF" w:rsidRDefault="00CA0BFA" w:rsidP="002C40B2">
      <w:pPr>
        <w:rPr>
          <w:bCs/>
        </w:rPr>
      </w:pPr>
      <w:r w:rsidRPr="00AE46CF">
        <w:rPr>
          <w:bCs/>
        </w:rPr>
        <w:t>Analýza je rozdělena do následujících okruhů, přičemž v každém z nich jsou použity různé analytické metody a přístupy:</w:t>
      </w:r>
    </w:p>
    <w:p w:rsidR="00CA0BFA" w:rsidRDefault="00CA0BFA" w:rsidP="002C40B2">
      <w:pPr>
        <w:numPr>
          <w:ilvl w:val="0"/>
          <w:numId w:val="2"/>
        </w:numPr>
        <w:spacing w:after="60"/>
        <w:ind w:left="714" w:hanging="357"/>
        <w:rPr>
          <w:bCs/>
        </w:rPr>
      </w:pPr>
      <w:r w:rsidRPr="00CA0BFA">
        <w:rPr>
          <w:bCs/>
        </w:rPr>
        <w:t xml:space="preserve">Makroekonomická analýza </w:t>
      </w:r>
    </w:p>
    <w:p w:rsidR="00CA0BFA" w:rsidRPr="00CA0BFA" w:rsidRDefault="00CA0BFA" w:rsidP="002C40B2">
      <w:pPr>
        <w:numPr>
          <w:ilvl w:val="0"/>
          <w:numId w:val="2"/>
        </w:numPr>
        <w:spacing w:after="60"/>
        <w:ind w:left="714" w:hanging="357"/>
        <w:rPr>
          <w:bCs/>
        </w:rPr>
      </w:pPr>
      <w:r w:rsidRPr="00CA0BFA">
        <w:rPr>
          <w:bCs/>
        </w:rPr>
        <w:t>Internacionalizace ekonomiky, její zapojení do globálních hodnotových řetězců</w:t>
      </w:r>
    </w:p>
    <w:p w:rsidR="00CA0BFA" w:rsidRPr="00131A3A" w:rsidRDefault="00CA0BFA" w:rsidP="002C40B2">
      <w:pPr>
        <w:numPr>
          <w:ilvl w:val="0"/>
          <w:numId w:val="2"/>
        </w:numPr>
        <w:spacing w:after="60"/>
        <w:ind w:left="714" w:hanging="357"/>
        <w:rPr>
          <w:bCs/>
        </w:rPr>
      </w:pPr>
      <w:r w:rsidRPr="00131A3A">
        <w:rPr>
          <w:bCs/>
        </w:rPr>
        <w:t>Odvětvová specializace ekonomiky kraje, inovační potenciál kraje</w:t>
      </w:r>
    </w:p>
    <w:p w:rsidR="00CA0BFA" w:rsidRPr="00131A3A" w:rsidRDefault="00CA0BFA" w:rsidP="002C40B2">
      <w:pPr>
        <w:numPr>
          <w:ilvl w:val="0"/>
          <w:numId w:val="2"/>
        </w:numPr>
        <w:spacing w:after="60"/>
        <w:ind w:left="714" w:hanging="357"/>
        <w:rPr>
          <w:bCs/>
        </w:rPr>
      </w:pPr>
      <w:r w:rsidRPr="00131A3A">
        <w:rPr>
          <w:bCs/>
        </w:rPr>
        <w:t>Informační a komunikační technologie</w:t>
      </w:r>
    </w:p>
    <w:p w:rsidR="00CA0BFA" w:rsidRPr="00131A3A" w:rsidRDefault="00CA0BFA" w:rsidP="002C40B2">
      <w:pPr>
        <w:numPr>
          <w:ilvl w:val="0"/>
          <w:numId w:val="2"/>
        </w:numPr>
        <w:spacing w:after="60"/>
        <w:ind w:left="714" w:hanging="357"/>
        <w:rPr>
          <w:bCs/>
        </w:rPr>
      </w:pPr>
      <w:r w:rsidRPr="00131A3A">
        <w:rPr>
          <w:bCs/>
        </w:rPr>
        <w:t>Cestovní ruch a lázeňství</w:t>
      </w:r>
    </w:p>
    <w:p w:rsidR="00CA0BFA" w:rsidRPr="00131A3A" w:rsidRDefault="00CA0BFA" w:rsidP="002C40B2">
      <w:pPr>
        <w:numPr>
          <w:ilvl w:val="0"/>
          <w:numId w:val="2"/>
        </w:numPr>
        <w:spacing w:after="60"/>
        <w:ind w:left="714" w:hanging="357"/>
        <w:rPr>
          <w:bCs/>
        </w:rPr>
      </w:pPr>
      <w:r w:rsidRPr="00131A3A">
        <w:rPr>
          <w:bCs/>
        </w:rPr>
        <w:t>Trh práce</w:t>
      </w:r>
    </w:p>
    <w:p w:rsidR="00CA0BFA" w:rsidRPr="00131A3A" w:rsidRDefault="00CA0BFA" w:rsidP="002C40B2">
      <w:pPr>
        <w:numPr>
          <w:ilvl w:val="0"/>
          <w:numId w:val="2"/>
        </w:numPr>
        <w:spacing w:after="60"/>
        <w:ind w:left="714" w:hanging="357"/>
        <w:rPr>
          <w:bCs/>
        </w:rPr>
      </w:pPr>
      <w:r w:rsidRPr="00131A3A">
        <w:rPr>
          <w:bCs/>
        </w:rPr>
        <w:t>Demografický vývoj a věková struktura populace</w:t>
      </w:r>
    </w:p>
    <w:p w:rsidR="00CA0BFA" w:rsidRPr="00131A3A" w:rsidRDefault="00CA0BFA" w:rsidP="002C40B2">
      <w:pPr>
        <w:numPr>
          <w:ilvl w:val="0"/>
          <w:numId w:val="2"/>
        </w:numPr>
        <w:spacing w:after="60"/>
        <w:ind w:left="714" w:hanging="357"/>
        <w:rPr>
          <w:bCs/>
        </w:rPr>
      </w:pPr>
      <w:r w:rsidRPr="00131A3A">
        <w:rPr>
          <w:bCs/>
        </w:rPr>
        <w:t>Školství a vzdělanost</w:t>
      </w:r>
    </w:p>
    <w:p w:rsidR="00CA0BFA" w:rsidRPr="00131A3A" w:rsidRDefault="00CA0BFA" w:rsidP="002C40B2">
      <w:pPr>
        <w:numPr>
          <w:ilvl w:val="0"/>
          <w:numId w:val="2"/>
        </w:numPr>
        <w:spacing w:after="60"/>
        <w:ind w:left="714" w:hanging="357"/>
        <w:rPr>
          <w:bCs/>
        </w:rPr>
      </w:pPr>
      <w:r w:rsidRPr="00131A3A">
        <w:rPr>
          <w:bCs/>
        </w:rPr>
        <w:t>Sociální služby</w:t>
      </w:r>
    </w:p>
    <w:p w:rsidR="00CA0BFA" w:rsidRPr="00131A3A" w:rsidRDefault="00CA0BFA" w:rsidP="002C40B2">
      <w:pPr>
        <w:numPr>
          <w:ilvl w:val="0"/>
          <w:numId w:val="2"/>
        </w:numPr>
        <w:spacing w:after="60"/>
        <w:ind w:left="714" w:hanging="357"/>
        <w:rPr>
          <w:bCs/>
        </w:rPr>
      </w:pPr>
      <w:r w:rsidRPr="00131A3A">
        <w:rPr>
          <w:bCs/>
        </w:rPr>
        <w:t>Zdravotnictví</w:t>
      </w:r>
    </w:p>
    <w:p w:rsidR="00CA0BFA" w:rsidRPr="00131A3A" w:rsidRDefault="00CA0BFA" w:rsidP="002C40B2">
      <w:pPr>
        <w:numPr>
          <w:ilvl w:val="0"/>
          <w:numId w:val="2"/>
        </w:numPr>
        <w:spacing w:after="60"/>
        <w:ind w:left="714" w:hanging="357"/>
        <w:rPr>
          <w:bCs/>
        </w:rPr>
      </w:pPr>
      <w:r w:rsidRPr="00131A3A">
        <w:rPr>
          <w:bCs/>
        </w:rPr>
        <w:t>Doprava pozemní a letecká</w:t>
      </w:r>
    </w:p>
    <w:p w:rsidR="00CA0BFA" w:rsidRPr="00131A3A" w:rsidRDefault="00CA0BFA" w:rsidP="002C40B2">
      <w:pPr>
        <w:numPr>
          <w:ilvl w:val="0"/>
          <w:numId w:val="2"/>
        </w:numPr>
        <w:spacing w:after="60"/>
        <w:ind w:left="714" w:hanging="357"/>
        <w:rPr>
          <w:bCs/>
        </w:rPr>
      </w:pPr>
      <w:r w:rsidRPr="00131A3A">
        <w:rPr>
          <w:bCs/>
        </w:rPr>
        <w:t xml:space="preserve">Životní prostředí </w:t>
      </w:r>
    </w:p>
    <w:p w:rsidR="00CA0BFA" w:rsidRPr="00131A3A" w:rsidRDefault="00CA0BFA" w:rsidP="002C40B2">
      <w:pPr>
        <w:numPr>
          <w:ilvl w:val="0"/>
          <w:numId w:val="2"/>
        </w:numPr>
        <w:spacing w:after="60"/>
        <w:ind w:left="714" w:hanging="357"/>
        <w:rPr>
          <w:bCs/>
        </w:rPr>
      </w:pPr>
      <w:r w:rsidRPr="00131A3A">
        <w:rPr>
          <w:bCs/>
        </w:rPr>
        <w:t>Územní rozdíly v KK</w:t>
      </w:r>
    </w:p>
    <w:p w:rsidR="00CA0BFA" w:rsidRPr="00131A3A" w:rsidRDefault="00CA0BFA" w:rsidP="002C40B2">
      <w:pPr>
        <w:numPr>
          <w:ilvl w:val="0"/>
          <w:numId w:val="2"/>
        </w:numPr>
        <w:spacing w:after="60"/>
        <w:rPr>
          <w:bCs/>
        </w:rPr>
      </w:pPr>
      <w:r w:rsidRPr="00131A3A">
        <w:rPr>
          <w:bCs/>
        </w:rPr>
        <w:t xml:space="preserve">Porovnání Karlovarského kraje s německými regiony </w:t>
      </w:r>
    </w:p>
    <w:p w:rsidR="00CA0BFA" w:rsidRPr="00131A3A" w:rsidRDefault="00CA0BFA" w:rsidP="002C40B2">
      <w:pPr>
        <w:numPr>
          <w:ilvl w:val="0"/>
          <w:numId w:val="2"/>
        </w:numPr>
        <w:spacing w:after="60"/>
        <w:rPr>
          <w:bCs/>
        </w:rPr>
      </w:pPr>
      <w:r w:rsidRPr="00131A3A">
        <w:rPr>
          <w:bCs/>
        </w:rPr>
        <w:t>Bezpečnostní infrastruktura</w:t>
      </w:r>
    </w:p>
    <w:p w:rsidR="0077536C" w:rsidRPr="00131A3A" w:rsidRDefault="0077536C" w:rsidP="002C40B2">
      <w:pPr>
        <w:numPr>
          <w:ilvl w:val="0"/>
          <w:numId w:val="2"/>
        </w:numPr>
        <w:spacing w:after="60"/>
        <w:rPr>
          <w:bCs/>
        </w:rPr>
      </w:pPr>
      <w:r w:rsidRPr="00131A3A">
        <w:rPr>
          <w:bCs/>
        </w:rPr>
        <w:t>Smart veřejná správa</w:t>
      </w:r>
    </w:p>
    <w:p w:rsidR="00CA0BFA" w:rsidRPr="00AE46CF" w:rsidRDefault="00CA0BFA" w:rsidP="002C40B2">
      <w:pPr>
        <w:spacing w:after="60"/>
        <w:ind w:left="720"/>
        <w:rPr>
          <w:bCs/>
        </w:rPr>
      </w:pPr>
    </w:p>
    <w:p w:rsidR="00C63F9F" w:rsidRDefault="00CA0BFA" w:rsidP="00C63F9F">
      <w:r w:rsidRPr="00AE46CF">
        <w:t>V každém z těchto tematických okruhů byla provedena celá řada dílčích analýz, kde bylo využito různých analytických metod, založených především na srovnávacích či multikriteriálních analýzách dostupných dat. Těmi jsou jak data dostupná v běžných statistických podkladech (například data ČSÚ, ČNB), tak data získaná specificky pro tento projekt, stejně jako dostupné analytické a strategick</w:t>
      </w:r>
      <w:r w:rsidR="00C63F9F">
        <w:t>é dokumenty Karlovarského kraje, na které Program rozvoje Karlovarského kraje na období 2014-2020 (dále jen PRKK) představující základní programový dokument Karlovarského kraje na podporu regionálního rozvoje kraje navazuje. Jedná se zejména o níže uvedené.</w:t>
      </w:r>
    </w:p>
    <w:p w:rsidR="00C63F9F" w:rsidRDefault="00C63F9F" w:rsidP="00C63F9F">
      <w:r>
        <w:t xml:space="preserve">Strategie rozvoje konkurenceschopnosti Karlovarského kraje je zaměřena na rozvoj a udržení dlouhodobé konkurenceschopnosti kraje, který zaostává v hlavních ekonomických a sociálních ukazatelích v rámci České republiky. Strategie stanovuje opatření a aktivity v rámci čtyř prioritních </w:t>
      </w:r>
      <w:r>
        <w:lastRenderedPageBreak/>
        <w:t xml:space="preserve">oblastí (regionální inovační systém, lidské zdroje pro konkurenceschopnost, kvalitní podnikatelské prostředí, implementace), k jejichž realizaci je třeba spolupráce místního veřejného sektoru se soukromým sektorem. </w:t>
      </w:r>
    </w:p>
    <w:p w:rsidR="00C63F9F" w:rsidRDefault="00C63F9F" w:rsidP="00C63F9F">
      <w:r>
        <w:t>Regionální inovační strategie Karlovarského kraje (tzv. RIS3) je krajskou přílohu RIS3 strategie, která představuje výzkumnou a inovační strategii pro inteligentní specializaci, jejíž zpracování bylo podmínkou pro čerpání evropských prostředků na podporu vědy, výzkumu a inovací.</w:t>
      </w:r>
    </w:p>
    <w:p w:rsidR="00C63F9F" w:rsidRPr="00AE46CF" w:rsidRDefault="00850E57" w:rsidP="002C40B2">
      <w:r>
        <w:t xml:space="preserve">Současně PRKK navazuje na Strategii hospodářské restrukturalizace </w:t>
      </w:r>
      <w:r w:rsidRPr="00850E57">
        <w:t>Ústeckého, Moravskoslezského a Karlovarského kraje</w:t>
      </w:r>
      <w:r>
        <w:t>, kter</w:t>
      </w:r>
      <w:r w:rsidR="0075781E">
        <w:t>á</w:t>
      </w:r>
      <w:r>
        <w:t xml:space="preserve"> je tvořen</w:t>
      </w:r>
      <w:r w:rsidR="0075781E">
        <w:t>a</w:t>
      </w:r>
      <w:r>
        <w:t xml:space="preserve"> za účelem pomoci strukturálně postiženým regionům.</w:t>
      </w:r>
    </w:p>
    <w:p w:rsidR="00535DDC" w:rsidRDefault="004D2796" w:rsidP="00094A5B">
      <w:pPr>
        <w:pStyle w:val="Nadpis1"/>
      </w:pPr>
      <w:r w:rsidRPr="00AE46CF">
        <w:br w:type="page"/>
      </w:r>
      <w:bookmarkStart w:id="12" w:name="_Toc488233388"/>
      <w:r w:rsidR="002A5913">
        <w:lastRenderedPageBreak/>
        <w:t>Makroekonomický vývoj</w:t>
      </w:r>
      <w:bookmarkEnd w:id="12"/>
    </w:p>
    <w:p w:rsidR="002A5913" w:rsidRPr="004B56AB" w:rsidRDefault="002A5913" w:rsidP="002C40B2">
      <w:pPr>
        <w:rPr>
          <w:rStyle w:val="Siln"/>
          <w:b w:val="0"/>
        </w:rPr>
      </w:pPr>
      <w:r w:rsidRPr="004B56AB">
        <w:rPr>
          <w:rStyle w:val="Siln"/>
          <w:b w:val="0"/>
        </w:rPr>
        <w:t xml:space="preserve">V následující kapitole bude na základě dostupných makroekonomických ukazatelů vyhodnocen vývoj KK a jeho pozice v rámci ČR. V této kapitole se analýza bude věnovat následujícím otázkám, přičemž na druhou z nich budou postupně odpovídat také další kapitoly věnované hospodářství kraje. </w:t>
      </w:r>
    </w:p>
    <w:p w:rsidR="002A5913" w:rsidRPr="004B56AB" w:rsidRDefault="002A5913" w:rsidP="002C40B2">
      <w:pPr>
        <w:rPr>
          <w:rStyle w:val="Siln"/>
          <w:b w:val="0"/>
          <w:i/>
          <w:iCs/>
        </w:rPr>
      </w:pPr>
      <w:r w:rsidRPr="004B56AB">
        <w:rPr>
          <w:rStyle w:val="Siln"/>
          <w:b w:val="0"/>
          <w:i/>
          <w:iCs/>
        </w:rPr>
        <w:t xml:space="preserve">Otázky: </w:t>
      </w:r>
    </w:p>
    <w:p w:rsidR="002A5913" w:rsidRPr="004E4996" w:rsidRDefault="002A5913" w:rsidP="002C40B2">
      <w:pPr>
        <w:pStyle w:val="Odstavecseseznamem"/>
        <w:numPr>
          <w:ilvl w:val="0"/>
          <w:numId w:val="7"/>
        </w:numPr>
        <w:rPr>
          <w:rStyle w:val="Siln"/>
          <w:b w:val="0"/>
          <w:i/>
          <w:iCs/>
        </w:rPr>
      </w:pPr>
      <w:r w:rsidRPr="004E4996">
        <w:rPr>
          <w:rStyle w:val="Siln"/>
          <w:b w:val="0"/>
          <w:i/>
          <w:iCs/>
        </w:rPr>
        <w:t xml:space="preserve">Jaké je postavení Karlovarského kraje v České republice podle základních ekonomických charakteristik a jak se vyvíjí, zejména po roce 2000? </w:t>
      </w:r>
    </w:p>
    <w:p w:rsidR="002A5913" w:rsidRPr="004E4996" w:rsidRDefault="002A5913" w:rsidP="002C40B2">
      <w:pPr>
        <w:pStyle w:val="Odstavecseseznamem"/>
        <w:numPr>
          <w:ilvl w:val="0"/>
          <w:numId w:val="7"/>
        </w:numPr>
        <w:rPr>
          <w:rStyle w:val="Siln"/>
          <w:b w:val="0"/>
          <w:i/>
          <w:iCs/>
        </w:rPr>
      </w:pPr>
      <w:r w:rsidRPr="004E4996">
        <w:rPr>
          <w:rStyle w:val="Siln"/>
          <w:b w:val="0"/>
          <w:i/>
          <w:iCs/>
        </w:rPr>
        <w:t xml:space="preserve">Jaké jsou příčiny tohoto stavu a jeho vývoje? </w:t>
      </w:r>
    </w:p>
    <w:p w:rsidR="002A5913" w:rsidRPr="004B56AB" w:rsidRDefault="002A5913" w:rsidP="002C40B2">
      <w:pPr>
        <w:rPr>
          <w:rStyle w:val="Siln"/>
          <w:b w:val="0"/>
        </w:rPr>
      </w:pPr>
      <w:r w:rsidRPr="004B56AB">
        <w:rPr>
          <w:rStyle w:val="Siln"/>
          <w:b w:val="0"/>
        </w:rPr>
        <w:t xml:space="preserve">Z </w:t>
      </w:r>
      <w:r w:rsidR="004B56AB">
        <w:rPr>
          <w:rStyle w:val="Siln"/>
          <w:b w:val="0"/>
        </w:rPr>
        <w:t>g</w:t>
      </w:r>
      <w:r w:rsidR="002053B0">
        <w:t xml:space="preserve">rafu níže </w:t>
      </w:r>
      <w:r w:rsidR="004B56AB">
        <w:rPr>
          <w:rStyle w:val="Siln"/>
          <w:b w:val="0"/>
        </w:rPr>
        <w:t>j</w:t>
      </w:r>
      <w:r w:rsidRPr="004B56AB">
        <w:rPr>
          <w:rStyle w:val="Siln"/>
          <w:b w:val="0"/>
        </w:rPr>
        <w:t>e patrné, že zatímco ekonomika ČR od roku 2000 procházela obdobím hospodářského růstu, je ekonomická výkonnost Karlovarského kraje pomalejší a po roce 2008 vesměs stagnuje.</w:t>
      </w:r>
    </w:p>
    <w:p w:rsidR="002A5913" w:rsidRDefault="002A5913" w:rsidP="000B3B9C">
      <w:pPr>
        <w:pStyle w:val="Titulek"/>
      </w:pPr>
      <w:bookmarkStart w:id="13" w:name="_Ref468190870"/>
      <w:bookmarkStart w:id="14" w:name="_Toc488234333"/>
      <w:bookmarkStart w:id="15" w:name="_Toc310603987"/>
      <w:bookmarkStart w:id="16" w:name="_Toc310604053"/>
      <w:bookmarkStart w:id="17" w:name="_Toc321406358"/>
      <w:r>
        <w:t xml:space="preserve">Graf </w:t>
      </w:r>
      <w:r w:rsidR="004F2330">
        <w:fldChar w:fldCharType="begin"/>
      </w:r>
      <w:r w:rsidR="004F2330">
        <w:instrText xml:space="preserve"> STYLEREF 1 \s </w:instrText>
      </w:r>
      <w:r w:rsidR="004F2330">
        <w:fldChar w:fldCharType="separate"/>
      </w:r>
      <w:r w:rsidR="00CB29BD">
        <w:t>3</w:t>
      </w:r>
      <w:r w:rsidR="004F2330">
        <w:fldChar w:fldCharType="end"/>
      </w:r>
      <w:r w:rsidR="00FD378B">
        <w:t>.</w:t>
      </w:r>
      <w:r w:rsidR="004F2330">
        <w:fldChar w:fldCharType="begin"/>
      </w:r>
      <w:r w:rsidR="004F2330">
        <w:instrText xml:space="preserve"> SEQ Graf \* ARABIC \s 1 </w:instrText>
      </w:r>
      <w:r w:rsidR="004F2330">
        <w:fldChar w:fldCharType="separate"/>
      </w:r>
      <w:r w:rsidR="00CB29BD">
        <w:t>1</w:t>
      </w:r>
      <w:r w:rsidR="004F2330">
        <w:fldChar w:fldCharType="end"/>
      </w:r>
      <w:bookmarkEnd w:id="13"/>
      <w:r w:rsidRPr="00AE46CF">
        <w:t>: Vývoj HDP/obyvatele Karlovarského kraje a Č</w:t>
      </w:r>
      <w:r>
        <w:t>R</w:t>
      </w:r>
      <w:r w:rsidRPr="00AE46CF">
        <w:t xml:space="preserve"> </w:t>
      </w:r>
      <w:r>
        <w:t xml:space="preserve">v letech 2000 – 2014 </w:t>
      </w:r>
      <w:r w:rsidRPr="00AE46CF">
        <w:t>(v Kč)</w:t>
      </w:r>
      <w:bookmarkEnd w:id="14"/>
      <w:r w:rsidRPr="00AE46CF">
        <w:t xml:space="preserve"> </w:t>
      </w:r>
      <w:bookmarkEnd w:id="15"/>
      <w:bookmarkEnd w:id="16"/>
      <w:bookmarkEnd w:id="17"/>
    </w:p>
    <w:p w:rsidR="002A5913" w:rsidRPr="00AE46CF" w:rsidRDefault="002A5913" w:rsidP="002C40B2">
      <w:pPr>
        <w:rPr>
          <w:rStyle w:val="Siln"/>
          <w:b w:val="0"/>
        </w:rPr>
      </w:pPr>
      <w:r w:rsidRPr="00141AA4">
        <w:rPr>
          <w:noProof/>
        </w:rPr>
        <w:drawing>
          <wp:inline distT="0" distB="0" distL="0" distR="0">
            <wp:extent cx="5762625" cy="296227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2962275"/>
                    </a:xfrm>
                    <a:prstGeom prst="rect">
                      <a:avLst/>
                    </a:prstGeom>
                    <a:noFill/>
                    <a:ln>
                      <a:noFill/>
                    </a:ln>
                  </pic:spPr>
                </pic:pic>
              </a:graphicData>
            </a:graphic>
          </wp:inline>
        </w:drawing>
      </w:r>
    </w:p>
    <w:p w:rsidR="002A5913" w:rsidRPr="002A5913" w:rsidRDefault="002A5913" w:rsidP="002C40B2">
      <w:pPr>
        <w:spacing w:before="120"/>
        <w:rPr>
          <w:rStyle w:val="Zdraznnjemn"/>
        </w:rPr>
      </w:pPr>
      <w:r>
        <w:rPr>
          <w:rStyle w:val="Zdraznnjemn"/>
        </w:rPr>
        <w:t>Zdroj: ČSÚ</w:t>
      </w:r>
      <w:r w:rsidR="004E0D65">
        <w:rPr>
          <w:rStyle w:val="Zdraznnjemn"/>
        </w:rPr>
        <w:t xml:space="preserve"> -</w:t>
      </w:r>
      <w:r w:rsidRPr="002A5913">
        <w:rPr>
          <w:rStyle w:val="Zdraznnjemn"/>
        </w:rPr>
        <w:t xml:space="preserve"> Regionální účty, Databáze národních účtů</w:t>
      </w:r>
    </w:p>
    <w:p w:rsidR="002A5913" w:rsidRPr="004B56AB" w:rsidRDefault="002A5913" w:rsidP="002C40B2">
      <w:pPr>
        <w:rPr>
          <w:rStyle w:val="Siln"/>
          <w:b w:val="0"/>
          <w:bCs/>
        </w:rPr>
      </w:pPr>
      <w:r w:rsidRPr="004B56AB">
        <w:rPr>
          <w:rStyle w:val="Siln"/>
          <w:b w:val="0"/>
        </w:rPr>
        <w:t>Porovnání vývoje</w:t>
      </w:r>
      <w:r w:rsidR="00151586">
        <w:rPr>
          <w:rStyle w:val="Siln"/>
          <w:b w:val="0"/>
        </w:rPr>
        <w:t xml:space="preserve"> Hrubého domácího produktu</w:t>
      </w:r>
      <w:r w:rsidRPr="004B56AB">
        <w:rPr>
          <w:rStyle w:val="Siln"/>
          <w:b w:val="0"/>
        </w:rPr>
        <w:t xml:space="preserve"> </w:t>
      </w:r>
      <w:r w:rsidR="00151586">
        <w:rPr>
          <w:rStyle w:val="Siln"/>
          <w:b w:val="0"/>
        </w:rPr>
        <w:t>(</w:t>
      </w:r>
      <w:r w:rsidRPr="004B56AB">
        <w:rPr>
          <w:rStyle w:val="Siln"/>
          <w:b w:val="0"/>
        </w:rPr>
        <w:t>HDP</w:t>
      </w:r>
      <w:r w:rsidR="00151586">
        <w:rPr>
          <w:rStyle w:val="Siln"/>
          <w:b w:val="0"/>
        </w:rPr>
        <w:t>)</w:t>
      </w:r>
      <w:r w:rsidRPr="004B56AB">
        <w:rPr>
          <w:rStyle w:val="Siln"/>
          <w:b w:val="0"/>
        </w:rPr>
        <w:t xml:space="preserve"> na obyvatele KK s okolními kraji, Ústeckým a Plzeňským, znázorňuje </w:t>
      </w:r>
      <w:r w:rsidR="004F2330">
        <w:fldChar w:fldCharType="begin"/>
      </w:r>
      <w:r w:rsidR="004F2330">
        <w:instrText xml:space="preserve"> REF _Ref466620861 \h  \* MERGEFORMAT </w:instrText>
      </w:r>
      <w:r w:rsidR="004F2330">
        <w:fldChar w:fldCharType="separate"/>
      </w:r>
      <w:r w:rsidR="002053B0">
        <w:t>g</w:t>
      </w:r>
      <w:r w:rsidR="00CB29BD" w:rsidRPr="00AE46CF">
        <w:t xml:space="preserve">raf </w:t>
      </w:r>
      <w:r w:rsidR="00CB29BD">
        <w:rPr>
          <w:noProof/>
        </w:rPr>
        <w:t>3</w:t>
      </w:r>
      <w:r w:rsidR="00CB29BD">
        <w:t>.2</w:t>
      </w:r>
      <w:r w:rsidR="004F2330">
        <w:fldChar w:fldCharType="end"/>
      </w:r>
      <w:r w:rsidRPr="004B56AB">
        <w:rPr>
          <w:rStyle w:val="Siln"/>
        </w:rPr>
        <w:t>.</w:t>
      </w:r>
      <w:r w:rsidRPr="004B56AB">
        <w:rPr>
          <w:rStyle w:val="Siln"/>
          <w:b w:val="0"/>
        </w:rPr>
        <w:t xml:space="preserve"> </w:t>
      </w:r>
      <w:r w:rsidR="001A2A22">
        <w:rPr>
          <w:rStyle w:val="Siln"/>
          <w:b w:val="0"/>
        </w:rPr>
        <w:t>Z</w:t>
      </w:r>
      <w:r w:rsidR="004B56AB">
        <w:rPr>
          <w:rStyle w:val="Siln"/>
          <w:b w:val="0"/>
        </w:rPr>
        <w:t> dat vyplývá</w:t>
      </w:r>
      <w:r w:rsidRPr="004B56AB">
        <w:rPr>
          <w:rStyle w:val="Siln"/>
          <w:b w:val="0"/>
        </w:rPr>
        <w:t>, že pozice Karlovarského kraje se v celém sledovaném období zhoršuje. Zatímco v roce 2000 dosahoval HDP na obyvatele zhruba 85,1 % průměru ČR, jeho hodnoty trvale klesaly až na dnešních 68,4 % národního průměru. Mírně klesající ekonomickou výkonnost lze pozorovat rovněž v Ústeckém kraji. Naopak ekonomická výkonnost Plzeňského kraje od roku 2009 mírně roste. Dynamika ekonomického vývoje Karlovarského kraje je tedy nižší než v sousedních regionech a tento trend se od roku 2009 prohlubuje.</w:t>
      </w:r>
    </w:p>
    <w:p w:rsidR="002A5913" w:rsidRDefault="002A5913" w:rsidP="000B3B9C">
      <w:pPr>
        <w:pStyle w:val="Titulek"/>
      </w:pPr>
      <w:bookmarkStart w:id="18" w:name="_Ref466620861"/>
      <w:bookmarkStart w:id="19" w:name="_Toc310603988"/>
      <w:bookmarkStart w:id="20" w:name="_Toc310604054"/>
      <w:bookmarkStart w:id="21" w:name="_Toc321406359"/>
      <w:bookmarkStart w:id="22" w:name="_Toc488234334"/>
      <w:r w:rsidRPr="00AE46CF">
        <w:lastRenderedPageBreak/>
        <w:t xml:space="preserve">Graf </w:t>
      </w:r>
      <w:r w:rsidR="004F2330">
        <w:fldChar w:fldCharType="begin"/>
      </w:r>
      <w:r w:rsidR="004F2330">
        <w:instrText xml:space="preserve"> STYLEREF 1 \s </w:instrText>
      </w:r>
      <w:r w:rsidR="004F2330">
        <w:fldChar w:fldCharType="separate"/>
      </w:r>
      <w:r w:rsidR="00CB29BD">
        <w:t>3</w:t>
      </w:r>
      <w:r w:rsidR="004F2330">
        <w:fldChar w:fldCharType="end"/>
      </w:r>
      <w:r w:rsidR="00FD378B">
        <w:t>.</w:t>
      </w:r>
      <w:r w:rsidR="004F2330">
        <w:fldChar w:fldCharType="begin"/>
      </w:r>
      <w:r w:rsidR="004F2330">
        <w:instrText xml:space="preserve"> SEQ Graf \* ARABIC \s 1 </w:instrText>
      </w:r>
      <w:r w:rsidR="004F2330">
        <w:fldChar w:fldCharType="separate"/>
      </w:r>
      <w:r w:rsidR="00CB29BD">
        <w:t>2</w:t>
      </w:r>
      <w:r w:rsidR="004F2330">
        <w:fldChar w:fldCharType="end"/>
      </w:r>
      <w:bookmarkEnd w:id="18"/>
      <w:r w:rsidRPr="00AE46CF">
        <w:t xml:space="preserve">: Vývoj HDP/obyvatele Karlovarského kraje </w:t>
      </w:r>
      <w:r>
        <w:t xml:space="preserve">v letech 2000 – 2014 </w:t>
      </w:r>
      <w:r w:rsidRPr="00AE46CF">
        <w:t>(</w:t>
      </w:r>
      <w:r>
        <w:t xml:space="preserve">v %, ČR </w:t>
      </w:r>
      <w:r w:rsidRPr="00AE46CF">
        <w:t>=</w:t>
      </w:r>
      <w:r>
        <w:t xml:space="preserve"> </w:t>
      </w:r>
      <w:r w:rsidRPr="00AE46CF">
        <w:t>100)</w:t>
      </w:r>
      <w:bookmarkEnd w:id="19"/>
      <w:bookmarkEnd w:id="20"/>
      <w:bookmarkEnd w:id="21"/>
      <w:bookmarkEnd w:id="22"/>
    </w:p>
    <w:p w:rsidR="002A5913" w:rsidRDefault="002A5913" w:rsidP="002C40B2">
      <w:pPr>
        <w:jc w:val="center"/>
      </w:pPr>
      <w:r w:rsidRPr="00141AA4">
        <w:rPr>
          <w:noProof/>
        </w:rPr>
        <w:drawing>
          <wp:inline distT="0" distB="0" distL="0" distR="0">
            <wp:extent cx="5762625" cy="30289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028950"/>
                    </a:xfrm>
                    <a:prstGeom prst="rect">
                      <a:avLst/>
                    </a:prstGeom>
                    <a:noFill/>
                    <a:ln>
                      <a:noFill/>
                    </a:ln>
                  </pic:spPr>
                </pic:pic>
              </a:graphicData>
            </a:graphic>
          </wp:inline>
        </w:drawing>
      </w:r>
    </w:p>
    <w:p w:rsidR="002A5913" w:rsidRPr="007F615E" w:rsidRDefault="002A5913" w:rsidP="002C40B2">
      <w:pPr>
        <w:spacing w:before="120"/>
        <w:rPr>
          <w:rStyle w:val="Zdraznnjemn"/>
        </w:rPr>
      </w:pPr>
      <w:r>
        <w:rPr>
          <w:rStyle w:val="Zdraznnjemn"/>
        </w:rPr>
        <w:t>Zdroj: ČSÚ</w:t>
      </w:r>
      <w:r w:rsidR="004E0D65">
        <w:rPr>
          <w:rStyle w:val="Zdraznnjemn"/>
        </w:rPr>
        <w:t xml:space="preserve"> -</w:t>
      </w:r>
      <w:r>
        <w:rPr>
          <w:rStyle w:val="Zdraznnjemn"/>
        </w:rPr>
        <w:t xml:space="preserve"> </w:t>
      </w:r>
      <w:r w:rsidRPr="007F615E">
        <w:rPr>
          <w:rStyle w:val="Zdraznnjemn"/>
        </w:rPr>
        <w:t>Regionální účty, vlastní výpočty</w:t>
      </w:r>
    </w:p>
    <w:p w:rsidR="002A5913" w:rsidRPr="004B56AB" w:rsidRDefault="004F2330" w:rsidP="002C40B2">
      <w:pPr>
        <w:rPr>
          <w:rStyle w:val="Siln"/>
          <w:b w:val="0"/>
        </w:rPr>
      </w:pPr>
      <w:r>
        <w:fldChar w:fldCharType="begin"/>
      </w:r>
      <w:r>
        <w:instrText xml:space="preserve"> REF _Ref466623245 \h  \* MERGEFORMAT </w:instrText>
      </w:r>
      <w:r>
        <w:fldChar w:fldCharType="separate"/>
      </w:r>
      <w:r w:rsidR="00CB29BD" w:rsidRPr="00AE46CF">
        <w:t xml:space="preserve">Graf </w:t>
      </w:r>
      <w:r w:rsidR="00CB29BD">
        <w:rPr>
          <w:noProof/>
        </w:rPr>
        <w:t>3</w:t>
      </w:r>
      <w:r w:rsidR="00CB29BD">
        <w:t>.3</w:t>
      </w:r>
      <w:r>
        <w:fldChar w:fldCharType="end"/>
      </w:r>
      <w:r w:rsidR="002A5913" w:rsidRPr="004B56AB">
        <w:rPr>
          <w:rStyle w:val="Siln"/>
        </w:rPr>
        <w:t xml:space="preserve"> </w:t>
      </w:r>
      <w:r w:rsidR="002A5913" w:rsidRPr="004B56AB">
        <w:rPr>
          <w:rStyle w:val="Siln"/>
          <w:b w:val="0"/>
        </w:rPr>
        <w:t>ilustruje, v kterých obdobích docházelo k nejvýraznějšímu zaostání ekonomického vývoje kraje za vývojem na národní úrovni. Kromě roků 2002 a 2009, kdy byly hodnoty přírůstku HDP vyšší než celorepublikové, vykazuje makroekonomický vývoj kraje oproti celorepublikovému vývoji menší výkyvy. Ekonomika Karlovarského kraje dosahovala v porovnání s ČR horších výsledků zejména mezi lety 2003 a 2008 a mezi lety 2010 a 2011. K největšímu propadu HDP v Karlovarském kraji došlo mezi lety 2007 a 2008, a to o 6,5 procentního bodu</w:t>
      </w:r>
      <w:r w:rsidR="004B56AB">
        <w:rPr>
          <w:rStyle w:val="Siln"/>
          <w:b w:val="0"/>
        </w:rPr>
        <w:t>.</w:t>
      </w:r>
      <w:r w:rsidR="002A5913" w:rsidRPr="004B56AB">
        <w:rPr>
          <w:rStyle w:val="Siln"/>
          <w:b w:val="0"/>
        </w:rPr>
        <w:t xml:space="preserve"> </w:t>
      </w:r>
    </w:p>
    <w:p w:rsidR="002A5913" w:rsidRDefault="002A5913" w:rsidP="000B3B9C">
      <w:pPr>
        <w:pStyle w:val="Titulek"/>
      </w:pPr>
      <w:bookmarkStart w:id="23" w:name="_Ref466623245"/>
      <w:bookmarkStart w:id="24" w:name="_Toc488234335"/>
      <w:bookmarkStart w:id="25" w:name="_Toc310603989"/>
      <w:bookmarkStart w:id="26" w:name="_Toc310604055"/>
      <w:bookmarkStart w:id="27" w:name="_Toc321406360"/>
      <w:r w:rsidRPr="00AE46CF">
        <w:t xml:space="preserve">Graf </w:t>
      </w:r>
      <w:r w:rsidR="004F2330">
        <w:fldChar w:fldCharType="begin"/>
      </w:r>
      <w:r w:rsidR="004F2330">
        <w:instrText xml:space="preserve"> STYLEREF 1 \s </w:instrText>
      </w:r>
      <w:r w:rsidR="004F2330">
        <w:fldChar w:fldCharType="separate"/>
      </w:r>
      <w:r w:rsidR="00CB29BD">
        <w:t>3</w:t>
      </w:r>
      <w:r w:rsidR="004F2330">
        <w:fldChar w:fldCharType="end"/>
      </w:r>
      <w:r w:rsidR="00FD378B">
        <w:t>.</w:t>
      </w:r>
      <w:r w:rsidR="004F2330">
        <w:fldChar w:fldCharType="begin"/>
      </w:r>
      <w:r w:rsidR="004F2330">
        <w:instrText xml:space="preserve"> SEQ Graf \* ARABIC \s 1 </w:instrText>
      </w:r>
      <w:r w:rsidR="004F2330">
        <w:fldChar w:fldCharType="separate"/>
      </w:r>
      <w:r w:rsidR="00CB29BD">
        <w:t>3</w:t>
      </w:r>
      <w:r w:rsidR="004F2330">
        <w:fldChar w:fldCharType="end"/>
      </w:r>
      <w:bookmarkEnd w:id="23"/>
      <w:r w:rsidRPr="00AE46CF">
        <w:t xml:space="preserve">: Reálný roční růst HDP </w:t>
      </w:r>
      <w:r w:rsidR="00F77E89">
        <w:t>KK</w:t>
      </w:r>
      <w:r w:rsidRPr="00AE46CF">
        <w:t xml:space="preserve"> a Č</w:t>
      </w:r>
      <w:r>
        <w:t>R v letech 2000 - 2014</w:t>
      </w:r>
      <w:r w:rsidRPr="00AE46CF">
        <w:t xml:space="preserve"> (v %, předchozí rok=100)</w:t>
      </w:r>
      <w:bookmarkEnd w:id="24"/>
      <w:r w:rsidRPr="00AE46CF">
        <w:t xml:space="preserve"> </w:t>
      </w:r>
      <w:bookmarkEnd w:id="25"/>
      <w:bookmarkEnd w:id="26"/>
      <w:bookmarkEnd w:id="27"/>
    </w:p>
    <w:p w:rsidR="002A5913" w:rsidRDefault="002A5913" w:rsidP="002C40B2">
      <w:pPr>
        <w:jc w:val="center"/>
      </w:pPr>
      <w:r w:rsidRPr="00141AA4">
        <w:rPr>
          <w:noProof/>
        </w:rPr>
        <w:drawing>
          <wp:inline distT="0" distB="0" distL="0" distR="0">
            <wp:extent cx="5724525" cy="27527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rsidR="002A5913" w:rsidRPr="00D914F5" w:rsidRDefault="007159D1" w:rsidP="002C40B2">
      <w:pPr>
        <w:spacing w:before="120"/>
        <w:rPr>
          <w:rStyle w:val="Zdraznnjemn"/>
        </w:rPr>
      </w:pPr>
      <w:r>
        <w:rPr>
          <w:rStyle w:val="Zdraznnjemn"/>
        </w:rPr>
        <w:t>Zd</w:t>
      </w:r>
      <w:r w:rsidR="004E0D65">
        <w:rPr>
          <w:rStyle w:val="Zdraznnjemn"/>
        </w:rPr>
        <w:t>roj: ČSÚ -</w:t>
      </w:r>
      <w:r w:rsidR="002A5913">
        <w:rPr>
          <w:rStyle w:val="Zdraznnjemn"/>
        </w:rPr>
        <w:t xml:space="preserve"> </w:t>
      </w:r>
      <w:r w:rsidR="002A5913" w:rsidRPr="00D914F5">
        <w:rPr>
          <w:rStyle w:val="Zdraznnjemn"/>
        </w:rPr>
        <w:t>Regionální účty, vlastní výpočty</w:t>
      </w:r>
    </w:p>
    <w:p w:rsidR="002A5913" w:rsidRPr="004B56AB" w:rsidRDefault="002A5913" w:rsidP="002C40B2">
      <w:pPr>
        <w:rPr>
          <w:rStyle w:val="Siln"/>
          <w:b w:val="0"/>
        </w:rPr>
      </w:pPr>
      <w:r w:rsidRPr="004B56AB">
        <w:rPr>
          <w:rStyle w:val="Siln"/>
          <w:b w:val="0"/>
        </w:rPr>
        <w:lastRenderedPageBreak/>
        <w:t xml:space="preserve">Karlovarský kraj byl postižen ekonomickou krizí relativně více než v průměru ČR. </w:t>
      </w:r>
      <w:r w:rsidRPr="004B56AB">
        <w:t>R</w:t>
      </w:r>
      <w:r w:rsidRPr="004B56AB">
        <w:rPr>
          <w:rStyle w:val="Siln"/>
          <w:b w:val="0"/>
        </w:rPr>
        <w:t>ozdíl byl spíše v načasování dopadu krize, kdy v Karlovarském kraji již v roce 2008 ekonomika stagnovala a proti roku 2007 zaznamenala propad o 3 p. b. Na ekonomiku Č</w:t>
      </w:r>
      <w:r w:rsidR="004B56AB">
        <w:rPr>
          <w:rStyle w:val="Siln"/>
          <w:b w:val="0"/>
        </w:rPr>
        <w:t>R</w:t>
      </w:r>
      <w:r w:rsidRPr="004B56AB">
        <w:rPr>
          <w:rStyle w:val="Siln"/>
          <w:b w:val="0"/>
        </w:rPr>
        <w:t xml:space="preserve"> dopadala krize s větší setrvačností </w:t>
      </w:r>
      <w:r w:rsidR="00A710FA">
        <w:rPr>
          <w:rStyle w:val="Siln"/>
          <w:b w:val="0"/>
        </w:rPr>
        <w:br/>
      </w:r>
      <w:r w:rsidRPr="004B56AB">
        <w:rPr>
          <w:rStyle w:val="Siln"/>
          <w:b w:val="0"/>
        </w:rPr>
        <w:t xml:space="preserve">a naplno se projevila až na hospodářském výsledku za rok 2009, kdy byl zaznamenán meziroční pokles o 4,8 p. b. Po roce 2013 dochází k ekonomickému oživení na národní i krajské úrovni. </w:t>
      </w:r>
    </w:p>
    <w:p w:rsidR="002A5913" w:rsidRPr="004B56AB" w:rsidRDefault="002A5913" w:rsidP="002C40B2">
      <w:pPr>
        <w:rPr>
          <w:rStyle w:val="Siln"/>
          <w:b w:val="0"/>
        </w:rPr>
      </w:pPr>
      <w:r w:rsidRPr="004B56AB">
        <w:rPr>
          <w:rStyle w:val="Siln"/>
          <w:b w:val="0"/>
        </w:rPr>
        <w:t>Ukaz</w:t>
      </w:r>
      <w:r w:rsidR="00151586">
        <w:rPr>
          <w:rStyle w:val="Siln"/>
          <w:b w:val="0"/>
        </w:rPr>
        <w:t xml:space="preserve">atel hrubého domácího produktu </w:t>
      </w:r>
      <w:r w:rsidRPr="004B56AB">
        <w:rPr>
          <w:rStyle w:val="Siln"/>
          <w:b w:val="0"/>
        </w:rPr>
        <w:t xml:space="preserve">je často používaný pro rámcové srovnání vývoje regionů </w:t>
      </w:r>
      <w:r w:rsidR="00A710FA">
        <w:rPr>
          <w:rStyle w:val="Siln"/>
          <w:b w:val="0"/>
        </w:rPr>
        <w:br/>
      </w:r>
      <w:r w:rsidRPr="004B56AB">
        <w:rPr>
          <w:rStyle w:val="Siln"/>
          <w:b w:val="0"/>
        </w:rPr>
        <w:t>a jejich ekonomického postavení. Pro jeho lepší interpretaci je však vhodné se zaměřit na dílčí faktory, které jeho úroveň a vývoj ovlivňují (viz rámeček níže).</w:t>
      </w:r>
    </w:p>
    <w:p w:rsidR="002A5913" w:rsidRPr="00AE46CF" w:rsidRDefault="002A5913" w:rsidP="002C40B2">
      <w:pPr>
        <w:pBdr>
          <w:top w:val="single" w:sz="4" w:space="0" w:color="auto"/>
          <w:left w:val="single" w:sz="4" w:space="1" w:color="auto"/>
          <w:bottom w:val="single" w:sz="4" w:space="11" w:color="auto"/>
          <w:right w:val="single" w:sz="4" w:space="1" w:color="auto"/>
        </w:pBdr>
        <w:shd w:val="clear" w:color="auto" w:fill="E5F5FF"/>
        <w:rPr>
          <w:b/>
          <w:bCs/>
        </w:rPr>
      </w:pPr>
      <w:r w:rsidRPr="00AE46CF">
        <w:rPr>
          <w:b/>
          <w:bCs/>
        </w:rPr>
        <w:t>Rozklad hrubého domácího produktu</w:t>
      </w:r>
      <w:bookmarkStart w:id="28" w:name="_Ref461026456"/>
      <w:r w:rsidRPr="00AE46CF">
        <w:rPr>
          <w:rStyle w:val="Znakapoznpodarou"/>
          <w:b/>
          <w:bCs/>
        </w:rPr>
        <w:footnoteReference w:id="1"/>
      </w:r>
      <w:bookmarkEnd w:id="28"/>
    </w:p>
    <w:p w:rsidR="002A5913" w:rsidRPr="00AE46CF" w:rsidRDefault="002A5913" w:rsidP="002C40B2">
      <w:pPr>
        <w:pBdr>
          <w:top w:val="single" w:sz="4" w:space="0" w:color="auto"/>
          <w:left w:val="single" w:sz="4" w:space="1" w:color="auto"/>
          <w:bottom w:val="single" w:sz="4" w:space="11" w:color="auto"/>
          <w:right w:val="single" w:sz="4" w:space="1" w:color="auto"/>
        </w:pBdr>
        <w:shd w:val="clear" w:color="auto" w:fill="E5F5FF"/>
        <w:rPr>
          <w:b/>
          <w:bCs/>
        </w:rPr>
      </w:pPr>
      <w:r w:rsidRPr="00AE46CF">
        <w:t xml:space="preserve">HDP je základním ukazatelem využívaným pro hodnocení konkurenceschopnosti, na druhé straně je však vždy třeba mít na paměti </w:t>
      </w:r>
      <w:r w:rsidRPr="00AE46CF">
        <w:rPr>
          <w:b/>
          <w:bCs/>
        </w:rPr>
        <w:t>faktory, které mohou tento ukazatel významně ovlivnit a snížit tak svým způsobem jeho vypovídací schopnost</w:t>
      </w:r>
      <w:r w:rsidRPr="00AE46CF">
        <w:t xml:space="preserve"> jako ukazatele ekonomické vyspělosti a životní úrovně obyvatel jednotlivých regionů. </w:t>
      </w:r>
    </w:p>
    <w:p w:rsidR="002A5913" w:rsidRPr="00AE46CF" w:rsidRDefault="002A5913" w:rsidP="002C40B2">
      <w:pPr>
        <w:pBdr>
          <w:top w:val="single" w:sz="4" w:space="0" w:color="auto"/>
          <w:left w:val="single" w:sz="4" w:space="1" w:color="auto"/>
          <w:bottom w:val="single" w:sz="4" w:space="11" w:color="auto"/>
          <w:right w:val="single" w:sz="4" w:space="1" w:color="auto"/>
        </w:pBdr>
        <w:shd w:val="clear" w:color="auto" w:fill="E5F5FF"/>
      </w:pPr>
      <w:r w:rsidRPr="00AE46CF">
        <w:t xml:space="preserve">Výše regionálního HDP je ovlivněna například rozdílnou produktivitou realizovaných hospodářských aktivit. Významný je však také podíl obyvatel zapojených do tvorby ekonomické produkce. Ten může být zvýšen kladným saldem dojížďky za prací, a to nejenom z jiných oblastí Česka, ale také ze zahraničí. V následující analýze je tedy ukazatel HDP na obyvatele srovnán podle těchto faktorů, které mají významný dopad na celkové disparity regionálního HDP na obyvatele. Těmito faktory jsou: </w:t>
      </w:r>
    </w:p>
    <w:p w:rsidR="002A5913" w:rsidRPr="00AE46CF" w:rsidRDefault="002A5913" w:rsidP="002C40B2">
      <w:pPr>
        <w:pBdr>
          <w:top w:val="single" w:sz="4" w:space="0" w:color="auto"/>
          <w:left w:val="single" w:sz="4" w:space="1" w:color="auto"/>
          <w:bottom w:val="single" w:sz="4" w:space="11" w:color="auto"/>
          <w:right w:val="single" w:sz="4" w:space="1" w:color="auto"/>
        </w:pBdr>
        <w:shd w:val="clear" w:color="auto" w:fill="E5F5FF"/>
      </w:pPr>
      <w:r w:rsidRPr="00AE46CF">
        <w:t xml:space="preserve">1) </w:t>
      </w:r>
      <w:r w:rsidRPr="00AE46CF">
        <w:rPr>
          <w:i/>
          <w:iCs/>
        </w:rPr>
        <w:t>Produktivita práce</w:t>
      </w:r>
      <w:r w:rsidRPr="00AE46CF">
        <w:t xml:space="preserve"> – je vyjádřena jako HDP či HPH (hrubá přidaná hodnota) na 1 zaměstnaného podle místa pracoviště, přičemž zdrojem dat jsou informace z Regionálních účtů ČSÚ. Vliv produktivity práce je možné považovat za zásadní, neboť významně ovlivňuje všechny další výše zmíněné faktory regionálních rozdílů ekonomické výkonnosti.</w:t>
      </w:r>
    </w:p>
    <w:p w:rsidR="002A5913" w:rsidRPr="00AE46CF" w:rsidRDefault="002A5913" w:rsidP="002C40B2">
      <w:pPr>
        <w:pBdr>
          <w:top w:val="single" w:sz="4" w:space="0" w:color="auto"/>
          <w:left w:val="single" w:sz="4" w:space="1" w:color="auto"/>
          <w:bottom w:val="single" w:sz="4" w:space="11" w:color="auto"/>
          <w:right w:val="single" w:sz="4" w:space="1" w:color="auto"/>
        </w:pBdr>
        <w:shd w:val="clear" w:color="auto" w:fill="E5F5FF"/>
      </w:pPr>
      <w:r w:rsidRPr="00AE46CF">
        <w:t>2</w:t>
      </w:r>
      <w:r w:rsidRPr="00AE46CF">
        <w:rPr>
          <w:i/>
          <w:iCs/>
        </w:rPr>
        <w:t xml:space="preserve">) Míra ekonomické aktivity </w:t>
      </w:r>
      <w:r w:rsidRPr="00AE46CF">
        <w:t>můžeme vyjádřit jako podíl počtu zaměstnaných (včetně sebezaměstnaných) a nezaměstnaných na počtu všech osob starších 15 let.</w:t>
      </w:r>
    </w:p>
    <w:p w:rsidR="002A5913" w:rsidRPr="00AE46CF" w:rsidRDefault="002A5913" w:rsidP="002C40B2">
      <w:pPr>
        <w:pBdr>
          <w:top w:val="single" w:sz="4" w:space="0" w:color="auto"/>
          <w:left w:val="single" w:sz="4" w:space="1" w:color="auto"/>
          <w:bottom w:val="single" w:sz="4" w:space="11" w:color="auto"/>
          <w:right w:val="single" w:sz="4" w:space="1" w:color="auto"/>
        </w:pBdr>
        <w:shd w:val="clear" w:color="auto" w:fill="E5F5FF"/>
      </w:pPr>
      <w:r w:rsidRPr="00AE46CF">
        <w:t xml:space="preserve">3) </w:t>
      </w:r>
      <w:r w:rsidRPr="00AE46CF">
        <w:rPr>
          <w:i/>
          <w:iCs/>
        </w:rPr>
        <w:t>Podíl pracujících cizinců v populaci</w:t>
      </w:r>
      <w:r w:rsidRPr="00AE46CF">
        <w:t xml:space="preserve"> je pro tuto analýzu počítán jako podíl zaměstnaných cizinců na celkovém počtu obyvatel kraje. Zahraniční pracovníci přispívají k celkovému ekonomickému regionu, aniž by však byli započítáni při jeho relativizaci do jeho počtu obyvatel. Jejich vliv na regionální HDP je dán jejich nerovnoměrným rozmístěním mezi kraji, resp. odlišným podílem cizinců na populaci jednotlivých krajů.</w:t>
      </w:r>
    </w:p>
    <w:p w:rsidR="002A5913" w:rsidRPr="00AE46CF" w:rsidRDefault="002A5913" w:rsidP="002C40B2">
      <w:pPr>
        <w:pBdr>
          <w:top w:val="single" w:sz="4" w:space="0" w:color="auto"/>
          <w:left w:val="single" w:sz="4" w:space="1" w:color="auto"/>
          <w:bottom w:val="single" w:sz="4" w:space="11" w:color="auto"/>
          <w:right w:val="single" w:sz="4" w:space="1" w:color="auto"/>
        </w:pBdr>
        <w:shd w:val="clear" w:color="auto" w:fill="E5F5FF"/>
      </w:pPr>
      <w:r w:rsidRPr="00AE46CF">
        <w:t xml:space="preserve">4) </w:t>
      </w:r>
      <w:r w:rsidRPr="00AE46CF">
        <w:rPr>
          <w:i/>
          <w:iCs/>
        </w:rPr>
        <w:t>Dojížďka za prací</w:t>
      </w:r>
      <w:r>
        <w:t xml:space="preserve"> hraje podobnou roli jako </w:t>
      </w:r>
      <w:r w:rsidRPr="00AE46CF">
        <w:t>zaměstnaní cizinci, přičemž v případě regionů, kde vyjížďka za prací převažuje, je její vliv negativní – obyvatelé kraje přispívají k tvorbě HDP v jiných krajích, pro relativizaci sledovaných hodnot jsou však započítání v kraji svého bydliště</w:t>
      </w:r>
      <w:r w:rsidR="00F77E89">
        <w:t xml:space="preserve">. Rozdíl mezi těmi, kteří vyjíždějí a dojíždějí za prací z/do kraje </w:t>
      </w:r>
      <w:r w:rsidRPr="00AE46CF">
        <w:t>představuje saldo dojížďky za prací daného regionu.</w:t>
      </w:r>
    </w:p>
    <w:p w:rsidR="00F77E89" w:rsidRDefault="00F77E89" w:rsidP="002C40B2">
      <w:pPr>
        <w:spacing w:after="160"/>
        <w:jc w:val="left"/>
      </w:pPr>
      <w:bookmarkStart w:id="29" w:name="_Ref462127271"/>
      <w:bookmarkStart w:id="30" w:name="_Ref310523162"/>
      <w:bookmarkStart w:id="31" w:name="_Toc321406036"/>
      <w:r>
        <w:br w:type="page"/>
      </w:r>
    </w:p>
    <w:p w:rsidR="002A5913" w:rsidRPr="00AE46CF" w:rsidRDefault="002A5913" w:rsidP="000B3B9C">
      <w:pPr>
        <w:pStyle w:val="Titulek"/>
      </w:pPr>
      <w:bookmarkStart w:id="32" w:name="_Ref468693872"/>
      <w:bookmarkStart w:id="33" w:name="_Ref468694453"/>
      <w:bookmarkStart w:id="34" w:name="_Toc488233465"/>
      <w:r>
        <w:lastRenderedPageBreak/>
        <w:t xml:space="preserve">Tabulka </w:t>
      </w:r>
      <w:r w:rsidR="008965FE">
        <w:fldChar w:fldCharType="begin"/>
      </w:r>
      <w:r w:rsidR="00B33DFE">
        <w:instrText xml:space="preserve"> STYLEREF 1 \s </w:instrText>
      </w:r>
      <w:r w:rsidR="008965FE">
        <w:fldChar w:fldCharType="separate"/>
      </w:r>
      <w:r w:rsidR="00CB29BD">
        <w:t>3</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32"/>
      <w:r w:rsidRPr="00AE46CF">
        <w:t>:</w:t>
      </w:r>
      <w:bookmarkEnd w:id="29"/>
      <w:r w:rsidRPr="00AE46CF">
        <w:t xml:space="preserve"> HDP a dílčí faktory ovlivňující jeho </w:t>
      </w:r>
      <w:r>
        <w:t>výši</w:t>
      </w:r>
      <w:r w:rsidRPr="00AE46CF">
        <w:t xml:space="preserve"> v Karlovarském kraji</w:t>
      </w:r>
      <w:bookmarkEnd w:id="30"/>
      <w:bookmarkEnd w:id="31"/>
      <w:bookmarkEnd w:id="33"/>
      <w:bookmarkEnd w:id="3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850"/>
        <w:gridCol w:w="851"/>
        <w:gridCol w:w="850"/>
        <w:gridCol w:w="851"/>
        <w:gridCol w:w="850"/>
        <w:gridCol w:w="851"/>
        <w:gridCol w:w="1701"/>
        <w:gridCol w:w="1814"/>
      </w:tblGrid>
      <w:tr w:rsidR="002E3D6B" w:rsidRPr="002E3D6B" w:rsidTr="000562C0">
        <w:trPr>
          <w:trHeight w:val="381"/>
        </w:trPr>
        <w:tc>
          <w:tcPr>
            <w:tcW w:w="454" w:type="dxa"/>
            <w:vMerge w:val="restart"/>
            <w:noWrap/>
          </w:tcPr>
          <w:p w:rsidR="002A5913" w:rsidRPr="002E3D6B" w:rsidRDefault="002A5913" w:rsidP="002C40B2">
            <w:pPr>
              <w:spacing w:after="0"/>
              <w:jc w:val="center"/>
              <w:rPr>
                <w:b/>
                <w:sz w:val="20"/>
                <w:szCs w:val="20"/>
              </w:rPr>
            </w:pPr>
            <w:r w:rsidRPr="002E3D6B">
              <w:rPr>
                <w:b/>
                <w:sz w:val="20"/>
                <w:szCs w:val="20"/>
              </w:rPr>
              <w:t> </w:t>
            </w:r>
          </w:p>
        </w:tc>
        <w:tc>
          <w:tcPr>
            <w:tcW w:w="1701" w:type="dxa"/>
            <w:gridSpan w:val="2"/>
            <w:noWrap/>
            <w:vAlign w:val="center"/>
          </w:tcPr>
          <w:p w:rsidR="002A5913" w:rsidRPr="002E3D6B" w:rsidRDefault="002A5913" w:rsidP="000562C0">
            <w:pPr>
              <w:spacing w:after="0"/>
              <w:jc w:val="center"/>
              <w:rPr>
                <w:b/>
                <w:bCs/>
                <w:sz w:val="20"/>
                <w:szCs w:val="20"/>
              </w:rPr>
            </w:pPr>
            <w:r w:rsidRPr="002E3D6B">
              <w:rPr>
                <w:b/>
                <w:bCs/>
                <w:sz w:val="20"/>
                <w:szCs w:val="20"/>
              </w:rPr>
              <w:t>HDP/ obyvatele v r. 2014</w:t>
            </w:r>
          </w:p>
        </w:tc>
        <w:tc>
          <w:tcPr>
            <w:tcW w:w="1701" w:type="dxa"/>
            <w:gridSpan w:val="2"/>
            <w:noWrap/>
            <w:vAlign w:val="center"/>
          </w:tcPr>
          <w:p w:rsidR="002A5913" w:rsidRPr="002E3D6B" w:rsidRDefault="002A5913" w:rsidP="000562C0">
            <w:pPr>
              <w:spacing w:after="0"/>
              <w:jc w:val="center"/>
              <w:rPr>
                <w:b/>
                <w:bCs/>
                <w:sz w:val="20"/>
                <w:szCs w:val="20"/>
              </w:rPr>
            </w:pPr>
            <w:r w:rsidRPr="002E3D6B">
              <w:rPr>
                <w:b/>
                <w:bCs/>
                <w:sz w:val="20"/>
                <w:szCs w:val="20"/>
              </w:rPr>
              <w:t>Produktivita práce v r. 2013</w:t>
            </w:r>
          </w:p>
        </w:tc>
        <w:tc>
          <w:tcPr>
            <w:tcW w:w="1701" w:type="dxa"/>
            <w:gridSpan w:val="2"/>
            <w:vAlign w:val="center"/>
          </w:tcPr>
          <w:p w:rsidR="002A5913" w:rsidRPr="002E3D6B" w:rsidRDefault="002A5913" w:rsidP="000562C0">
            <w:pPr>
              <w:spacing w:after="0"/>
              <w:jc w:val="center"/>
              <w:rPr>
                <w:b/>
                <w:bCs/>
                <w:sz w:val="20"/>
                <w:szCs w:val="20"/>
              </w:rPr>
            </w:pPr>
            <w:r w:rsidRPr="002E3D6B">
              <w:rPr>
                <w:b/>
                <w:bCs/>
                <w:sz w:val="20"/>
                <w:szCs w:val="20"/>
              </w:rPr>
              <w:t>Míra ekonomické aktivity v r. 2014</w:t>
            </w:r>
          </w:p>
        </w:tc>
        <w:tc>
          <w:tcPr>
            <w:tcW w:w="1701" w:type="dxa"/>
            <w:noWrap/>
            <w:vAlign w:val="center"/>
          </w:tcPr>
          <w:p w:rsidR="002A5913" w:rsidRPr="002E3D6B" w:rsidRDefault="002A5913" w:rsidP="000562C0">
            <w:pPr>
              <w:spacing w:after="0"/>
              <w:jc w:val="center"/>
              <w:rPr>
                <w:b/>
                <w:bCs/>
                <w:sz w:val="20"/>
                <w:szCs w:val="20"/>
              </w:rPr>
            </w:pPr>
            <w:r w:rsidRPr="002E3D6B">
              <w:rPr>
                <w:b/>
                <w:bCs/>
                <w:sz w:val="20"/>
                <w:szCs w:val="20"/>
              </w:rPr>
              <w:t>Podíl pracujících cizinců v r. 2011</w:t>
            </w:r>
          </w:p>
        </w:tc>
        <w:tc>
          <w:tcPr>
            <w:tcW w:w="1814" w:type="dxa"/>
            <w:vAlign w:val="center"/>
          </w:tcPr>
          <w:p w:rsidR="002A5913" w:rsidRPr="002E3D6B" w:rsidRDefault="002A5913" w:rsidP="000562C0">
            <w:pPr>
              <w:spacing w:after="0"/>
              <w:jc w:val="center"/>
              <w:rPr>
                <w:b/>
                <w:bCs/>
                <w:sz w:val="20"/>
                <w:szCs w:val="20"/>
              </w:rPr>
            </w:pPr>
            <w:r w:rsidRPr="002E3D6B">
              <w:rPr>
                <w:b/>
                <w:bCs/>
                <w:sz w:val="20"/>
                <w:szCs w:val="20"/>
              </w:rPr>
              <w:t>Saldo dojížďky do zaměstnání 2011</w:t>
            </w:r>
          </w:p>
        </w:tc>
      </w:tr>
      <w:tr w:rsidR="00F77E89" w:rsidRPr="002E3D6B" w:rsidTr="000562C0">
        <w:trPr>
          <w:trHeight w:val="255"/>
        </w:trPr>
        <w:tc>
          <w:tcPr>
            <w:tcW w:w="454" w:type="dxa"/>
            <w:vMerge/>
          </w:tcPr>
          <w:p w:rsidR="002A5913" w:rsidRPr="002E3D6B" w:rsidRDefault="002A5913" w:rsidP="002C40B2">
            <w:pPr>
              <w:spacing w:after="0"/>
              <w:rPr>
                <w:sz w:val="20"/>
                <w:szCs w:val="20"/>
              </w:rPr>
            </w:pPr>
          </w:p>
        </w:tc>
        <w:tc>
          <w:tcPr>
            <w:tcW w:w="850" w:type="dxa"/>
            <w:noWrap/>
            <w:vAlign w:val="center"/>
          </w:tcPr>
          <w:p w:rsidR="002A5913" w:rsidRPr="002E3D6B" w:rsidRDefault="002A5913" w:rsidP="000562C0">
            <w:pPr>
              <w:spacing w:after="0"/>
              <w:jc w:val="center"/>
              <w:rPr>
                <w:b/>
                <w:bCs/>
                <w:sz w:val="20"/>
                <w:szCs w:val="20"/>
              </w:rPr>
            </w:pPr>
            <w:r w:rsidRPr="002E3D6B">
              <w:rPr>
                <w:b/>
                <w:bCs/>
                <w:sz w:val="20"/>
                <w:szCs w:val="20"/>
              </w:rPr>
              <w:t>stav (ČR=100)</w:t>
            </w:r>
          </w:p>
        </w:tc>
        <w:tc>
          <w:tcPr>
            <w:tcW w:w="851" w:type="dxa"/>
            <w:noWrap/>
            <w:vAlign w:val="center"/>
          </w:tcPr>
          <w:p w:rsidR="002A5913" w:rsidRPr="002E3D6B" w:rsidRDefault="002A5913" w:rsidP="000562C0">
            <w:pPr>
              <w:spacing w:after="0"/>
              <w:jc w:val="center"/>
              <w:rPr>
                <w:b/>
                <w:bCs/>
                <w:sz w:val="20"/>
                <w:szCs w:val="20"/>
              </w:rPr>
            </w:pPr>
            <w:r w:rsidRPr="002E3D6B">
              <w:rPr>
                <w:b/>
                <w:bCs/>
                <w:sz w:val="20"/>
                <w:szCs w:val="20"/>
              </w:rPr>
              <w:t>Index 14/10</w:t>
            </w:r>
          </w:p>
        </w:tc>
        <w:tc>
          <w:tcPr>
            <w:tcW w:w="850" w:type="dxa"/>
            <w:noWrap/>
            <w:vAlign w:val="center"/>
          </w:tcPr>
          <w:p w:rsidR="002A5913" w:rsidRPr="002E3D6B" w:rsidRDefault="002A5913" w:rsidP="000562C0">
            <w:pPr>
              <w:spacing w:after="0"/>
              <w:jc w:val="center"/>
              <w:rPr>
                <w:b/>
                <w:bCs/>
                <w:sz w:val="20"/>
                <w:szCs w:val="20"/>
              </w:rPr>
            </w:pPr>
            <w:r w:rsidRPr="002E3D6B">
              <w:rPr>
                <w:b/>
                <w:bCs/>
                <w:sz w:val="20"/>
                <w:szCs w:val="20"/>
              </w:rPr>
              <w:t>stav (ČR=100)</w:t>
            </w:r>
          </w:p>
        </w:tc>
        <w:tc>
          <w:tcPr>
            <w:tcW w:w="851" w:type="dxa"/>
            <w:noWrap/>
            <w:vAlign w:val="center"/>
          </w:tcPr>
          <w:p w:rsidR="002A5913" w:rsidRPr="002E3D6B" w:rsidRDefault="002A5913" w:rsidP="000562C0">
            <w:pPr>
              <w:spacing w:after="0"/>
              <w:jc w:val="center"/>
              <w:rPr>
                <w:b/>
                <w:bCs/>
                <w:sz w:val="20"/>
                <w:szCs w:val="20"/>
              </w:rPr>
            </w:pPr>
            <w:r w:rsidRPr="002E3D6B">
              <w:rPr>
                <w:b/>
                <w:bCs/>
                <w:sz w:val="20"/>
                <w:szCs w:val="20"/>
              </w:rPr>
              <w:t>Index 13/10</w:t>
            </w:r>
          </w:p>
        </w:tc>
        <w:tc>
          <w:tcPr>
            <w:tcW w:w="850" w:type="dxa"/>
            <w:noWrap/>
            <w:vAlign w:val="center"/>
          </w:tcPr>
          <w:p w:rsidR="002A5913" w:rsidRPr="002E3D6B" w:rsidRDefault="002A5913" w:rsidP="000562C0">
            <w:pPr>
              <w:spacing w:after="0"/>
              <w:jc w:val="center"/>
              <w:rPr>
                <w:b/>
                <w:bCs/>
                <w:sz w:val="20"/>
                <w:szCs w:val="20"/>
              </w:rPr>
            </w:pPr>
            <w:r w:rsidRPr="002E3D6B">
              <w:rPr>
                <w:b/>
                <w:bCs/>
                <w:sz w:val="20"/>
                <w:szCs w:val="20"/>
              </w:rPr>
              <w:t>stav</w:t>
            </w:r>
          </w:p>
        </w:tc>
        <w:tc>
          <w:tcPr>
            <w:tcW w:w="851" w:type="dxa"/>
            <w:noWrap/>
            <w:vAlign w:val="center"/>
          </w:tcPr>
          <w:p w:rsidR="002A5913" w:rsidRPr="002E3D6B" w:rsidRDefault="002A5913" w:rsidP="000562C0">
            <w:pPr>
              <w:spacing w:after="0"/>
              <w:jc w:val="center"/>
              <w:rPr>
                <w:b/>
                <w:bCs/>
                <w:sz w:val="20"/>
                <w:szCs w:val="20"/>
              </w:rPr>
            </w:pPr>
            <w:r w:rsidRPr="002E3D6B">
              <w:rPr>
                <w:b/>
                <w:bCs/>
                <w:sz w:val="20"/>
                <w:szCs w:val="20"/>
              </w:rPr>
              <w:t>Index 14/10</w:t>
            </w:r>
          </w:p>
        </w:tc>
        <w:tc>
          <w:tcPr>
            <w:tcW w:w="1701" w:type="dxa"/>
            <w:noWrap/>
            <w:vAlign w:val="center"/>
          </w:tcPr>
          <w:p w:rsidR="002A5913" w:rsidRPr="002E3D6B" w:rsidRDefault="002A5913" w:rsidP="000562C0">
            <w:pPr>
              <w:spacing w:after="0"/>
              <w:jc w:val="center"/>
              <w:rPr>
                <w:b/>
                <w:bCs/>
                <w:sz w:val="20"/>
                <w:szCs w:val="20"/>
              </w:rPr>
            </w:pPr>
            <w:r w:rsidRPr="002E3D6B">
              <w:rPr>
                <w:b/>
                <w:bCs/>
                <w:sz w:val="20"/>
                <w:szCs w:val="20"/>
              </w:rPr>
              <w:t>stav</w:t>
            </w:r>
          </w:p>
        </w:tc>
        <w:tc>
          <w:tcPr>
            <w:tcW w:w="1814" w:type="dxa"/>
            <w:noWrap/>
            <w:vAlign w:val="center"/>
          </w:tcPr>
          <w:p w:rsidR="002A5913" w:rsidRPr="002E3D6B" w:rsidRDefault="002A5913" w:rsidP="000562C0">
            <w:pPr>
              <w:spacing w:after="0"/>
              <w:jc w:val="center"/>
              <w:rPr>
                <w:b/>
                <w:bCs/>
                <w:sz w:val="20"/>
                <w:szCs w:val="20"/>
              </w:rPr>
            </w:pPr>
            <w:r w:rsidRPr="002E3D6B">
              <w:rPr>
                <w:b/>
                <w:bCs/>
                <w:sz w:val="20"/>
                <w:szCs w:val="20"/>
              </w:rPr>
              <w:t>stav</w:t>
            </w:r>
          </w:p>
        </w:tc>
      </w:tr>
      <w:tr w:rsidR="00F77E89" w:rsidRPr="002E3D6B" w:rsidTr="000562C0">
        <w:trPr>
          <w:trHeight w:val="255"/>
        </w:trPr>
        <w:tc>
          <w:tcPr>
            <w:tcW w:w="454" w:type="dxa"/>
            <w:noWrap/>
          </w:tcPr>
          <w:p w:rsidR="002A5913" w:rsidRPr="002E3D6B" w:rsidRDefault="002A5913" w:rsidP="002C40B2">
            <w:pPr>
              <w:spacing w:after="0"/>
              <w:rPr>
                <w:bCs/>
                <w:sz w:val="20"/>
                <w:szCs w:val="20"/>
              </w:rPr>
            </w:pPr>
            <w:r w:rsidRPr="002E3D6B">
              <w:rPr>
                <w:bCs/>
                <w:sz w:val="20"/>
                <w:szCs w:val="20"/>
              </w:rPr>
              <w:t>ČR</w:t>
            </w:r>
          </w:p>
        </w:tc>
        <w:tc>
          <w:tcPr>
            <w:tcW w:w="850" w:type="dxa"/>
            <w:noWrap/>
          </w:tcPr>
          <w:p w:rsidR="002A5913" w:rsidRPr="002E3D6B" w:rsidRDefault="002A5913" w:rsidP="002C40B2">
            <w:pPr>
              <w:spacing w:after="0"/>
              <w:jc w:val="center"/>
              <w:rPr>
                <w:sz w:val="20"/>
                <w:szCs w:val="20"/>
              </w:rPr>
            </w:pPr>
            <w:r w:rsidRPr="002E3D6B">
              <w:rPr>
                <w:sz w:val="20"/>
                <w:szCs w:val="20"/>
              </w:rPr>
              <w:t>100</w:t>
            </w:r>
          </w:p>
        </w:tc>
        <w:tc>
          <w:tcPr>
            <w:tcW w:w="851" w:type="dxa"/>
            <w:noWrap/>
          </w:tcPr>
          <w:p w:rsidR="002A5913" w:rsidRPr="002E3D6B" w:rsidRDefault="002A5913" w:rsidP="002C40B2">
            <w:pPr>
              <w:spacing w:after="0"/>
              <w:jc w:val="center"/>
              <w:rPr>
                <w:sz w:val="20"/>
                <w:szCs w:val="20"/>
              </w:rPr>
            </w:pPr>
            <w:r w:rsidRPr="002E3D6B">
              <w:rPr>
                <w:sz w:val="20"/>
                <w:szCs w:val="20"/>
              </w:rPr>
              <w:t>112,1</w:t>
            </w:r>
          </w:p>
        </w:tc>
        <w:tc>
          <w:tcPr>
            <w:tcW w:w="850" w:type="dxa"/>
            <w:noWrap/>
          </w:tcPr>
          <w:p w:rsidR="002A5913" w:rsidRPr="002E3D6B" w:rsidRDefault="002A5913" w:rsidP="002C40B2">
            <w:pPr>
              <w:spacing w:after="0"/>
              <w:jc w:val="center"/>
              <w:rPr>
                <w:sz w:val="20"/>
                <w:szCs w:val="20"/>
              </w:rPr>
            </w:pPr>
            <w:r w:rsidRPr="002E3D6B">
              <w:rPr>
                <w:sz w:val="20"/>
                <w:szCs w:val="20"/>
              </w:rPr>
              <w:t>100</w:t>
            </w:r>
          </w:p>
        </w:tc>
        <w:tc>
          <w:tcPr>
            <w:tcW w:w="851" w:type="dxa"/>
            <w:noWrap/>
          </w:tcPr>
          <w:p w:rsidR="002A5913" w:rsidRPr="002E3D6B" w:rsidRDefault="002A5913" w:rsidP="002C40B2">
            <w:pPr>
              <w:spacing w:after="0"/>
              <w:jc w:val="center"/>
              <w:rPr>
                <w:sz w:val="20"/>
                <w:szCs w:val="20"/>
              </w:rPr>
            </w:pPr>
            <w:r w:rsidRPr="002E3D6B">
              <w:rPr>
                <w:sz w:val="20"/>
                <w:szCs w:val="20"/>
              </w:rPr>
              <w:t>x</w:t>
            </w:r>
          </w:p>
        </w:tc>
        <w:tc>
          <w:tcPr>
            <w:tcW w:w="850" w:type="dxa"/>
            <w:noWrap/>
          </w:tcPr>
          <w:p w:rsidR="002A5913" w:rsidRPr="002E3D6B" w:rsidRDefault="002A5913" w:rsidP="002C40B2">
            <w:pPr>
              <w:spacing w:after="0"/>
              <w:jc w:val="center"/>
              <w:rPr>
                <w:sz w:val="20"/>
                <w:szCs w:val="20"/>
              </w:rPr>
            </w:pPr>
            <w:r w:rsidRPr="002E3D6B">
              <w:rPr>
                <w:sz w:val="20"/>
                <w:szCs w:val="20"/>
              </w:rPr>
              <w:t>59,3</w:t>
            </w:r>
          </w:p>
        </w:tc>
        <w:tc>
          <w:tcPr>
            <w:tcW w:w="851" w:type="dxa"/>
            <w:noWrap/>
          </w:tcPr>
          <w:p w:rsidR="002A5913" w:rsidRPr="002E3D6B" w:rsidRDefault="002A5913" w:rsidP="002C40B2">
            <w:pPr>
              <w:spacing w:after="0"/>
              <w:jc w:val="center"/>
              <w:rPr>
                <w:sz w:val="20"/>
                <w:szCs w:val="20"/>
              </w:rPr>
            </w:pPr>
            <w:r w:rsidRPr="002E3D6B">
              <w:rPr>
                <w:sz w:val="20"/>
                <w:szCs w:val="20"/>
              </w:rPr>
              <w:t>101,5</w:t>
            </w:r>
          </w:p>
        </w:tc>
        <w:tc>
          <w:tcPr>
            <w:tcW w:w="1701" w:type="dxa"/>
            <w:noWrap/>
          </w:tcPr>
          <w:p w:rsidR="002A5913" w:rsidRPr="002E3D6B" w:rsidRDefault="002A5913" w:rsidP="002C40B2">
            <w:pPr>
              <w:spacing w:after="0"/>
              <w:jc w:val="center"/>
              <w:rPr>
                <w:sz w:val="20"/>
                <w:szCs w:val="20"/>
              </w:rPr>
            </w:pPr>
            <w:r w:rsidRPr="002E3D6B">
              <w:rPr>
                <w:sz w:val="20"/>
                <w:szCs w:val="20"/>
              </w:rPr>
              <w:t>3,0</w:t>
            </w:r>
          </w:p>
        </w:tc>
        <w:tc>
          <w:tcPr>
            <w:tcW w:w="1814" w:type="dxa"/>
            <w:noWrap/>
          </w:tcPr>
          <w:p w:rsidR="002A5913" w:rsidRPr="002E3D6B" w:rsidRDefault="002A5913" w:rsidP="002C40B2">
            <w:pPr>
              <w:spacing w:after="0"/>
              <w:jc w:val="center"/>
              <w:rPr>
                <w:sz w:val="20"/>
                <w:szCs w:val="20"/>
              </w:rPr>
            </w:pPr>
            <w:r w:rsidRPr="002E3D6B">
              <w:rPr>
                <w:sz w:val="20"/>
                <w:szCs w:val="20"/>
              </w:rPr>
              <w:t>x</w:t>
            </w:r>
          </w:p>
        </w:tc>
      </w:tr>
      <w:tr w:rsidR="00F77E89" w:rsidRPr="002E3D6B" w:rsidTr="000562C0">
        <w:trPr>
          <w:trHeight w:val="255"/>
        </w:trPr>
        <w:tc>
          <w:tcPr>
            <w:tcW w:w="454" w:type="dxa"/>
            <w:noWrap/>
          </w:tcPr>
          <w:p w:rsidR="002A5913" w:rsidRPr="002E3D6B" w:rsidRDefault="002A5913" w:rsidP="002C40B2">
            <w:pPr>
              <w:spacing w:after="0"/>
              <w:rPr>
                <w:bCs/>
                <w:sz w:val="20"/>
                <w:szCs w:val="20"/>
              </w:rPr>
            </w:pPr>
            <w:r w:rsidRPr="002E3D6B">
              <w:rPr>
                <w:bCs/>
                <w:sz w:val="20"/>
                <w:szCs w:val="20"/>
              </w:rPr>
              <w:t>KK</w:t>
            </w:r>
          </w:p>
        </w:tc>
        <w:tc>
          <w:tcPr>
            <w:tcW w:w="850" w:type="dxa"/>
            <w:noWrap/>
          </w:tcPr>
          <w:p w:rsidR="002A5913" w:rsidRPr="002E3D6B" w:rsidRDefault="002A5913" w:rsidP="002C40B2">
            <w:pPr>
              <w:spacing w:after="0"/>
              <w:jc w:val="center"/>
              <w:rPr>
                <w:sz w:val="20"/>
                <w:szCs w:val="20"/>
              </w:rPr>
            </w:pPr>
            <w:r w:rsidRPr="002E3D6B">
              <w:rPr>
                <w:sz w:val="20"/>
                <w:szCs w:val="20"/>
              </w:rPr>
              <w:t>68,4</w:t>
            </w:r>
          </w:p>
        </w:tc>
        <w:tc>
          <w:tcPr>
            <w:tcW w:w="851" w:type="dxa"/>
            <w:noWrap/>
          </w:tcPr>
          <w:p w:rsidR="002A5913" w:rsidRPr="002E3D6B" w:rsidRDefault="002A5913" w:rsidP="002C40B2">
            <w:pPr>
              <w:spacing w:after="0"/>
              <w:jc w:val="center"/>
              <w:rPr>
                <w:sz w:val="20"/>
                <w:szCs w:val="20"/>
              </w:rPr>
            </w:pPr>
            <w:r w:rsidRPr="002E3D6B">
              <w:rPr>
                <w:sz w:val="20"/>
                <w:szCs w:val="20"/>
              </w:rPr>
              <w:t>106,5</w:t>
            </w:r>
          </w:p>
        </w:tc>
        <w:tc>
          <w:tcPr>
            <w:tcW w:w="850" w:type="dxa"/>
            <w:noWrap/>
          </w:tcPr>
          <w:p w:rsidR="002A5913" w:rsidRPr="002E3D6B" w:rsidRDefault="002A5913" w:rsidP="002C40B2">
            <w:pPr>
              <w:spacing w:after="0"/>
              <w:jc w:val="center"/>
              <w:rPr>
                <w:sz w:val="20"/>
                <w:szCs w:val="20"/>
              </w:rPr>
            </w:pPr>
            <w:r w:rsidRPr="002E3D6B">
              <w:rPr>
                <w:sz w:val="20"/>
                <w:szCs w:val="20"/>
              </w:rPr>
              <w:t>70</w:t>
            </w:r>
          </w:p>
        </w:tc>
        <w:tc>
          <w:tcPr>
            <w:tcW w:w="851" w:type="dxa"/>
            <w:noWrap/>
          </w:tcPr>
          <w:p w:rsidR="002A5913" w:rsidRPr="002E3D6B" w:rsidRDefault="002A5913" w:rsidP="002C40B2">
            <w:pPr>
              <w:spacing w:after="0"/>
              <w:jc w:val="center"/>
              <w:rPr>
                <w:sz w:val="20"/>
                <w:szCs w:val="20"/>
              </w:rPr>
            </w:pPr>
            <w:r w:rsidRPr="002E3D6B">
              <w:rPr>
                <w:sz w:val="20"/>
                <w:szCs w:val="20"/>
              </w:rPr>
              <w:t>107</w:t>
            </w:r>
          </w:p>
        </w:tc>
        <w:tc>
          <w:tcPr>
            <w:tcW w:w="850" w:type="dxa"/>
            <w:noWrap/>
          </w:tcPr>
          <w:p w:rsidR="002A5913" w:rsidRPr="002E3D6B" w:rsidRDefault="002A5913" w:rsidP="002C40B2">
            <w:pPr>
              <w:spacing w:after="0"/>
              <w:jc w:val="center"/>
              <w:rPr>
                <w:sz w:val="20"/>
                <w:szCs w:val="20"/>
              </w:rPr>
            </w:pPr>
            <w:r w:rsidRPr="002E3D6B">
              <w:rPr>
                <w:sz w:val="20"/>
                <w:szCs w:val="20"/>
              </w:rPr>
              <w:t>60,7</w:t>
            </w:r>
          </w:p>
        </w:tc>
        <w:tc>
          <w:tcPr>
            <w:tcW w:w="851" w:type="dxa"/>
            <w:noWrap/>
          </w:tcPr>
          <w:p w:rsidR="002A5913" w:rsidRPr="002E3D6B" w:rsidRDefault="002A5913" w:rsidP="002C40B2">
            <w:pPr>
              <w:spacing w:after="0"/>
              <w:jc w:val="center"/>
              <w:rPr>
                <w:sz w:val="20"/>
                <w:szCs w:val="20"/>
              </w:rPr>
            </w:pPr>
            <w:r w:rsidRPr="002E3D6B">
              <w:rPr>
                <w:sz w:val="20"/>
                <w:szCs w:val="20"/>
              </w:rPr>
              <w:t>98,5</w:t>
            </w:r>
          </w:p>
        </w:tc>
        <w:tc>
          <w:tcPr>
            <w:tcW w:w="1701" w:type="dxa"/>
            <w:noWrap/>
          </w:tcPr>
          <w:p w:rsidR="002A5913" w:rsidRPr="002E3D6B" w:rsidRDefault="002A5913" w:rsidP="002C40B2">
            <w:pPr>
              <w:spacing w:after="0"/>
              <w:jc w:val="center"/>
              <w:rPr>
                <w:sz w:val="20"/>
                <w:szCs w:val="20"/>
              </w:rPr>
            </w:pPr>
            <w:r w:rsidRPr="002E3D6B">
              <w:rPr>
                <w:sz w:val="20"/>
                <w:szCs w:val="20"/>
              </w:rPr>
              <w:t>3,1</w:t>
            </w:r>
          </w:p>
        </w:tc>
        <w:tc>
          <w:tcPr>
            <w:tcW w:w="1814" w:type="dxa"/>
            <w:noWrap/>
          </w:tcPr>
          <w:p w:rsidR="002A5913" w:rsidRPr="002E3D6B" w:rsidRDefault="002A5913" w:rsidP="002C40B2">
            <w:pPr>
              <w:spacing w:after="0"/>
              <w:jc w:val="center"/>
              <w:rPr>
                <w:sz w:val="20"/>
                <w:szCs w:val="20"/>
              </w:rPr>
            </w:pPr>
            <w:r w:rsidRPr="002E3D6B">
              <w:rPr>
                <w:sz w:val="20"/>
                <w:szCs w:val="20"/>
              </w:rPr>
              <w:t>-3 699</w:t>
            </w:r>
          </w:p>
        </w:tc>
      </w:tr>
    </w:tbl>
    <w:p w:rsidR="002A5913" w:rsidRPr="00F77E89" w:rsidRDefault="002A5913" w:rsidP="002F7ABC">
      <w:pPr>
        <w:pStyle w:val="Textkomente"/>
        <w:spacing w:before="120" w:after="0" w:line="240" w:lineRule="auto"/>
        <w:rPr>
          <w:rStyle w:val="Zdraznnjemn"/>
        </w:rPr>
      </w:pPr>
      <w:r w:rsidRPr="00F77E89">
        <w:rPr>
          <w:rStyle w:val="Zdraznnjemn"/>
        </w:rPr>
        <w:t>Poznámka: x – údaj není sledován nebo není k dispozici, dojížďka v zaměstnanosti je sledována pouze v rámci SLDB, údaje za cizince evidované úřady práce nejsou od roku 2012 k dispozici z důvodu integrace informačních systémů MPSV.</w:t>
      </w:r>
    </w:p>
    <w:p w:rsidR="002A5913" w:rsidRPr="00F77E89" w:rsidRDefault="004E0D65" w:rsidP="002F7ABC">
      <w:pPr>
        <w:pStyle w:val="Zdroj"/>
        <w:rPr>
          <w:rStyle w:val="Zdraznnjemn"/>
        </w:rPr>
      </w:pPr>
      <w:r>
        <w:rPr>
          <w:rStyle w:val="Zdraznnjemn"/>
        </w:rPr>
        <w:t>Zdroj: ČSÚ -</w:t>
      </w:r>
      <w:r w:rsidR="002A5913" w:rsidRPr="00F77E89">
        <w:rPr>
          <w:rStyle w:val="Zdraznnjemn"/>
        </w:rPr>
        <w:t xml:space="preserve"> Statistické ročenky Karlovarského kraje 2010 - 2015, Statistické ročenky České republiky 2012 a 2014, Cizinci v</w:t>
      </w:r>
      <w:r w:rsidR="007159D1">
        <w:rPr>
          <w:rStyle w:val="Zdraznnjemn"/>
        </w:rPr>
        <w:t> </w:t>
      </w:r>
      <w:r w:rsidR="002A5913" w:rsidRPr="00F77E89">
        <w:rPr>
          <w:rStyle w:val="Zdraznnjemn"/>
        </w:rPr>
        <w:t>ČR</w:t>
      </w:r>
      <w:r w:rsidR="007159D1">
        <w:rPr>
          <w:rStyle w:val="Zdraznnjemn"/>
        </w:rPr>
        <w:t xml:space="preserve"> </w:t>
      </w:r>
      <w:r w:rsidR="002A5913" w:rsidRPr="00F77E89">
        <w:rPr>
          <w:rStyle w:val="Zdraznnjemn"/>
        </w:rPr>
        <w:t>- 2015, Obyvatelstvo podle sčítání lidu, domů a bytů 2011, vlastní výpočty</w:t>
      </w:r>
    </w:p>
    <w:p w:rsidR="002A5913" w:rsidRDefault="002A5913" w:rsidP="000B3B9C">
      <w:pPr>
        <w:pStyle w:val="Titulek"/>
      </w:pPr>
      <w:bookmarkStart w:id="35" w:name="_Ref466625686"/>
      <w:bookmarkStart w:id="36" w:name="_Toc310603990"/>
      <w:bookmarkStart w:id="37" w:name="_Toc310604056"/>
      <w:bookmarkStart w:id="38" w:name="_Toc321406361"/>
      <w:bookmarkStart w:id="39" w:name="_Toc488234336"/>
      <w:r w:rsidRPr="00AE46CF">
        <w:t xml:space="preserve">Graf </w:t>
      </w:r>
      <w:r w:rsidR="004F2330">
        <w:fldChar w:fldCharType="begin"/>
      </w:r>
      <w:r w:rsidR="004F2330">
        <w:instrText xml:space="preserve"> STYLEREF 1 \s </w:instrText>
      </w:r>
      <w:r w:rsidR="004F2330">
        <w:fldChar w:fldCharType="separate"/>
      </w:r>
      <w:r w:rsidR="00CB29BD">
        <w:t>3</w:t>
      </w:r>
      <w:r w:rsidR="004F2330">
        <w:fldChar w:fldCharType="end"/>
      </w:r>
      <w:r w:rsidR="00FD378B">
        <w:t>.</w:t>
      </w:r>
      <w:r w:rsidR="004F2330">
        <w:fldChar w:fldCharType="begin"/>
      </w:r>
      <w:r w:rsidR="004F2330">
        <w:instrText xml:space="preserve"> SEQ Graf \* ARABIC \s 1 </w:instrText>
      </w:r>
      <w:r w:rsidR="004F2330">
        <w:fldChar w:fldCharType="separate"/>
      </w:r>
      <w:r w:rsidR="00CB29BD">
        <w:t>4</w:t>
      </w:r>
      <w:r w:rsidR="004F2330">
        <w:fldChar w:fldCharType="end"/>
      </w:r>
      <w:bookmarkEnd w:id="35"/>
      <w:r w:rsidRPr="00AE46CF">
        <w:t>: Vývoj produktivity práce (</w:t>
      </w:r>
      <w:r>
        <w:t>HPH</w:t>
      </w:r>
      <w:r w:rsidRPr="00AE46CF">
        <w:t xml:space="preserve">/zaměstnanou osobu) v Karlovarském kraji a okolních krajích </w:t>
      </w:r>
      <w:r>
        <w:t xml:space="preserve">v letech </w:t>
      </w:r>
      <w:bookmarkEnd w:id="36"/>
      <w:bookmarkEnd w:id="37"/>
      <w:bookmarkEnd w:id="38"/>
      <w:r>
        <w:t>2005 – 2013 (ČR=100)</w:t>
      </w:r>
      <w:bookmarkEnd w:id="39"/>
    </w:p>
    <w:p w:rsidR="002A5913" w:rsidRPr="00B622DE" w:rsidRDefault="002A5913" w:rsidP="002C40B2">
      <w:r w:rsidRPr="00141AA4">
        <w:rPr>
          <w:noProof/>
        </w:rPr>
        <w:drawing>
          <wp:inline distT="0" distB="0" distL="0" distR="0">
            <wp:extent cx="5799455" cy="2740025"/>
            <wp:effectExtent l="0" t="0" r="10795" b="3175"/>
            <wp:docPr id="3"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5913" w:rsidRPr="00663180" w:rsidRDefault="002A5913" w:rsidP="002C40B2">
      <w:pPr>
        <w:pStyle w:val="Zdroj"/>
        <w:spacing w:line="276" w:lineRule="auto"/>
        <w:rPr>
          <w:rStyle w:val="Zdraznnjemn"/>
        </w:rPr>
      </w:pPr>
      <w:r w:rsidRPr="00663180">
        <w:rPr>
          <w:rStyle w:val="Zdraznnjemn"/>
        </w:rPr>
        <w:t>Zdroj: ČSÚ</w:t>
      </w:r>
      <w:r w:rsidR="004E0D65">
        <w:rPr>
          <w:rStyle w:val="Zdraznnjemn"/>
        </w:rPr>
        <w:t xml:space="preserve"> -</w:t>
      </w:r>
      <w:r w:rsidRPr="00663180">
        <w:rPr>
          <w:rStyle w:val="Zdraznnjemn"/>
        </w:rPr>
        <w:t xml:space="preserve"> Statistické ročenky jednotlivých krajů </w:t>
      </w:r>
      <w:r>
        <w:rPr>
          <w:rStyle w:val="Zdraznnjemn"/>
        </w:rPr>
        <w:t xml:space="preserve">a </w:t>
      </w:r>
      <w:r w:rsidRPr="00663180">
        <w:rPr>
          <w:rStyle w:val="Zdraznnjemn"/>
        </w:rPr>
        <w:t>ČR</w:t>
      </w:r>
      <w:r w:rsidR="007159D1">
        <w:rPr>
          <w:rStyle w:val="Zdraznnjemn"/>
        </w:rPr>
        <w:t xml:space="preserve"> 2006 - 2014</w:t>
      </w:r>
    </w:p>
    <w:p w:rsidR="00B10A66" w:rsidRDefault="002A5913" w:rsidP="002C40B2">
      <w:pPr>
        <w:rPr>
          <w:rStyle w:val="Siln"/>
          <w:b w:val="0"/>
        </w:rPr>
      </w:pPr>
      <w:r w:rsidRPr="00B10A66">
        <w:t>Na základě rozkladu HDP na dílčí faktory</w:t>
      </w:r>
      <w:r w:rsidR="0013526D" w:rsidRPr="00B10A66">
        <w:t xml:space="preserve">, </w:t>
      </w:r>
      <w:r w:rsidRPr="00B10A66">
        <w:t>které ho ovlivňují</w:t>
      </w:r>
      <w:r w:rsidR="0013526D" w:rsidRPr="00B10A66">
        <w:t xml:space="preserve"> (</w:t>
      </w:r>
      <w:r w:rsidR="0013526D" w:rsidRPr="00B10A66">
        <w:rPr>
          <w:rStyle w:val="Siln"/>
          <w:b w:val="0"/>
          <w:bCs/>
        </w:rPr>
        <w:t>viz</w:t>
      </w:r>
      <w:r w:rsidR="0013526D" w:rsidRPr="00B10A66">
        <w:rPr>
          <w:rStyle w:val="Siln"/>
          <w:bCs/>
        </w:rPr>
        <w:t xml:space="preserve"> </w:t>
      </w:r>
      <w:r w:rsidR="004F2330">
        <w:fldChar w:fldCharType="begin"/>
      </w:r>
      <w:r w:rsidR="004F2330">
        <w:instrText xml:space="preserve"> REF _Ref468693872 \h  \* MERGEFORMAT </w:instrText>
      </w:r>
      <w:r w:rsidR="004F2330">
        <w:fldChar w:fldCharType="separate"/>
      </w:r>
      <w:r w:rsidR="00EB0944">
        <w:t>t</w:t>
      </w:r>
      <w:r w:rsidR="00CB29BD">
        <w:t>abulka 3.1</w:t>
      </w:r>
      <w:r w:rsidR="004F2330">
        <w:fldChar w:fldCharType="end"/>
      </w:r>
      <w:r w:rsidR="0013526D" w:rsidRPr="00B10A66">
        <w:rPr>
          <w:rStyle w:val="Siln"/>
          <w:b w:val="0"/>
          <w:bCs/>
        </w:rPr>
        <w:t>)</w:t>
      </w:r>
      <w:r w:rsidR="0013526D" w:rsidRPr="00B10A66">
        <w:t>,</w:t>
      </w:r>
      <w:r w:rsidRPr="00B10A66">
        <w:t xml:space="preserve"> jsme zjistili, že výši HDP v Karlovarském kraji negativně ovlivňuje velmi </w:t>
      </w:r>
      <w:r w:rsidRPr="00B10A66">
        <w:rPr>
          <w:b/>
        </w:rPr>
        <w:t>nízká produktivita práce</w:t>
      </w:r>
      <w:r w:rsidRPr="00B10A66">
        <w:t>, která dosahuje</w:t>
      </w:r>
      <w:r w:rsidRPr="00B10A66">
        <w:rPr>
          <w:rStyle w:val="Siln"/>
        </w:rPr>
        <w:t xml:space="preserve"> pouze 70 % národního průměru a navíc její úroveň v posledních letech vesměs stagnuje </w:t>
      </w:r>
      <w:r w:rsidRPr="00B10A66">
        <w:rPr>
          <w:rStyle w:val="Siln"/>
          <w:b w:val="0"/>
          <w:bCs/>
        </w:rPr>
        <w:t>(viz</w:t>
      </w:r>
      <w:r w:rsidRPr="00B10A66">
        <w:rPr>
          <w:rStyle w:val="Siln"/>
          <w:bCs/>
        </w:rPr>
        <w:t xml:space="preserve"> </w:t>
      </w:r>
      <w:r w:rsidR="004F2330">
        <w:fldChar w:fldCharType="begin"/>
      </w:r>
      <w:r w:rsidR="004F2330">
        <w:instrText xml:space="preserve"> REF _Ref466625686 \h  \* MERGEFORMAT </w:instrText>
      </w:r>
      <w:r w:rsidR="004F2330">
        <w:fldChar w:fldCharType="separate"/>
      </w:r>
      <w:r w:rsidR="00DA707D">
        <w:t>g</w:t>
      </w:r>
      <w:r w:rsidR="00CB29BD" w:rsidRPr="00AE46CF">
        <w:t xml:space="preserve">raf </w:t>
      </w:r>
      <w:r w:rsidR="00CB29BD">
        <w:rPr>
          <w:noProof/>
        </w:rPr>
        <w:t>3</w:t>
      </w:r>
      <w:r w:rsidR="00CB29BD">
        <w:t>.4</w:t>
      </w:r>
      <w:r w:rsidR="004F2330">
        <w:fldChar w:fldCharType="end"/>
      </w:r>
      <w:r w:rsidR="004F2330">
        <w:fldChar w:fldCharType="begin"/>
      </w:r>
      <w:r w:rsidR="004F2330">
        <w:instrText xml:space="preserve"> REF _Ref310517772 \h  \* MERGEFORMAT </w:instrText>
      </w:r>
      <w:r w:rsidR="004F2330">
        <w:fldChar w:fldCharType="end"/>
      </w:r>
      <w:r w:rsidRPr="00B10A66">
        <w:rPr>
          <w:rStyle w:val="Siln"/>
          <w:b w:val="0"/>
        </w:rPr>
        <w:t xml:space="preserve">). </w:t>
      </w:r>
      <w:r w:rsidR="00B10A66" w:rsidRPr="00B10A66">
        <w:rPr>
          <w:rStyle w:val="Siln"/>
          <w:b w:val="0"/>
        </w:rPr>
        <w:t xml:space="preserve">Také z porovnání produktivity práce v jednotlivých odvětvích ekonomiky vyplývá, že </w:t>
      </w:r>
      <w:r w:rsidR="00B10A66" w:rsidRPr="00B10A66">
        <w:rPr>
          <w:rStyle w:val="Siln"/>
        </w:rPr>
        <w:t>p</w:t>
      </w:r>
      <w:r w:rsidR="0013526D" w:rsidRPr="00B10A66">
        <w:rPr>
          <w:rStyle w:val="Siln"/>
        </w:rPr>
        <w:t xml:space="preserve">roduktivita práce </w:t>
      </w:r>
      <w:r w:rsidR="00B10A66" w:rsidRPr="00B10A66">
        <w:rPr>
          <w:rStyle w:val="Siln"/>
        </w:rPr>
        <w:t>byla napříč všemi odvětvími</w:t>
      </w:r>
      <w:r w:rsidR="0013526D" w:rsidRPr="00B10A66">
        <w:rPr>
          <w:rStyle w:val="Siln"/>
        </w:rPr>
        <w:t xml:space="preserve">, kromě </w:t>
      </w:r>
      <w:r w:rsidR="00B10A66" w:rsidRPr="00B10A66">
        <w:rPr>
          <w:rStyle w:val="Siln"/>
        </w:rPr>
        <w:t xml:space="preserve">odvětví </w:t>
      </w:r>
      <w:r w:rsidR="0013526D" w:rsidRPr="00B10A66">
        <w:rPr>
          <w:rStyle w:val="Siln"/>
        </w:rPr>
        <w:t>zemědělství</w:t>
      </w:r>
      <w:r w:rsidR="00B10A66" w:rsidRPr="00B10A66">
        <w:rPr>
          <w:rStyle w:val="Siln"/>
        </w:rPr>
        <w:t>,</w:t>
      </w:r>
      <w:r w:rsidR="0013526D" w:rsidRPr="00B10A66">
        <w:rPr>
          <w:rStyle w:val="Siln"/>
        </w:rPr>
        <w:t xml:space="preserve"> lesnictví a ryb</w:t>
      </w:r>
      <w:r w:rsidR="00B10A66" w:rsidRPr="00B10A66">
        <w:rPr>
          <w:rStyle w:val="Siln"/>
        </w:rPr>
        <w:t>ářství</w:t>
      </w:r>
      <w:r w:rsidR="0013526D" w:rsidRPr="00B10A66">
        <w:rPr>
          <w:rStyle w:val="Siln"/>
        </w:rPr>
        <w:t xml:space="preserve">, </w:t>
      </w:r>
      <w:r w:rsidR="00B10A66" w:rsidRPr="00B10A66">
        <w:rPr>
          <w:rStyle w:val="Siln"/>
        </w:rPr>
        <w:t>v KK nižší než je v průměru</w:t>
      </w:r>
      <w:r w:rsidR="0013526D" w:rsidRPr="00B10A66">
        <w:rPr>
          <w:rStyle w:val="Siln"/>
        </w:rPr>
        <w:t xml:space="preserve"> </w:t>
      </w:r>
      <w:r w:rsidR="00B10A66" w:rsidRPr="00B10A66">
        <w:rPr>
          <w:rStyle w:val="Siln"/>
        </w:rPr>
        <w:t xml:space="preserve">v </w:t>
      </w:r>
      <w:r w:rsidR="0013526D" w:rsidRPr="00B10A66">
        <w:rPr>
          <w:b/>
        </w:rPr>
        <w:t>ČR</w:t>
      </w:r>
      <w:r w:rsidR="0013526D" w:rsidRPr="00B10A66">
        <w:t xml:space="preserve"> (viz </w:t>
      </w:r>
      <w:r w:rsidR="004F2330">
        <w:fldChar w:fldCharType="begin"/>
      </w:r>
      <w:r w:rsidR="004F2330">
        <w:instrText xml:space="preserve"> REF _Ref468694134 \h  \* MERGEFORMAT </w:instrText>
      </w:r>
      <w:r w:rsidR="004F2330">
        <w:fldChar w:fldCharType="separate"/>
      </w:r>
      <w:r w:rsidR="00B35D32">
        <w:t>p</w:t>
      </w:r>
      <w:r w:rsidR="00CB29BD">
        <w:t>říloha 1</w:t>
      </w:r>
      <w:r w:rsidR="004F2330">
        <w:fldChar w:fldCharType="end"/>
      </w:r>
      <w:r w:rsidR="0013526D" w:rsidRPr="00B10A66">
        <w:t xml:space="preserve">). </w:t>
      </w:r>
      <w:r w:rsidRPr="00B10A66">
        <w:rPr>
          <w:rStyle w:val="Siln"/>
        </w:rPr>
        <w:t xml:space="preserve">Z porovnání vývoje produktivity práce v čase a s okolními kraji je patrné, že sleduje podobný trend, </w:t>
      </w:r>
      <w:r w:rsidRPr="00B10A66">
        <w:rPr>
          <w:rStyle w:val="Siln"/>
          <w:b w:val="0"/>
        </w:rPr>
        <w:t xml:space="preserve">kdy od roku 2005 do roku 2008 mírně klesala a od roku </w:t>
      </w:r>
      <w:r w:rsidR="002E3D6B" w:rsidRPr="00B10A66">
        <w:rPr>
          <w:rStyle w:val="Siln"/>
          <w:b w:val="0"/>
        </w:rPr>
        <w:t>2009 do roku 2012 mírně rostla</w:t>
      </w:r>
      <w:r w:rsidRPr="00B10A66">
        <w:rPr>
          <w:rStyle w:val="Siln"/>
          <w:b w:val="0"/>
        </w:rPr>
        <w:t>,</w:t>
      </w:r>
      <w:r w:rsidRPr="00B10A66">
        <w:rPr>
          <w:rStyle w:val="Siln"/>
        </w:rPr>
        <w:t xml:space="preserve"> avšak na nižší úrovni. V roce 2013 byla </w:t>
      </w:r>
      <w:r w:rsidR="002E3D6B" w:rsidRPr="00B10A66">
        <w:rPr>
          <w:rStyle w:val="Siln"/>
        </w:rPr>
        <w:t xml:space="preserve">produktivita práce KK </w:t>
      </w:r>
      <w:r w:rsidRPr="00B10A66">
        <w:rPr>
          <w:rStyle w:val="Siln"/>
        </w:rPr>
        <w:t xml:space="preserve">v porovnání s rokem 2005 dokonce o 4,3 p. b. nižší. </w:t>
      </w:r>
      <w:r w:rsidRPr="00B10A66">
        <w:rPr>
          <w:rStyle w:val="Siln"/>
          <w:b w:val="0"/>
        </w:rPr>
        <w:t>V Plzeňském kraji se v současnosti pohybuje produktivita práce kolem 89,4 %, v Ústeckém 82,7 % průměru ČR. Bližší příčiny tohoto stavu jsou popsány v dalších, podrobnějších analýzách, které se týkají ekonomické výkonnosti dílčích odvětví hospodářství kraje.</w:t>
      </w:r>
      <w:r w:rsidR="0013526D">
        <w:rPr>
          <w:rStyle w:val="Siln"/>
          <w:b w:val="0"/>
        </w:rPr>
        <w:t xml:space="preserve"> </w:t>
      </w:r>
    </w:p>
    <w:p w:rsidR="002A5913" w:rsidRPr="002E3D6B" w:rsidRDefault="002A5913" w:rsidP="002C40B2">
      <w:pPr>
        <w:rPr>
          <w:rStyle w:val="Siln"/>
          <w:b w:val="0"/>
        </w:rPr>
      </w:pPr>
      <w:r w:rsidRPr="00AE46CF">
        <w:rPr>
          <w:rStyle w:val="Siln"/>
        </w:rPr>
        <w:lastRenderedPageBreak/>
        <w:t>Výši regionálního HDP pozitivně ovlivňuje míra ekonomické aktivity</w:t>
      </w:r>
      <w:r>
        <w:rPr>
          <w:rStyle w:val="Siln"/>
        </w:rPr>
        <w:t xml:space="preserve">. I přes to, že za sledované období klesla, zůstala oproti průměru ČR na vysoké úrovni (60,7 %). </w:t>
      </w:r>
      <w:r w:rsidRPr="002E3D6B">
        <w:rPr>
          <w:rStyle w:val="Siln"/>
          <w:b w:val="0"/>
        </w:rPr>
        <w:t>Podíl ekonomicky aktivních v populaci kraje automaticky zvyšuje i úroveň HDP v regionu vztaženého na 1 obyvatele.</w:t>
      </w:r>
      <w:r w:rsidRPr="00AE46CF">
        <w:rPr>
          <w:rStyle w:val="Siln"/>
        </w:rPr>
        <w:t xml:space="preserve"> Příznivě působí na hospodářskou situaci kraje také podíl pracujících cizinců v</w:t>
      </w:r>
      <w:r>
        <w:rPr>
          <w:rStyle w:val="Siln"/>
        </w:rPr>
        <w:t> </w:t>
      </w:r>
      <w:r w:rsidRPr="00AE46CF">
        <w:rPr>
          <w:rStyle w:val="Siln"/>
        </w:rPr>
        <w:t>populaci</w:t>
      </w:r>
      <w:r>
        <w:rPr>
          <w:rStyle w:val="Siln"/>
        </w:rPr>
        <w:t xml:space="preserve">. </w:t>
      </w:r>
      <w:r w:rsidRPr="002E3D6B">
        <w:rPr>
          <w:rStyle w:val="Siln"/>
          <w:b w:val="0"/>
        </w:rPr>
        <w:t xml:space="preserve">Ten v roce 2011 činil 3,1 %, přičemž se jedná zejména o Vietnamskou, Ruskou a Ukrajinskou komunitu. </w:t>
      </w:r>
    </w:p>
    <w:p w:rsidR="002A5913" w:rsidRPr="00AE46CF" w:rsidRDefault="002A5913" w:rsidP="002C40B2">
      <w:pPr>
        <w:rPr>
          <w:rStyle w:val="Siln"/>
          <w:b w:val="0"/>
        </w:rPr>
      </w:pPr>
      <w:r w:rsidRPr="00AE46CF">
        <w:rPr>
          <w:rStyle w:val="Siln"/>
        </w:rPr>
        <w:t>Regionální HDP v kraji mírně negativně ovlivňuje dojížďka za prací,</w:t>
      </w:r>
      <w:r>
        <w:rPr>
          <w:rStyle w:val="Siln"/>
        </w:rPr>
        <w:t xml:space="preserve"> kdy</w:t>
      </w:r>
      <w:r w:rsidRPr="00AE46CF">
        <w:rPr>
          <w:rStyle w:val="Siln"/>
        </w:rPr>
        <w:t xml:space="preserve"> hodnoty jejího salda dosahují </w:t>
      </w:r>
      <w:r>
        <w:rPr>
          <w:rStyle w:val="Siln"/>
        </w:rPr>
        <w:t>záporné hodnoty -3 699 zaměstnaných, tzn., že do zaměstnání více osob z KK vyjíždí</w:t>
      </w:r>
      <w:r w:rsidR="00151586">
        <w:rPr>
          <w:rStyle w:val="Siln"/>
        </w:rPr>
        <w:t>,</w:t>
      </w:r>
      <w:r>
        <w:rPr>
          <w:rStyle w:val="Siln"/>
        </w:rPr>
        <w:t xml:space="preserve"> než </w:t>
      </w:r>
      <w:r w:rsidR="002E3D6B">
        <w:rPr>
          <w:rStyle w:val="Siln"/>
        </w:rPr>
        <w:t xml:space="preserve">do kraje </w:t>
      </w:r>
      <w:r>
        <w:rPr>
          <w:rStyle w:val="Siln"/>
        </w:rPr>
        <w:t>dojíždí.</w:t>
      </w:r>
      <w:r w:rsidRPr="00AE46CF">
        <w:rPr>
          <w:rStyle w:val="Siln"/>
        </w:rPr>
        <w:t xml:space="preserve"> </w:t>
      </w:r>
      <w:r w:rsidRPr="0067789E">
        <w:t xml:space="preserve">Z celkového počtu </w:t>
      </w:r>
      <w:r>
        <w:t>ekonomicky aktivních obyvatel</w:t>
      </w:r>
      <w:r w:rsidRPr="0067789E">
        <w:t xml:space="preserve"> v kraji mělo v roce 2011 místo svého pracoviště mimo obec obvyklého pobytu 29</w:t>
      </w:r>
      <w:r>
        <w:t> </w:t>
      </w:r>
      <w:r w:rsidRPr="0067789E">
        <w:t>517</w:t>
      </w:r>
      <w:r>
        <w:t xml:space="preserve"> </w:t>
      </w:r>
      <w:r w:rsidRPr="0067789E">
        <w:t xml:space="preserve">osob, tj. za prací vyjíždělo celkem 21,1 % ekonomicky aktivních osob. Z hlediska vnitrokrajské vyjížďky a dojížďky </w:t>
      </w:r>
      <w:r>
        <w:t>měla</w:t>
      </w:r>
      <w:r w:rsidRPr="0067789E">
        <w:t xml:space="preserve"> kladné saldo</w:t>
      </w:r>
      <w:r>
        <w:t xml:space="preserve"> pouze</w:t>
      </w:r>
      <w:r w:rsidRPr="0067789E">
        <w:t xml:space="preserve"> ORP Karlovy </w:t>
      </w:r>
      <w:r>
        <w:t>Vary</w:t>
      </w:r>
      <w:r w:rsidRPr="0067789E">
        <w:t xml:space="preserve">, nejvyšší </w:t>
      </w:r>
      <w:r>
        <w:t xml:space="preserve">záporné saldo ORP Sokolov. </w:t>
      </w:r>
      <w:r w:rsidRPr="00AE46CF">
        <w:rPr>
          <w:rStyle w:val="Siln"/>
        </w:rPr>
        <w:t>Vzhledem k poloze kraje, to jsou velmi dobrá čísla a naznačují, že region je poměrně dobře vnitřně integrován dojížďkou za pr</w:t>
      </w:r>
      <w:r>
        <w:rPr>
          <w:rStyle w:val="Siln"/>
        </w:rPr>
        <w:t>ací a není oslabován výraznější</w:t>
      </w:r>
      <w:r w:rsidRPr="00AE46CF">
        <w:rPr>
          <w:rStyle w:val="Siln"/>
        </w:rPr>
        <w:t xml:space="preserve"> vyjížďkou mimo kraj. Příčinou je pravděpodobně malá rozvinutost dopravní infrastruktury a horší dostupnost oblastí s pracovními příležitostmi v okolních regionech.</w:t>
      </w:r>
      <w:r>
        <w:rPr>
          <w:rStyle w:val="Siln"/>
        </w:rPr>
        <w:t xml:space="preserve"> V budoucnu lze nicméně očekávat nárůst vyjížďky za prací do BRD.</w:t>
      </w:r>
    </w:p>
    <w:p w:rsidR="002A5913" w:rsidRPr="00AE46CF" w:rsidRDefault="002A5913" w:rsidP="002C40B2">
      <w:pPr>
        <w:rPr>
          <w:rStyle w:val="Siln"/>
          <w:bCs/>
        </w:rPr>
      </w:pPr>
      <w:r>
        <w:rPr>
          <w:rStyle w:val="Siln"/>
          <w:bCs/>
        </w:rPr>
        <w:t>U</w:t>
      </w:r>
      <w:r w:rsidRPr="00AE46CF">
        <w:rPr>
          <w:rStyle w:val="Siln"/>
          <w:bCs/>
        </w:rPr>
        <w:t>rčitým indikátorem ekonomického růstu</w:t>
      </w:r>
      <w:r w:rsidRPr="00D704DB">
        <w:rPr>
          <w:rStyle w:val="Siln"/>
          <w:bCs/>
        </w:rPr>
        <w:t xml:space="preserve"> </w:t>
      </w:r>
      <w:r w:rsidRPr="00AE46CF">
        <w:rPr>
          <w:rStyle w:val="Siln"/>
          <w:bCs/>
        </w:rPr>
        <w:t>může být</w:t>
      </w:r>
      <w:r w:rsidRPr="00D704DB">
        <w:rPr>
          <w:rStyle w:val="Siln"/>
          <w:bCs/>
        </w:rPr>
        <w:t xml:space="preserve"> </w:t>
      </w:r>
      <w:r>
        <w:rPr>
          <w:rStyle w:val="Siln"/>
          <w:bCs/>
        </w:rPr>
        <w:t>i i</w:t>
      </w:r>
      <w:r w:rsidRPr="00AE46CF">
        <w:rPr>
          <w:rStyle w:val="Siln"/>
          <w:bCs/>
        </w:rPr>
        <w:t>nvestiční aktivita</w:t>
      </w:r>
      <w:r>
        <w:rPr>
          <w:rStyle w:val="Siln"/>
          <w:bCs/>
        </w:rPr>
        <w:t xml:space="preserve"> v kraji</w:t>
      </w:r>
      <w:r w:rsidRPr="002E3D6B">
        <w:rPr>
          <w:rStyle w:val="Siln"/>
          <w:b w:val="0"/>
        </w:rPr>
        <w:t xml:space="preserve">, byť efekt investic je spíše </w:t>
      </w:r>
      <w:r w:rsidRPr="002E3D6B">
        <w:rPr>
          <w:rStyle w:val="Siln"/>
          <w:b w:val="0"/>
          <w:bCs/>
        </w:rPr>
        <w:t>dlouhodobější a nepřímý</w:t>
      </w:r>
      <w:r w:rsidRPr="002E3D6B">
        <w:rPr>
          <w:rStyle w:val="Siln"/>
          <w:b w:val="0"/>
        </w:rPr>
        <w:t xml:space="preserve">. Tvorba hrubého fixního kapitálu (THFK) zahrnuje investice do nemovitého majetku (budov), strojního zařízení a vybavení, případně do jeho modernizace a rekonstrukce. Vyšší investiční aktivita může naznačovat rychlejší obměnu zastaralého vybavení podniků nebo </w:t>
      </w:r>
      <w:r w:rsidRPr="00261D89">
        <w:t xml:space="preserve">investice do podnikatelské infrastruktury, byť pouze nepřímo podporující hospodářský růst regionu. Výši THFK na obyvatele v jednotlivých krajích sleduje </w:t>
      </w:r>
      <w:r w:rsidR="008965FE">
        <w:fldChar w:fldCharType="begin"/>
      </w:r>
      <w:r w:rsidR="00EB0944">
        <w:instrText xml:space="preserve"> REF _Ref466632800 \h </w:instrText>
      </w:r>
      <w:r w:rsidR="008965FE">
        <w:fldChar w:fldCharType="separate"/>
      </w:r>
      <w:r w:rsidR="00EB0944">
        <w:t>tabulka 3.2</w:t>
      </w:r>
      <w:r w:rsidR="008965FE">
        <w:fldChar w:fldCharType="end"/>
      </w:r>
      <w:r w:rsidRPr="00261D89">
        <w:t>, ve které jsou uvedeny hodnoty v součtu za několikaleté období, a to z důvodu větší meziroční fluktuace ukazatele, která je dána fází ekonomického cyklu, případně příchodem významného investora.</w:t>
      </w:r>
    </w:p>
    <w:p w:rsidR="002A5913" w:rsidRDefault="002A5913" w:rsidP="000B3B9C">
      <w:pPr>
        <w:pStyle w:val="Titulek"/>
      </w:pPr>
      <w:bookmarkStart w:id="40" w:name="_Ref466632800"/>
      <w:bookmarkStart w:id="41" w:name="_Ref310523219"/>
      <w:bookmarkStart w:id="42" w:name="_Toc321406037"/>
      <w:bookmarkStart w:id="43" w:name="_Toc488233466"/>
      <w:r>
        <w:t xml:space="preserve">Tabulka </w:t>
      </w:r>
      <w:r w:rsidR="008965FE">
        <w:fldChar w:fldCharType="begin"/>
      </w:r>
      <w:r w:rsidR="00B33DFE">
        <w:instrText xml:space="preserve"> STYLEREF 1 \s </w:instrText>
      </w:r>
      <w:r w:rsidR="008965FE">
        <w:fldChar w:fldCharType="separate"/>
      </w:r>
      <w:r w:rsidR="00CB29BD">
        <w:t>3</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40"/>
      <w:r w:rsidRPr="00AE46CF">
        <w:t xml:space="preserve">: </w:t>
      </w:r>
      <w:r>
        <w:t xml:space="preserve">Pořadí </w:t>
      </w:r>
      <w:r w:rsidRPr="00AE46CF">
        <w:t>krajů podle výše tvorby hrubého fixního kapitálu na obyvatele</w:t>
      </w:r>
      <w:r>
        <w:t xml:space="preserve"> </w:t>
      </w:r>
      <w:bookmarkEnd w:id="41"/>
      <w:bookmarkEnd w:id="42"/>
      <w:r>
        <w:t xml:space="preserve">za období </w:t>
      </w:r>
      <w:r w:rsidR="004E0D65">
        <w:br/>
      </w:r>
      <w:r>
        <w:t>2005 – 2009 a 2010 – 2013 (v mil. Kč)</w:t>
      </w:r>
      <w:bookmarkEnd w:id="43"/>
    </w:p>
    <w:tbl>
      <w:tblPr>
        <w:tblW w:w="5000" w:type="pct"/>
        <w:tblCellMar>
          <w:left w:w="70" w:type="dxa"/>
          <w:right w:w="70" w:type="dxa"/>
        </w:tblCellMar>
        <w:tblLook w:val="04A0" w:firstRow="1" w:lastRow="0" w:firstColumn="1" w:lastColumn="0" w:noHBand="0" w:noVBand="1"/>
      </w:tblPr>
      <w:tblGrid>
        <w:gridCol w:w="3183"/>
        <w:gridCol w:w="1436"/>
        <w:gridCol w:w="1170"/>
        <w:gridCol w:w="2076"/>
        <w:gridCol w:w="1347"/>
      </w:tblGrid>
      <w:tr w:rsidR="002A5913" w:rsidRPr="002E3D6B" w:rsidTr="00B7470F">
        <w:trPr>
          <w:trHeight w:val="255"/>
        </w:trPr>
        <w:tc>
          <w:tcPr>
            <w:tcW w:w="1727" w:type="pct"/>
            <w:tcBorders>
              <w:top w:val="single" w:sz="4" w:space="0" w:color="auto"/>
              <w:left w:val="single" w:sz="4" w:space="0" w:color="auto"/>
              <w:bottom w:val="single" w:sz="4" w:space="0" w:color="auto"/>
              <w:right w:val="single" w:sz="4" w:space="0" w:color="auto"/>
            </w:tcBorders>
            <w:shd w:val="clear" w:color="auto" w:fill="auto"/>
            <w:noWrap/>
            <w:hideMark/>
          </w:tcPr>
          <w:p w:rsidR="002A5913" w:rsidRPr="002E3D6B" w:rsidRDefault="002E3D6B"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ČR, k</w:t>
            </w:r>
            <w:r w:rsidR="002A5913" w:rsidRPr="002E3D6B">
              <w:rPr>
                <w:rFonts w:asciiTheme="minorHAnsi" w:hAnsiTheme="minorHAnsi" w:cs="Arial"/>
                <w:b/>
                <w:bCs/>
                <w:sz w:val="20"/>
                <w:szCs w:val="20"/>
              </w:rPr>
              <w:t>raj</w:t>
            </w:r>
          </w:p>
        </w:tc>
        <w:tc>
          <w:tcPr>
            <w:tcW w:w="779"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2005-2009</w:t>
            </w:r>
          </w:p>
        </w:tc>
        <w:tc>
          <w:tcPr>
            <w:tcW w:w="635"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pořadí</w:t>
            </w:r>
          </w:p>
        </w:tc>
        <w:tc>
          <w:tcPr>
            <w:tcW w:w="1127"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Kraj</w:t>
            </w:r>
          </w:p>
        </w:tc>
        <w:tc>
          <w:tcPr>
            <w:tcW w:w="731"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2010-2013</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Hl. m. Praha</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1 088 946,41</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Hl. m. Praha</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870 773,25</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Jihomoravský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402 439,41</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Ústecký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378 433,78</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Plzeňský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381 385,56</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Středočeský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351 412,36</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Středočeský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348 718,74</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4</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Jihomoravský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344 378,47</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Jihočeský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308 195,68</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5</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Jihočeský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319 302,97</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Ústecký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306 391,43</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6</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Plzeňský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310 130,11</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Moravskoslezský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298 070,45</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7</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Moravskoslezský</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305 794,17</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Vysočina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272 828,02</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8</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 xml:space="preserve">Karlovarský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287 528,84</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Liberecký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272 716,02</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9</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Olomoucký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276 897,63</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 xml:space="preserve">Karlovarský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265 001,11</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10</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Pardubický</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273 514,55</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Olomoucký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260 082,54</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11</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Vysočina</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269 441,40</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Pardubický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245 615,61</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12</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Liberecký</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258 436,28</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Zlínský</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244 409,53</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13</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Zlínský</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254 302,03</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Královéhradecký </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234 670,00</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14</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Královéhradecký </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221 275,54</w:t>
            </w:r>
          </w:p>
        </w:tc>
      </w:tr>
      <w:tr w:rsidR="002A5913" w:rsidRPr="002E3D6B" w:rsidTr="002E3D6B">
        <w:trPr>
          <w:trHeight w:val="255"/>
        </w:trPr>
        <w:tc>
          <w:tcPr>
            <w:tcW w:w="1727"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ČR - průměr</w:t>
            </w:r>
          </w:p>
        </w:tc>
        <w:tc>
          <w:tcPr>
            <w:tcW w:w="779"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352 105,04</w:t>
            </w:r>
          </w:p>
        </w:tc>
        <w:tc>
          <w:tcPr>
            <w:tcW w:w="635"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x</w:t>
            </w:r>
          </w:p>
        </w:tc>
        <w:tc>
          <w:tcPr>
            <w:tcW w:w="112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ČR - průměr</w:t>
            </w:r>
          </w:p>
        </w:tc>
        <w:tc>
          <w:tcPr>
            <w:tcW w:w="731"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337 258,67</w:t>
            </w:r>
          </w:p>
        </w:tc>
      </w:tr>
    </w:tbl>
    <w:p w:rsidR="002A5913" w:rsidRPr="002E3D6B" w:rsidRDefault="002A5913" w:rsidP="002C40B2">
      <w:pPr>
        <w:pStyle w:val="Zdroj"/>
        <w:spacing w:before="120" w:line="276" w:lineRule="auto"/>
        <w:rPr>
          <w:rStyle w:val="Zdraznnjemn"/>
        </w:rPr>
      </w:pPr>
      <w:r w:rsidRPr="002E3D6B">
        <w:rPr>
          <w:rStyle w:val="Zdraznnjemn"/>
        </w:rPr>
        <w:t>Zdroj: ČSÚ</w:t>
      </w:r>
      <w:r w:rsidR="004E0D65">
        <w:rPr>
          <w:rStyle w:val="Zdraznnjemn"/>
        </w:rPr>
        <w:t xml:space="preserve"> -</w:t>
      </w:r>
      <w:r w:rsidRPr="002E3D6B">
        <w:rPr>
          <w:rStyle w:val="Zdraznnjemn"/>
        </w:rPr>
        <w:t xml:space="preserve"> Statistické ročenky Karlovarského kraje 2010 – 2015, vlastní výpočty</w:t>
      </w:r>
    </w:p>
    <w:p w:rsidR="002A5913" w:rsidRPr="002E3D6B" w:rsidRDefault="002A5913" w:rsidP="002C40B2">
      <w:pPr>
        <w:rPr>
          <w:rStyle w:val="Siln"/>
          <w:b w:val="0"/>
        </w:rPr>
      </w:pPr>
      <w:r w:rsidRPr="002E3D6B">
        <w:rPr>
          <w:rStyle w:val="Siln"/>
          <w:b w:val="0"/>
          <w:bCs/>
        </w:rPr>
        <w:lastRenderedPageBreak/>
        <w:t>Z </w:t>
      </w:r>
      <w:r w:rsidR="004F2330">
        <w:fldChar w:fldCharType="begin"/>
      </w:r>
      <w:r w:rsidR="004F2330">
        <w:instrText xml:space="preserve"> REF _Ref466632800 \h  \* MERGEFORMAT </w:instrText>
      </w:r>
      <w:r w:rsidR="004F2330">
        <w:fldChar w:fldCharType="separate"/>
      </w:r>
      <w:r w:rsidR="00EB0944">
        <w:t>t</w:t>
      </w:r>
      <w:r w:rsidR="00CB29BD">
        <w:t>abulk</w:t>
      </w:r>
      <w:r w:rsidR="00EB0944">
        <w:t>y</w:t>
      </w:r>
      <w:r w:rsidR="00CB29BD">
        <w:t xml:space="preserve"> </w:t>
      </w:r>
      <w:r w:rsidR="00CB29BD">
        <w:rPr>
          <w:noProof/>
        </w:rPr>
        <w:t>3</w:t>
      </w:r>
      <w:r w:rsidR="00CB29BD">
        <w:t>.2</w:t>
      </w:r>
      <w:r w:rsidR="004F2330">
        <w:fldChar w:fldCharType="end"/>
      </w:r>
      <w:r w:rsidRPr="002E3D6B">
        <w:rPr>
          <w:rStyle w:val="Siln"/>
          <w:b w:val="0"/>
          <w:bCs/>
        </w:rPr>
        <w:t xml:space="preserve"> vidíme, že</w:t>
      </w:r>
      <w:r w:rsidRPr="002E3D6B">
        <w:rPr>
          <w:rStyle w:val="Siln"/>
          <w:b w:val="0"/>
        </w:rPr>
        <w:t xml:space="preserve"> ve sledované periodě došlo k největšímu růstu THFK v Ústeckém, Pardubickém a Karlovarském kraji. </w:t>
      </w:r>
      <w:r w:rsidRPr="002E3D6B">
        <w:rPr>
          <w:rStyle w:val="Siln"/>
          <w:b w:val="0"/>
          <w:bCs/>
        </w:rPr>
        <w:t>Pozice Karlovarského kraje mezi ostatními kraji ČR se sice ve sledovaném období zlepšila, nicméně jeho investiční aktivita zůstává pod průměrem ČR</w:t>
      </w:r>
      <w:r w:rsidRPr="002E3D6B">
        <w:rPr>
          <w:rStyle w:val="Siln"/>
          <w:b w:val="0"/>
        </w:rPr>
        <w:t xml:space="preserve">. Největší propad THFK pak zaznamenaly při porovnání let 2005 - 2009 a 2010 - 2013 </w:t>
      </w:r>
      <w:r w:rsidR="001F2DC4">
        <w:rPr>
          <w:rStyle w:val="Siln"/>
          <w:b w:val="0"/>
        </w:rPr>
        <w:t>H</w:t>
      </w:r>
      <w:r w:rsidRPr="002E3D6B">
        <w:rPr>
          <w:rStyle w:val="Siln"/>
          <w:b w:val="0"/>
        </w:rPr>
        <w:t xml:space="preserve">l. m. Praha, Plzeňský a Jihomoravský kraj. </w:t>
      </w:r>
    </w:p>
    <w:p w:rsidR="002A5913" w:rsidRPr="002E3D6B" w:rsidRDefault="002A5913" w:rsidP="002C40B2">
      <w:pPr>
        <w:rPr>
          <w:rStyle w:val="Siln"/>
          <w:b w:val="0"/>
        </w:rPr>
      </w:pPr>
      <w:r w:rsidRPr="002E3D6B">
        <w:rPr>
          <w:rStyle w:val="Siln"/>
          <w:b w:val="0"/>
        </w:rPr>
        <w:t>Na příčiny růstu THFK v Karlovarském kraji lze poukazovat pouze nepřímo, neboť THFK členěná podle odvětví hospodářství není statistikou sledována. Jedním z možných vysvětlení může být relativně vyšší zastoupení těžkých odvětví průmyslu (kovodělný průmysl, sklářský průmysl apod.), těžby a výroby elektrické energie v kraji, které vyžadují obecně vyšší míru investic ve výrobě.</w:t>
      </w:r>
    </w:p>
    <w:p w:rsidR="002A5913" w:rsidRDefault="002A5913" w:rsidP="000B3B9C">
      <w:pPr>
        <w:pStyle w:val="Titulek"/>
      </w:pPr>
      <w:bookmarkStart w:id="44" w:name="_Ref310432123"/>
      <w:bookmarkStart w:id="45" w:name="_Ref310432090"/>
      <w:bookmarkStart w:id="46" w:name="_Toc321406038"/>
      <w:bookmarkStart w:id="47" w:name="_Toc488233467"/>
      <w:r w:rsidRPr="00AE46CF">
        <w:t xml:space="preserve">Tabulka </w:t>
      </w:r>
      <w:r w:rsidR="008965FE">
        <w:fldChar w:fldCharType="begin"/>
      </w:r>
      <w:r w:rsidR="00B33DFE">
        <w:instrText xml:space="preserve"> STYLEREF 1 \s </w:instrText>
      </w:r>
      <w:r w:rsidR="008965FE">
        <w:fldChar w:fldCharType="separate"/>
      </w:r>
      <w:r w:rsidR="00CB29BD">
        <w:t>3</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44"/>
      <w:r w:rsidRPr="00AE46CF">
        <w:t>: P</w:t>
      </w:r>
      <w:r>
        <w:t>růměrný p</w:t>
      </w:r>
      <w:r w:rsidRPr="00AE46CF">
        <w:t>odíl THFK</w:t>
      </w:r>
      <w:r w:rsidR="002E3D6B">
        <w:t>/</w:t>
      </w:r>
      <w:r>
        <w:t xml:space="preserve">obyv. </w:t>
      </w:r>
      <w:r w:rsidRPr="00AE46CF">
        <w:t>na HDP</w:t>
      </w:r>
      <w:r w:rsidR="002E3D6B">
        <w:t>/</w:t>
      </w:r>
      <w:r>
        <w:t xml:space="preserve">obyv. </w:t>
      </w:r>
      <w:r w:rsidRPr="00AE46CF">
        <w:t xml:space="preserve">v krajích </w:t>
      </w:r>
      <w:bookmarkEnd w:id="45"/>
      <w:bookmarkEnd w:id="46"/>
      <w:r>
        <w:t>za období 2005 – 2009 a</w:t>
      </w:r>
      <w:r>
        <w:br/>
        <w:t>2010 – 2013 (v %)</w:t>
      </w:r>
      <w:bookmarkEnd w:id="47"/>
    </w:p>
    <w:tbl>
      <w:tblPr>
        <w:tblW w:w="5000" w:type="pct"/>
        <w:tblCellMar>
          <w:left w:w="70" w:type="dxa"/>
          <w:right w:w="70" w:type="dxa"/>
        </w:tblCellMar>
        <w:tblLook w:val="04A0" w:firstRow="1" w:lastRow="0" w:firstColumn="1" w:lastColumn="0" w:noHBand="0" w:noVBand="1"/>
      </w:tblPr>
      <w:tblGrid>
        <w:gridCol w:w="2854"/>
        <w:gridCol w:w="1883"/>
        <w:gridCol w:w="842"/>
        <w:gridCol w:w="1750"/>
        <w:gridCol w:w="1883"/>
      </w:tblGrid>
      <w:tr w:rsidR="002A5913" w:rsidRPr="002E3D6B" w:rsidTr="00B7470F">
        <w:trPr>
          <w:trHeight w:val="255"/>
        </w:trPr>
        <w:tc>
          <w:tcPr>
            <w:tcW w:w="1549" w:type="pct"/>
            <w:tcBorders>
              <w:top w:val="single" w:sz="4" w:space="0" w:color="auto"/>
              <w:left w:val="single" w:sz="4" w:space="0" w:color="auto"/>
              <w:bottom w:val="single" w:sz="4" w:space="0" w:color="auto"/>
              <w:right w:val="single" w:sz="4" w:space="0" w:color="auto"/>
            </w:tcBorders>
            <w:shd w:val="clear" w:color="auto" w:fill="auto"/>
            <w:noWrap/>
            <w:hideMark/>
          </w:tcPr>
          <w:p w:rsidR="002A5913" w:rsidRPr="002E3D6B" w:rsidRDefault="002A5913"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Kraj</w:t>
            </w:r>
          </w:p>
        </w:tc>
        <w:tc>
          <w:tcPr>
            <w:tcW w:w="1022"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Průměr 2005-2009</w:t>
            </w:r>
          </w:p>
        </w:tc>
        <w:tc>
          <w:tcPr>
            <w:tcW w:w="457"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Pořadí</w:t>
            </w:r>
          </w:p>
        </w:tc>
        <w:tc>
          <w:tcPr>
            <w:tcW w:w="950"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left"/>
              <w:rPr>
                <w:rFonts w:asciiTheme="minorHAnsi" w:hAnsiTheme="minorHAnsi" w:cs="Arial"/>
                <w:b/>
                <w:bCs/>
                <w:sz w:val="20"/>
                <w:szCs w:val="20"/>
              </w:rPr>
            </w:pPr>
            <w:r w:rsidRPr="002E3D6B">
              <w:rPr>
                <w:rFonts w:asciiTheme="minorHAnsi" w:hAnsiTheme="minorHAnsi" w:cs="Arial"/>
                <w:b/>
                <w:bCs/>
                <w:sz w:val="20"/>
                <w:szCs w:val="20"/>
              </w:rPr>
              <w:t>Kraj</w:t>
            </w:r>
          </w:p>
        </w:tc>
        <w:tc>
          <w:tcPr>
            <w:tcW w:w="1022" w:type="pct"/>
            <w:tcBorders>
              <w:top w:val="single" w:sz="4" w:space="0" w:color="auto"/>
              <w:left w:val="nil"/>
              <w:bottom w:val="single" w:sz="4" w:space="0" w:color="auto"/>
              <w:right w:val="single" w:sz="4" w:space="0" w:color="auto"/>
            </w:tcBorders>
            <w:shd w:val="clear" w:color="auto" w:fill="auto"/>
            <w:noWrap/>
            <w:hideMark/>
          </w:tcPr>
          <w:p w:rsidR="002A5913" w:rsidRPr="002E3D6B" w:rsidRDefault="002A5913" w:rsidP="002C40B2">
            <w:pPr>
              <w:spacing w:after="0"/>
              <w:jc w:val="center"/>
              <w:rPr>
                <w:rFonts w:asciiTheme="minorHAnsi" w:hAnsiTheme="minorHAnsi" w:cs="Arial"/>
                <w:b/>
                <w:bCs/>
                <w:sz w:val="20"/>
                <w:szCs w:val="20"/>
              </w:rPr>
            </w:pPr>
            <w:r w:rsidRPr="002E3D6B">
              <w:rPr>
                <w:rFonts w:asciiTheme="minorHAnsi" w:hAnsiTheme="minorHAnsi" w:cs="Arial"/>
                <w:b/>
                <w:bCs/>
                <w:sz w:val="20"/>
                <w:szCs w:val="20"/>
              </w:rPr>
              <w:t>Průměr 2010-2013</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Hl. m. Praha</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30,8</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Ústecký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31,9</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Jihomoravský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26,4</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Hl. m. Praha</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27,7</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Plzeňský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25,3</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3</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b/>
                <w:sz w:val="20"/>
                <w:szCs w:val="20"/>
              </w:rPr>
            </w:pPr>
            <w:r w:rsidRPr="002E3D6B">
              <w:rPr>
                <w:rFonts w:asciiTheme="minorHAnsi" w:hAnsiTheme="minorHAnsi" w:cs="Arial"/>
                <w:b/>
                <w:sz w:val="20"/>
                <w:szCs w:val="20"/>
              </w:rPr>
              <w:t>Karlovarský</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b/>
                <w:sz w:val="20"/>
                <w:szCs w:val="20"/>
              </w:rPr>
            </w:pPr>
            <w:r w:rsidRPr="002E3D6B">
              <w:rPr>
                <w:rFonts w:asciiTheme="minorHAnsi" w:hAnsiTheme="minorHAnsi" w:cs="Arial"/>
                <w:b/>
                <w:sz w:val="20"/>
                <w:szCs w:val="20"/>
              </w:rPr>
              <w:t>27,3</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Ústecký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23,1</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4</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Středočeský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26,7</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Středočeský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22,7</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5</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Jihočeský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25,4</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b/>
                <w:sz w:val="20"/>
                <w:szCs w:val="20"/>
              </w:rPr>
            </w:pPr>
            <w:r w:rsidRPr="002E3D6B">
              <w:rPr>
                <w:rFonts w:asciiTheme="minorHAnsi" w:hAnsiTheme="minorHAnsi" w:cs="Arial"/>
                <w:b/>
                <w:sz w:val="20"/>
                <w:szCs w:val="20"/>
              </w:rPr>
              <w:t>Karlovarský</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b/>
                <w:sz w:val="20"/>
                <w:szCs w:val="20"/>
              </w:rPr>
            </w:pPr>
            <w:r w:rsidRPr="002E3D6B">
              <w:rPr>
                <w:rFonts w:asciiTheme="minorHAnsi" w:hAnsiTheme="minorHAnsi" w:cs="Arial"/>
                <w:b/>
                <w:sz w:val="20"/>
                <w:szCs w:val="20"/>
              </w:rPr>
              <w:t>22,5</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6</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Jihomoravský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24,5</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Moravskoslezský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21,7</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7</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Olomoucký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24,4</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Liberecký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21,6</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8</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Moravskoslezský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24,3</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Jihočeský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21,3</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9</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Plzeňský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23,5</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Olomoucký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21,0</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10</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Pardubický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23,1</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Vysočina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20,0</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11</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Liberecký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22,8</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Zlínský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18,2</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12</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Vysočina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22,0</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Pardubický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17,9</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13</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Zlínský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20,1</w:t>
            </w:r>
          </w:p>
        </w:tc>
      </w:tr>
      <w:tr w:rsidR="002A5913" w:rsidRPr="002E3D6B" w:rsidTr="002E3D6B">
        <w:trPr>
          <w:trHeight w:val="255"/>
        </w:trPr>
        <w:tc>
          <w:tcPr>
            <w:tcW w:w="1549" w:type="pct"/>
            <w:tcBorders>
              <w:top w:val="nil"/>
              <w:left w:val="single" w:sz="4" w:space="0" w:color="auto"/>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Královéhradecký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16,8</w:t>
            </w:r>
          </w:p>
        </w:tc>
        <w:tc>
          <w:tcPr>
            <w:tcW w:w="457"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14</w:t>
            </w:r>
          </w:p>
        </w:tc>
        <w:tc>
          <w:tcPr>
            <w:tcW w:w="950"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left"/>
              <w:rPr>
                <w:rFonts w:asciiTheme="minorHAnsi" w:hAnsiTheme="minorHAnsi" w:cs="Arial"/>
                <w:sz w:val="20"/>
                <w:szCs w:val="20"/>
              </w:rPr>
            </w:pPr>
            <w:r w:rsidRPr="002E3D6B">
              <w:rPr>
                <w:rFonts w:asciiTheme="minorHAnsi" w:hAnsiTheme="minorHAnsi" w:cs="Arial"/>
                <w:sz w:val="20"/>
                <w:szCs w:val="20"/>
              </w:rPr>
              <w:t xml:space="preserve">Královéhradecký </w:t>
            </w:r>
          </w:p>
        </w:tc>
        <w:tc>
          <w:tcPr>
            <w:tcW w:w="1022" w:type="pct"/>
            <w:tcBorders>
              <w:top w:val="nil"/>
              <w:left w:val="nil"/>
              <w:bottom w:val="single" w:sz="4" w:space="0" w:color="auto"/>
              <w:right w:val="single" w:sz="4" w:space="0" w:color="auto"/>
            </w:tcBorders>
            <w:shd w:val="clear" w:color="auto" w:fill="auto"/>
            <w:noWrap/>
            <w:vAlign w:val="bottom"/>
            <w:hideMark/>
          </w:tcPr>
          <w:p w:rsidR="002A5913" w:rsidRPr="002E3D6B" w:rsidRDefault="002A5913" w:rsidP="002C40B2">
            <w:pPr>
              <w:spacing w:after="0"/>
              <w:jc w:val="center"/>
              <w:rPr>
                <w:rFonts w:asciiTheme="minorHAnsi" w:hAnsiTheme="minorHAnsi" w:cs="Arial"/>
                <w:sz w:val="20"/>
                <w:szCs w:val="20"/>
              </w:rPr>
            </w:pPr>
            <w:r w:rsidRPr="002E3D6B">
              <w:rPr>
                <w:rFonts w:asciiTheme="minorHAnsi" w:hAnsiTheme="minorHAnsi" w:cs="Arial"/>
                <w:sz w:val="20"/>
                <w:szCs w:val="20"/>
              </w:rPr>
              <w:t>17,3</w:t>
            </w:r>
          </w:p>
        </w:tc>
      </w:tr>
    </w:tbl>
    <w:p w:rsidR="002A5913" w:rsidRPr="002E3D6B" w:rsidRDefault="007159D1" w:rsidP="002C40B2">
      <w:pPr>
        <w:pStyle w:val="Zdroj"/>
        <w:spacing w:before="120" w:line="276" w:lineRule="auto"/>
        <w:rPr>
          <w:rStyle w:val="Zdraznnjemn"/>
        </w:rPr>
      </w:pPr>
      <w:r>
        <w:rPr>
          <w:rStyle w:val="Zdraznnjemn"/>
        </w:rPr>
        <w:t>Zdroj: ČSÚ</w:t>
      </w:r>
      <w:r w:rsidR="004E0D65">
        <w:rPr>
          <w:rStyle w:val="Zdraznnjemn"/>
        </w:rPr>
        <w:t xml:space="preserve"> -</w:t>
      </w:r>
      <w:r w:rsidR="002A5913" w:rsidRPr="002E3D6B">
        <w:rPr>
          <w:rStyle w:val="Zdraznnjemn"/>
        </w:rPr>
        <w:t xml:space="preserve"> Statistické ročenky Karlovarského kraje 2010 – 2015, vlastní výpočty</w:t>
      </w:r>
    </w:p>
    <w:p w:rsidR="002A5913" w:rsidRPr="002E3D6B" w:rsidRDefault="002A5913" w:rsidP="002C40B2">
      <w:pPr>
        <w:spacing w:before="120"/>
        <w:rPr>
          <w:rStyle w:val="Siln"/>
          <w:b w:val="0"/>
          <w:bCs/>
        </w:rPr>
      </w:pPr>
      <w:r w:rsidRPr="002E3D6B">
        <w:rPr>
          <w:rStyle w:val="Siln"/>
          <w:b w:val="0"/>
        </w:rPr>
        <w:t>Porovnání podílu THFK na HDP na obyvatele v krajích v </w:t>
      </w:r>
      <w:r w:rsidR="004F2330">
        <w:fldChar w:fldCharType="begin"/>
      </w:r>
      <w:r w:rsidR="004F2330">
        <w:instrText xml:space="preserve"> REF _Ref310432123 \h  \* MERGEFORMAT </w:instrText>
      </w:r>
      <w:r w:rsidR="004F2330">
        <w:fldChar w:fldCharType="separate"/>
      </w:r>
      <w:r w:rsidR="00EB0944">
        <w:t>tabulce</w:t>
      </w:r>
      <w:r w:rsidR="00CB29BD" w:rsidRPr="00AE46CF">
        <w:t xml:space="preserve"> </w:t>
      </w:r>
      <w:r w:rsidR="00CB29BD">
        <w:rPr>
          <w:noProof/>
        </w:rPr>
        <w:t>3</w:t>
      </w:r>
      <w:r w:rsidR="00CB29BD">
        <w:t>.3</w:t>
      </w:r>
      <w:r w:rsidR="004F2330">
        <w:fldChar w:fldCharType="end"/>
      </w:r>
      <w:r w:rsidRPr="002E3D6B">
        <w:rPr>
          <w:rStyle w:val="Siln"/>
          <w:b w:val="0"/>
        </w:rPr>
        <w:t xml:space="preserve"> ukazuje, že pouze v některých krajích se podařilo udržet vysokou míru investic (např. v Praze, Ústeckém či Středočeském kraji). </w:t>
      </w:r>
      <w:r w:rsidR="002E3D6B">
        <w:rPr>
          <w:rStyle w:val="Siln"/>
          <w:b w:val="0"/>
        </w:rPr>
        <w:br/>
      </w:r>
      <w:r w:rsidRPr="002E3D6B">
        <w:rPr>
          <w:rStyle w:val="Siln"/>
          <w:b w:val="0"/>
        </w:rPr>
        <w:t xml:space="preserve">V </w:t>
      </w:r>
      <w:r w:rsidRPr="002E3D6B">
        <w:rPr>
          <w:rStyle w:val="Siln"/>
          <w:b w:val="0"/>
          <w:bCs/>
        </w:rPr>
        <w:t xml:space="preserve">Karlovarském kraji došlo mezi porovnávanými obdobími dokonce k růstu o 5,1 p. b. Setrvale nejnižší podíl THFK na HDP mezi kraji vykazuje Královéhradecký kraj. </w:t>
      </w:r>
    </w:p>
    <w:p w:rsidR="002A5913" w:rsidRPr="00352D2C" w:rsidRDefault="002A5913" w:rsidP="002C40B2">
      <w:pPr>
        <w:rPr>
          <w:b/>
        </w:rPr>
      </w:pPr>
      <w:r w:rsidRPr="00352D2C">
        <w:rPr>
          <w:b/>
        </w:rPr>
        <w:t>Úroveň materiálního bohatství domácností trvale bydlících v jednotlivých regionech do značné míry naznačuje čistý disponibilní důchod domácností</w:t>
      </w:r>
      <w:r w:rsidRPr="00C468DB">
        <w:t xml:space="preserve"> (ČDDD), který </w:t>
      </w:r>
      <w:r>
        <w:t>se</w:t>
      </w:r>
      <w:r w:rsidRPr="00C468DB">
        <w:t xml:space="preserve"> udává v běžných cenách</w:t>
      </w:r>
      <w:r>
        <w:t xml:space="preserve">. </w:t>
      </w:r>
    </w:p>
    <w:p w:rsidR="002A5913" w:rsidRDefault="002A5913" w:rsidP="000B3B9C">
      <w:pPr>
        <w:pStyle w:val="Titulek"/>
      </w:pPr>
      <w:bookmarkStart w:id="48" w:name="_Toc488234337"/>
      <w:r>
        <w:lastRenderedPageBreak/>
        <w:t xml:space="preserve">Graf </w:t>
      </w:r>
      <w:r w:rsidR="004F2330">
        <w:fldChar w:fldCharType="begin"/>
      </w:r>
      <w:r w:rsidR="004F2330">
        <w:instrText xml:space="preserve"> STYLEREF 1 \s </w:instrText>
      </w:r>
      <w:r w:rsidR="004F2330">
        <w:fldChar w:fldCharType="separate"/>
      </w:r>
      <w:r w:rsidR="00CB29BD">
        <w:t>3</w:t>
      </w:r>
      <w:r w:rsidR="004F2330">
        <w:fldChar w:fldCharType="end"/>
      </w:r>
      <w:r w:rsidR="00FD378B">
        <w:t>.</w:t>
      </w:r>
      <w:r w:rsidR="004F2330">
        <w:fldChar w:fldCharType="begin"/>
      </w:r>
      <w:r w:rsidR="004F2330">
        <w:instrText xml:space="preserve"> SEQ Graf \* ARABIC \s 1 </w:instrText>
      </w:r>
      <w:r w:rsidR="004F2330">
        <w:fldChar w:fldCharType="separate"/>
      </w:r>
      <w:r w:rsidR="00CB29BD">
        <w:t>5</w:t>
      </w:r>
      <w:r w:rsidR="004F2330">
        <w:fldChar w:fldCharType="end"/>
      </w:r>
      <w:r>
        <w:t xml:space="preserve">: </w:t>
      </w:r>
      <w:r w:rsidRPr="00C468DB">
        <w:t>Čistý disp</w:t>
      </w:r>
      <w:r>
        <w:t xml:space="preserve">onibilní důchod domácností na </w:t>
      </w:r>
      <w:r w:rsidRPr="00C468DB">
        <w:t>obyvatele v letech 1995 a 2014 (ČR = 100 %)</w:t>
      </w:r>
      <w:bookmarkEnd w:id="48"/>
    </w:p>
    <w:p w:rsidR="002A5913" w:rsidRDefault="002A5913" w:rsidP="002C40B2">
      <w:pPr>
        <w:rPr>
          <w:lang w:eastAsia="en-US"/>
        </w:rPr>
      </w:pPr>
      <w:r>
        <w:rPr>
          <w:noProof/>
        </w:rPr>
        <w:drawing>
          <wp:inline distT="0" distB="0" distL="0" distR="0">
            <wp:extent cx="5829300" cy="283845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5913" w:rsidRPr="00F7169C" w:rsidRDefault="002A5913" w:rsidP="002C40B2">
      <w:pPr>
        <w:pStyle w:val="Zdroj"/>
        <w:spacing w:before="120" w:line="276" w:lineRule="auto"/>
        <w:rPr>
          <w:rStyle w:val="Zdraznnjemn"/>
        </w:rPr>
      </w:pPr>
      <w:r>
        <w:rPr>
          <w:rStyle w:val="Zdraznnjemn"/>
        </w:rPr>
        <w:t>Zdroj: ČSÚ</w:t>
      </w:r>
      <w:r w:rsidR="004E0D65">
        <w:rPr>
          <w:rStyle w:val="Zdraznnjemn"/>
        </w:rPr>
        <w:t xml:space="preserve"> -</w:t>
      </w:r>
      <w:r>
        <w:rPr>
          <w:rStyle w:val="Zdraznnjemn"/>
        </w:rPr>
        <w:t xml:space="preserve"> </w:t>
      </w:r>
      <w:hyperlink r:id="rId18" w:tooltip="Hlavní strana databáze regionálních účtů." w:history="1">
        <w:r w:rsidRPr="00C468DB">
          <w:rPr>
            <w:rStyle w:val="Zdraznnjemn"/>
          </w:rPr>
          <w:t>Databáze regionálních účtů</w:t>
        </w:r>
      </w:hyperlink>
    </w:p>
    <w:p w:rsidR="00352D2C" w:rsidRPr="00352D2C" w:rsidRDefault="00352D2C" w:rsidP="002C40B2">
      <w:pPr>
        <w:rPr>
          <w:b/>
        </w:rPr>
      </w:pPr>
      <w:r>
        <w:t>ČDDD</w:t>
      </w:r>
      <w:r w:rsidRPr="00C468DB">
        <w:t xml:space="preserve"> dlouhodobě roste</w:t>
      </w:r>
      <w:r>
        <w:t>, nicméně v</w:t>
      </w:r>
      <w:r w:rsidRPr="00C468DB">
        <w:t> souvislosti s ekonomickým poklesem a růstem nezaměstnanosti se v roce 2009 jeho růst zpomalil a v průběhu let 2010</w:t>
      </w:r>
      <w:r w:rsidR="001F2DC4">
        <w:t xml:space="preserve"> </w:t>
      </w:r>
      <w:r w:rsidRPr="00C468DB">
        <w:t>–</w:t>
      </w:r>
      <w:r w:rsidR="001F2DC4">
        <w:t xml:space="preserve"> </w:t>
      </w:r>
      <w:r w:rsidRPr="00C468DB">
        <w:t>2013 všechny kraje ČR zaznamenaly minimálně jednou jeho meziroční pokles. V roce 2014 již</w:t>
      </w:r>
      <w:r>
        <w:t xml:space="preserve"> ČDDD ve všech krajích vzrostl. </w:t>
      </w:r>
      <w:r w:rsidRPr="00C468DB">
        <w:t>Mezi kraji má nadprůměrn</w:t>
      </w:r>
      <w:r>
        <w:t>ý ČDDD na obyvatele pravidelně H</w:t>
      </w:r>
      <w:r w:rsidRPr="00C468DB">
        <w:t>lavní město Praha (od roku 2000 o víc než 30 %) a Středočeský kraj (zpravidla o 6</w:t>
      </w:r>
      <w:r>
        <w:t xml:space="preserve"> </w:t>
      </w:r>
      <w:r w:rsidRPr="00C468DB">
        <w:t>–</w:t>
      </w:r>
      <w:r>
        <w:t xml:space="preserve"> </w:t>
      </w:r>
      <w:r w:rsidRPr="00C468DB">
        <w:t>10 %), častěji pak i Plzeňský kraj (cca o 1 %). Kromě nich v letech 2013 a 2014 průměr ČR nepatrně překročil také Jihomoravský kraj. Na druhém konci žebříčku krajů se ztrátou 10 % na celorepublikový průměr se do roku 2000 umisťoval Kraj Vysočina, od roku 2002 měl 10% ztrátu na průměr každoročně kraj Ústecký.</w:t>
      </w:r>
      <w:r>
        <w:t xml:space="preserve"> </w:t>
      </w:r>
      <w:r w:rsidRPr="00352D2C">
        <w:rPr>
          <w:b/>
        </w:rPr>
        <w:t>Karlovarský kraj se momentálně ocitá na předposledním místě, kdy dosahuje přibližně o 10 % nižší čistý disponibilní důchod domácností na jednoho obyvatele než je průměr ČR.</w:t>
      </w:r>
    </w:p>
    <w:p w:rsidR="002A5913" w:rsidRPr="00F7169C" w:rsidRDefault="002A5913" w:rsidP="002C40B2">
      <w:pPr>
        <w:spacing w:before="120"/>
        <w:rPr>
          <w:rStyle w:val="Siln"/>
          <w:b w:val="0"/>
        </w:rPr>
      </w:pPr>
      <w:r>
        <w:rPr>
          <w:rStyle w:val="Siln"/>
          <w:bCs/>
        </w:rPr>
        <w:t xml:space="preserve">Dalším ukazatelem úrovně hospodářství kraje je míra nezaměstnanosti, která udává </w:t>
      </w:r>
      <w:r>
        <w:rPr>
          <w:rFonts w:ascii="Tahoma" w:hAnsi="Tahoma" w:cs="Tahoma"/>
          <w:color w:val="333333"/>
          <w:sz w:val="19"/>
          <w:szCs w:val="19"/>
        </w:rPr>
        <w:t>podíl nezaměstnaných k pracovní síle, tj. součtu zaměstnaných a nezaměstnaných v produktivním věku (15 – 64 let).</w:t>
      </w:r>
    </w:p>
    <w:p w:rsidR="002A5913" w:rsidRDefault="002A5913" w:rsidP="000B3B9C">
      <w:pPr>
        <w:pStyle w:val="Titulek"/>
      </w:pPr>
      <w:bookmarkStart w:id="49" w:name="_Toc310603991"/>
      <w:bookmarkStart w:id="50" w:name="_Toc310604057"/>
      <w:bookmarkStart w:id="51" w:name="_Toc321406362"/>
      <w:bookmarkStart w:id="52" w:name="_Toc488234338"/>
      <w:r w:rsidRPr="00AE46CF">
        <w:lastRenderedPageBreak/>
        <w:t xml:space="preserve">Graf </w:t>
      </w:r>
      <w:r w:rsidR="004F2330">
        <w:fldChar w:fldCharType="begin"/>
      </w:r>
      <w:r w:rsidR="004F2330">
        <w:instrText xml:space="preserve"> STYLEREF 1 \s </w:instrText>
      </w:r>
      <w:r w:rsidR="004F2330">
        <w:fldChar w:fldCharType="separate"/>
      </w:r>
      <w:r w:rsidR="00CB29BD">
        <w:t>3</w:t>
      </w:r>
      <w:r w:rsidR="004F2330">
        <w:fldChar w:fldCharType="end"/>
      </w:r>
      <w:r w:rsidR="00FD378B">
        <w:t>.</w:t>
      </w:r>
      <w:r w:rsidR="004F2330">
        <w:fldChar w:fldCharType="begin"/>
      </w:r>
      <w:r w:rsidR="004F2330">
        <w:instrText xml:space="preserve"> SEQ Graf \* ARABIC \s 1 </w:instrText>
      </w:r>
      <w:r w:rsidR="004F2330">
        <w:fldChar w:fldCharType="separate"/>
      </w:r>
      <w:r w:rsidR="00CB29BD">
        <w:t>6</w:t>
      </w:r>
      <w:r w:rsidR="004F2330">
        <w:fldChar w:fldCharType="end"/>
      </w:r>
      <w:r>
        <w:t xml:space="preserve">: Míra nezaměstnanosti ve vybraných krajích a v ČR </w:t>
      </w:r>
      <w:r w:rsidRPr="00AE46CF">
        <w:t>dle VŠPS</w:t>
      </w:r>
      <w:r>
        <w:t xml:space="preserve"> v letech</w:t>
      </w:r>
      <w:r w:rsidRPr="00AE46CF">
        <w:t xml:space="preserve"> </w:t>
      </w:r>
      <w:r>
        <w:t xml:space="preserve">2005 – </w:t>
      </w:r>
      <w:bookmarkEnd w:id="49"/>
      <w:bookmarkEnd w:id="50"/>
      <w:bookmarkEnd w:id="51"/>
      <w:r w:rsidRPr="00AE46CF">
        <w:t>201</w:t>
      </w:r>
      <w:r>
        <w:t>5 (v %)</w:t>
      </w:r>
      <w:bookmarkEnd w:id="52"/>
    </w:p>
    <w:p w:rsidR="002A5913" w:rsidRDefault="002A5913" w:rsidP="002C40B2">
      <w:r w:rsidRPr="00141AA4">
        <w:rPr>
          <w:noProof/>
        </w:rPr>
        <w:drawing>
          <wp:inline distT="0" distB="0" distL="0" distR="0">
            <wp:extent cx="5705475" cy="2524125"/>
            <wp:effectExtent l="0" t="0" r="9525" b="9525"/>
            <wp:docPr id="2"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5913" w:rsidRPr="00352D2C" w:rsidRDefault="007159D1" w:rsidP="002C40B2">
      <w:pPr>
        <w:pStyle w:val="Zdroj"/>
        <w:spacing w:before="120" w:line="276" w:lineRule="auto"/>
        <w:rPr>
          <w:rStyle w:val="Zdraznnjemn"/>
        </w:rPr>
      </w:pPr>
      <w:r>
        <w:rPr>
          <w:rStyle w:val="Zdraznnjemn"/>
        </w:rPr>
        <w:t>Zdroj: ČSÚ</w:t>
      </w:r>
      <w:r w:rsidR="004E0D65">
        <w:rPr>
          <w:rStyle w:val="Zdraznnjemn"/>
        </w:rPr>
        <w:t xml:space="preserve"> -</w:t>
      </w:r>
      <w:r w:rsidR="002A5913" w:rsidRPr="00352D2C">
        <w:rPr>
          <w:rStyle w:val="Zdraznnjemn"/>
        </w:rPr>
        <w:t xml:space="preserve"> Regionální účty</w:t>
      </w:r>
    </w:p>
    <w:p w:rsidR="002A5913" w:rsidRPr="00A57959" w:rsidRDefault="002A5913" w:rsidP="002C40B2">
      <w:pPr>
        <w:rPr>
          <w:rStyle w:val="Siln"/>
          <w:b w:val="0"/>
        </w:rPr>
      </w:pPr>
      <w:r>
        <w:rPr>
          <w:rStyle w:val="Siln"/>
        </w:rPr>
        <w:t>Obecná m</w:t>
      </w:r>
      <w:r w:rsidRPr="00AE46CF">
        <w:rPr>
          <w:rStyle w:val="Siln"/>
        </w:rPr>
        <w:t xml:space="preserve">íra nezaměstnanosti se v Karlovarském kraji </w:t>
      </w:r>
      <w:r>
        <w:rPr>
          <w:rStyle w:val="Siln"/>
        </w:rPr>
        <w:t>dlouhodobě pohybuje nad</w:t>
      </w:r>
      <w:r w:rsidRPr="00AE46CF">
        <w:rPr>
          <w:rStyle w:val="Siln"/>
        </w:rPr>
        <w:t xml:space="preserve"> </w:t>
      </w:r>
      <w:r>
        <w:rPr>
          <w:rStyle w:val="Siln"/>
        </w:rPr>
        <w:t xml:space="preserve">průměrem </w:t>
      </w:r>
      <w:r w:rsidRPr="00AE46CF">
        <w:rPr>
          <w:rStyle w:val="Siln"/>
        </w:rPr>
        <w:t>Č</w:t>
      </w:r>
      <w:r>
        <w:rPr>
          <w:rStyle w:val="Siln"/>
        </w:rPr>
        <w:t xml:space="preserve">R. </w:t>
      </w:r>
      <w:r w:rsidRPr="00A57959">
        <w:rPr>
          <w:rStyle w:val="Siln"/>
          <w:b w:val="0"/>
        </w:rPr>
        <w:t xml:space="preserve">Pozitivní trend lze zaznamenat od roku 2012, kdy míra nezaměstnanosti klesá a přibližuje se republikovému průměru. V porovnání s okolními kraji má míra nezaměstnanosti podobný průběh a výši jako v Ústeckém kraji. Plzeňský kraj se naopak řadí k těm, kde dosahuje míra obecné nezaměstnanosti nižších hodnot než je průměr ČR. </w:t>
      </w:r>
    </w:p>
    <w:p w:rsidR="002A5913" w:rsidRDefault="002A5913" w:rsidP="000B3B9C">
      <w:pPr>
        <w:pStyle w:val="Titulek"/>
      </w:pPr>
      <w:bookmarkStart w:id="53" w:name="_Ref466635644"/>
      <w:bookmarkStart w:id="54" w:name="_Toc488234339"/>
      <w:r>
        <w:t xml:space="preserve">Graf </w:t>
      </w:r>
      <w:r w:rsidR="004F2330">
        <w:fldChar w:fldCharType="begin"/>
      </w:r>
      <w:r w:rsidR="004F2330">
        <w:instrText xml:space="preserve"> STYLEREF 1 \s </w:instrText>
      </w:r>
      <w:r w:rsidR="004F2330">
        <w:fldChar w:fldCharType="separate"/>
      </w:r>
      <w:r w:rsidR="00CB29BD">
        <w:t>3</w:t>
      </w:r>
      <w:r w:rsidR="004F2330">
        <w:fldChar w:fldCharType="end"/>
      </w:r>
      <w:r w:rsidR="00FD378B">
        <w:t>.</w:t>
      </w:r>
      <w:r w:rsidR="004F2330">
        <w:fldChar w:fldCharType="begin"/>
      </w:r>
      <w:r w:rsidR="004F2330">
        <w:instrText xml:space="preserve"> SEQ Graf \* ARABIC \s 1 </w:instrText>
      </w:r>
      <w:r w:rsidR="004F2330">
        <w:fldChar w:fldCharType="separate"/>
      </w:r>
      <w:r w:rsidR="00CB29BD">
        <w:t>7</w:t>
      </w:r>
      <w:r w:rsidR="004F2330">
        <w:fldChar w:fldCharType="end"/>
      </w:r>
      <w:bookmarkEnd w:id="53"/>
      <w:r>
        <w:t xml:space="preserve">: </w:t>
      </w:r>
      <w:r w:rsidRPr="00430BAA">
        <w:t>Obecná míra nezaměstnanosti v krajích ČR v roce 2015 (v %)</w:t>
      </w:r>
      <w:bookmarkEnd w:id="54"/>
    </w:p>
    <w:p w:rsidR="002A5913" w:rsidRDefault="002A5913" w:rsidP="002C40B2">
      <w:pPr>
        <w:rPr>
          <w:lang w:eastAsia="en-US"/>
        </w:rPr>
      </w:pPr>
      <w:r>
        <w:rPr>
          <w:noProof/>
        </w:rPr>
        <w:drawing>
          <wp:inline distT="0" distB="0" distL="0" distR="0">
            <wp:extent cx="5695950" cy="2619375"/>
            <wp:effectExtent l="0" t="0" r="0" b="952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5913" w:rsidRPr="00A57959" w:rsidRDefault="002A5913" w:rsidP="002C40B2">
      <w:pPr>
        <w:spacing w:before="120"/>
        <w:rPr>
          <w:rStyle w:val="Zdraznnjemn"/>
          <w:rFonts w:eastAsiaTheme="minorHAnsi"/>
        </w:rPr>
      </w:pPr>
      <w:r w:rsidRPr="00A57959">
        <w:rPr>
          <w:rStyle w:val="Zdraznnjemn"/>
          <w:rFonts w:eastAsiaTheme="minorHAnsi"/>
        </w:rPr>
        <w:t>Zdroj: ČSÚ</w:t>
      </w:r>
      <w:r w:rsidR="004E0D65">
        <w:rPr>
          <w:rStyle w:val="Zdraznnjemn"/>
          <w:rFonts w:eastAsiaTheme="minorHAnsi"/>
        </w:rPr>
        <w:t xml:space="preserve"> -</w:t>
      </w:r>
      <w:r w:rsidRPr="00A57959">
        <w:rPr>
          <w:rStyle w:val="Zdraznnjemn"/>
          <w:rFonts w:eastAsiaTheme="minorHAnsi"/>
        </w:rPr>
        <w:t xml:space="preserve"> Veřejná databáze</w:t>
      </w:r>
    </w:p>
    <w:p w:rsidR="002A5913" w:rsidRPr="00A57959" w:rsidRDefault="00A57959" w:rsidP="002C40B2">
      <w:pPr>
        <w:rPr>
          <w:rStyle w:val="Siln"/>
          <w:b w:val="0"/>
        </w:rPr>
      </w:pPr>
      <w:r w:rsidRPr="00A57959">
        <w:rPr>
          <w:rStyle w:val="Siln"/>
          <w:b w:val="0"/>
        </w:rPr>
        <w:t xml:space="preserve">Z </w:t>
      </w:r>
      <w:r w:rsidR="004F2330">
        <w:fldChar w:fldCharType="begin"/>
      </w:r>
      <w:r w:rsidR="004F2330">
        <w:instrText xml:space="preserve"> REF _Ref466635644 \h  \* MERGEFORMAT </w:instrText>
      </w:r>
      <w:r w:rsidR="004F2330">
        <w:fldChar w:fldCharType="separate"/>
      </w:r>
      <w:r w:rsidR="00DA707D">
        <w:t>g</w:t>
      </w:r>
      <w:r w:rsidR="00CB29BD">
        <w:t>raf</w:t>
      </w:r>
      <w:r w:rsidR="00DA707D">
        <w:t>u</w:t>
      </w:r>
      <w:r w:rsidR="00CB29BD">
        <w:t xml:space="preserve"> </w:t>
      </w:r>
      <w:r w:rsidR="00CB29BD">
        <w:rPr>
          <w:noProof/>
        </w:rPr>
        <w:t>3</w:t>
      </w:r>
      <w:r w:rsidR="00CB29BD">
        <w:t>.7</w:t>
      </w:r>
      <w:r w:rsidR="004F2330">
        <w:fldChar w:fldCharType="end"/>
      </w:r>
      <w:r w:rsidR="002A5913" w:rsidRPr="00A57959">
        <w:rPr>
          <w:rStyle w:val="Siln"/>
          <w:b w:val="0"/>
        </w:rPr>
        <w:t xml:space="preserve"> vyplývá, že </w:t>
      </w:r>
      <w:r w:rsidR="002A5913" w:rsidRPr="00A57959">
        <w:rPr>
          <w:rStyle w:val="Siln"/>
        </w:rPr>
        <w:t>Karlovarský, Moravskoslezský a Ústecký kraj</w:t>
      </w:r>
      <w:r w:rsidR="002A5913" w:rsidRPr="00A57959" w:rsidDel="00A95106">
        <w:rPr>
          <w:rStyle w:val="Siln"/>
        </w:rPr>
        <w:t xml:space="preserve"> </w:t>
      </w:r>
      <w:r w:rsidR="002A5913" w:rsidRPr="00A57959">
        <w:rPr>
          <w:rStyle w:val="Siln"/>
        </w:rPr>
        <w:t xml:space="preserve">patří k těm krajům, které se </w:t>
      </w:r>
      <w:r w:rsidR="001523B6">
        <w:rPr>
          <w:rStyle w:val="Siln"/>
        </w:rPr>
        <w:t xml:space="preserve">ve srovnání s ostatními </w:t>
      </w:r>
      <w:r w:rsidR="002A5913" w:rsidRPr="00A57959">
        <w:rPr>
          <w:rStyle w:val="Siln"/>
        </w:rPr>
        <w:t>potýkají s </w:t>
      </w:r>
      <w:r w:rsidR="001523B6" w:rsidRPr="00A57959">
        <w:rPr>
          <w:rStyle w:val="Siln"/>
        </w:rPr>
        <w:t>v</w:t>
      </w:r>
      <w:r w:rsidR="001523B6">
        <w:rPr>
          <w:rStyle w:val="Siln"/>
        </w:rPr>
        <w:t>yšší</w:t>
      </w:r>
      <w:r w:rsidR="001523B6" w:rsidRPr="00A57959">
        <w:rPr>
          <w:rStyle w:val="Siln"/>
        </w:rPr>
        <w:t xml:space="preserve"> </w:t>
      </w:r>
      <w:r w:rsidR="002A5913" w:rsidRPr="00A57959">
        <w:rPr>
          <w:rStyle w:val="Siln"/>
        </w:rPr>
        <w:t>mírou nezaměstnanosti.</w:t>
      </w:r>
      <w:r w:rsidR="002A5913" w:rsidRPr="00A57959">
        <w:rPr>
          <w:rStyle w:val="Siln"/>
          <w:b w:val="0"/>
        </w:rPr>
        <w:t xml:space="preserve"> Podrobné příčiny této situace v Karlovarském kraji jsou popsány v následujících kapitolách.</w:t>
      </w:r>
    </w:p>
    <w:p w:rsidR="002A5913" w:rsidRPr="007D57FD" w:rsidRDefault="002A5913" w:rsidP="002C40B2">
      <w:pPr>
        <w:pStyle w:val="Nadpis2"/>
      </w:pPr>
      <w:r w:rsidRPr="007D57FD">
        <w:lastRenderedPageBreak/>
        <w:t>Klíčové výzvy/problémy</w:t>
      </w:r>
    </w:p>
    <w:p w:rsidR="002A5913" w:rsidRPr="00FF1621" w:rsidRDefault="002A5913" w:rsidP="002C40B2">
      <w:pPr>
        <w:rPr>
          <w:b/>
        </w:rPr>
      </w:pPr>
      <w:r w:rsidRPr="00FF1621">
        <w:rPr>
          <w:b/>
        </w:rPr>
        <w:t xml:space="preserve">Nízká </w:t>
      </w:r>
      <w:r>
        <w:rPr>
          <w:b/>
        </w:rPr>
        <w:t>míra hospodářského růstu</w:t>
      </w:r>
    </w:p>
    <w:p w:rsidR="002A5913" w:rsidRPr="00FF1621" w:rsidRDefault="002A5913" w:rsidP="002C40B2">
      <w:r w:rsidRPr="00FF1621">
        <w:t xml:space="preserve">Výkonnost ekonomiky Karlovarského kraje v posledních 15 letech zaostává za ostatními regiony ČR </w:t>
      </w:r>
      <w:r w:rsidR="001523B6">
        <w:br/>
      </w:r>
      <w:r w:rsidRPr="00FF1621">
        <w:t>a jeho odstup se neustále zvyšuje. Rozdíl je nejvíce patrný zejména v období od roku</w:t>
      </w:r>
      <w:r w:rsidR="00E744C3">
        <w:t xml:space="preserve"> </w:t>
      </w:r>
      <w:r w:rsidRPr="00FF1621">
        <w:t xml:space="preserve">2003 do 2008, kdy ČR zažívala výrazný ekonomický růst doprovázený snižováním nezaměstnanosti, růstem produktivity práce a přílivem zahraničních investic. Po roce 2008 zaznamenala celá ekonomika propad díky ekonomické krizi a od roku 2009 pouze mírný růst. </w:t>
      </w:r>
      <w:r>
        <w:t xml:space="preserve">Ekonomika KK sledovala podobný trend </w:t>
      </w:r>
      <w:r w:rsidR="007D57FD">
        <w:t xml:space="preserve">jako ČR, ale </w:t>
      </w:r>
      <w:r>
        <w:t>n</w:t>
      </w:r>
      <w:r w:rsidR="007D57FD">
        <w:t>a nižší úrovni HDP na obyvatele. Od</w:t>
      </w:r>
      <w:r w:rsidRPr="00FF1621">
        <w:t xml:space="preserve"> roku 2009 v</w:t>
      </w:r>
      <w:r w:rsidR="007D57FD">
        <w:t>šak v</w:t>
      </w:r>
      <w:r w:rsidRPr="00FF1621">
        <w:t>esměs stagnuje a oproti ostatním krajům ČR ztrácí.</w:t>
      </w:r>
    </w:p>
    <w:p w:rsidR="002A5913" w:rsidRPr="00FF1621" w:rsidRDefault="002A5913" w:rsidP="002C40B2">
      <w:pPr>
        <w:rPr>
          <w:b/>
          <w:i/>
        </w:rPr>
      </w:pPr>
      <w:r>
        <w:rPr>
          <w:b/>
          <w:i/>
        </w:rPr>
        <w:t>Příčiny</w:t>
      </w:r>
    </w:p>
    <w:p w:rsidR="002A5913" w:rsidRPr="00A922DC" w:rsidRDefault="002A5913" w:rsidP="002C40B2">
      <w:pPr>
        <w:rPr>
          <w:rStyle w:val="Siln"/>
          <w:b w:val="0"/>
        </w:rPr>
      </w:pPr>
      <w:r w:rsidRPr="00A922DC">
        <w:t>Příčiny jsou komplexní a jejich nalezení se věnuje socioekonomická analýza, o</w:t>
      </w:r>
      <w:r w:rsidRPr="00A922DC">
        <w:rPr>
          <w:rStyle w:val="Siln"/>
          <w:b w:val="0"/>
        </w:rPr>
        <w:t>všem již nyní je možné identifikovat hlavní z nich – nízká produktivita práce, zastaralá struktura ekonomiky kraje s důrazem na odvětví a výrobu s malou přidanou hodnotou, malý příliv zahraničních investic</w:t>
      </w:r>
      <w:r w:rsidR="00151586">
        <w:rPr>
          <w:rStyle w:val="Siln"/>
          <w:b w:val="0"/>
        </w:rPr>
        <w:t xml:space="preserve"> </w:t>
      </w:r>
      <w:r w:rsidRPr="00A922DC">
        <w:rPr>
          <w:rStyle w:val="Siln"/>
          <w:b w:val="0"/>
        </w:rPr>
        <w:t xml:space="preserve">do kraje, malý podíl </w:t>
      </w:r>
      <w:r w:rsidR="00151586">
        <w:rPr>
          <w:rStyle w:val="Siln"/>
          <w:b w:val="0"/>
        </w:rPr>
        <w:t>vysokoškolsky</w:t>
      </w:r>
      <w:r w:rsidRPr="00A922DC">
        <w:rPr>
          <w:rStyle w:val="Siln"/>
          <w:b w:val="0"/>
        </w:rPr>
        <w:t xml:space="preserve"> vzdělaných lidí a absence výzkumné a vývojové základny v kraji. Svou roli jistě hraje i periferní poloha regionu v rámci ČR, jeho pozice v sídelní struktuře a také skutečnost, že velká část kraje (především pohraničí) je řídce osídlena a chybí zde významnější hospodářské aktivity.</w:t>
      </w:r>
    </w:p>
    <w:p w:rsidR="002A5913" w:rsidRPr="00FF1621" w:rsidRDefault="002A5913" w:rsidP="002C40B2">
      <w:pPr>
        <w:rPr>
          <w:b/>
          <w:i/>
        </w:rPr>
      </w:pPr>
      <w:r>
        <w:rPr>
          <w:b/>
          <w:i/>
        </w:rPr>
        <w:t>Důsledky</w:t>
      </w:r>
    </w:p>
    <w:p w:rsidR="002A5913" w:rsidRPr="00FF1621" w:rsidRDefault="002A5913" w:rsidP="002C40B2">
      <w:r w:rsidRPr="00FF1621">
        <w:t>Výsledkem je vysoká nezaměstnanost, která se drží nad národním průměrem. Kraj se stává stále méně atraktivní pro nové investory, zejména je to patrné ve velmi nízkém přílivu zahraničních investic. Významnějším způsobem neroste ani životní úroveň obyvatelstva.</w:t>
      </w:r>
    </w:p>
    <w:p w:rsidR="002A5913" w:rsidRPr="00FF1621" w:rsidRDefault="002A5913" w:rsidP="002C40B2">
      <w:pPr>
        <w:rPr>
          <w:b/>
        </w:rPr>
      </w:pPr>
      <w:r w:rsidRPr="00FF1621">
        <w:rPr>
          <w:b/>
        </w:rPr>
        <w:t>Vysoká míra nezaměstnanosti</w:t>
      </w:r>
    </w:p>
    <w:p w:rsidR="002A5913" w:rsidRPr="00FF1621" w:rsidRDefault="002A5913" w:rsidP="002C40B2">
      <w:r>
        <w:t>Karlovarský kraj je jedním z regionů ČR, který se dlouhodobě potýká s </w:t>
      </w:r>
      <w:r w:rsidR="00E744C3">
        <w:t xml:space="preserve">vyšší </w:t>
      </w:r>
      <w:r>
        <w:t>mírou nezaměstnanosti</w:t>
      </w:r>
      <w:r w:rsidR="002F7ABC">
        <w:t>,</w:t>
      </w:r>
      <w:r w:rsidR="00E744C3">
        <w:t xml:space="preserve"> než je průměr ČR</w:t>
      </w:r>
      <w:r>
        <w:t>. Ta dosahovala v roce 2015 kolem</w:t>
      </w:r>
      <w:r w:rsidRPr="00FF1621">
        <w:t xml:space="preserve"> 7</w:t>
      </w:r>
      <w:r>
        <w:t xml:space="preserve"> %. </w:t>
      </w:r>
    </w:p>
    <w:p w:rsidR="002A5913" w:rsidRPr="00FF1621" w:rsidRDefault="002A5913" w:rsidP="002C40B2">
      <w:pPr>
        <w:rPr>
          <w:b/>
          <w:i/>
        </w:rPr>
      </w:pPr>
      <w:r>
        <w:rPr>
          <w:b/>
          <w:i/>
        </w:rPr>
        <w:t>Příčiny</w:t>
      </w:r>
    </w:p>
    <w:p w:rsidR="002A5913" w:rsidRPr="00FF1621" w:rsidRDefault="002A5913" w:rsidP="002C40B2">
      <w:r w:rsidRPr="00FF1621">
        <w:t xml:space="preserve">Kraj není dostatečně atraktivní pro </w:t>
      </w:r>
      <w:r w:rsidR="00151586">
        <w:t>příliv zahraničních investic</w:t>
      </w:r>
      <w:r w:rsidRPr="00FF1621">
        <w:t xml:space="preserve"> a málo využívá endogenních zdrojů růstu. Určitou roli sehrává značná orientace na tradiční průmyslová odvětví, která se v posledních letech v ČR (a nejen zde) potýkají s úpadkem (textilní průmysl, sklářství, porcelán a keramika). Podniky v kraji se ve velké míře soustřeďují na výrobu standardizovaných produktů a komponentů s nízkou přidanou hodnotou, z čehož plyne využívání především levné a málo kvalifikované pracovní síly a vzhledem k silnému tlaku na snižování výrobních nákladů docházelo ke ztrátám pracovních míst.</w:t>
      </w:r>
    </w:p>
    <w:p w:rsidR="002A5913" w:rsidRPr="0018126E" w:rsidRDefault="002A5913" w:rsidP="002C40B2">
      <w:pPr>
        <w:rPr>
          <w:b/>
          <w:i/>
        </w:rPr>
      </w:pPr>
      <w:r>
        <w:rPr>
          <w:b/>
          <w:i/>
        </w:rPr>
        <w:t>Důsledky</w:t>
      </w:r>
    </w:p>
    <w:p w:rsidR="002A5913" w:rsidRDefault="002A5913" w:rsidP="002C40B2">
      <w:pPr>
        <w:rPr>
          <w:rStyle w:val="Siln"/>
          <w:b w:val="0"/>
        </w:rPr>
      </w:pPr>
      <w:r w:rsidRPr="00FF1621">
        <w:t>Špatná situace na trhu práce s velkým přebytkem uchazečů nad volnými pracovními místy. Nevhodná vzdělanostní a oborová struktura pracovních sil v kraji – chybí technicky vzdělaní a vyučení pracovníci. Specifická skupina dlouhodobě nezaměstnaných lidí (i s vyšším vzděláním a aktivně hledající práci), kteří jsou ohroženi sociální exkluzí.</w:t>
      </w:r>
    </w:p>
    <w:p w:rsidR="002A5913" w:rsidRPr="006D0BE8" w:rsidRDefault="00F974FB" w:rsidP="002C40B2">
      <w:pPr>
        <w:pStyle w:val="Nadpis3"/>
        <w:spacing w:line="276" w:lineRule="auto"/>
      </w:pPr>
      <w:r w:rsidRPr="006D0BE8">
        <w:lastRenderedPageBreak/>
        <w:t>Literatura:</w:t>
      </w:r>
    </w:p>
    <w:p w:rsidR="002A5913" w:rsidRPr="00AE46CF" w:rsidRDefault="000303ED" w:rsidP="002C40B2">
      <w:pPr>
        <w:spacing w:after="120"/>
      </w:pPr>
      <w:r w:rsidRPr="00AE46CF">
        <w:t>Berman Group</w:t>
      </w:r>
      <w:r>
        <w:t>.</w:t>
      </w:r>
      <w:r w:rsidRPr="00AE46CF">
        <w:t xml:space="preserve"> </w:t>
      </w:r>
      <w:r w:rsidR="002A5913" w:rsidRPr="000303ED">
        <w:rPr>
          <w:i/>
        </w:rPr>
        <w:t>Mapování hodnotových řetězců firem Karlovarského kraje</w:t>
      </w:r>
      <w:r w:rsidR="002A5913" w:rsidRPr="00AE46CF">
        <w:t xml:space="preserve">. </w:t>
      </w:r>
      <w:r>
        <w:t xml:space="preserve">Praha, </w:t>
      </w:r>
      <w:r w:rsidR="002A5913" w:rsidRPr="00AE46CF">
        <w:t>2010.</w:t>
      </w:r>
    </w:p>
    <w:p w:rsidR="002A5913" w:rsidRDefault="000303ED" w:rsidP="002C40B2">
      <w:pPr>
        <w:spacing w:after="120"/>
      </w:pPr>
      <w:r w:rsidRPr="00AE46CF">
        <w:t>Berman Group</w:t>
      </w:r>
      <w:r>
        <w:t>.</w:t>
      </w:r>
      <w:r w:rsidRPr="00AE46CF">
        <w:t xml:space="preserve"> </w:t>
      </w:r>
      <w:r w:rsidR="002A5913" w:rsidRPr="000303ED">
        <w:rPr>
          <w:i/>
        </w:rPr>
        <w:t>Socioekonomická analýza Olomouckého kraje</w:t>
      </w:r>
      <w:r>
        <w:rPr>
          <w:i/>
        </w:rPr>
        <w:t>.</w:t>
      </w:r>
      <w:r>
        <w:t xml:space="preserve"> Praha</w:t>
      </w:r>
      <w:r w:rsidR="002A5913" w:rsidRPr="00AE46CF">
        <w:t>, 2010</w:t>
      </w:r>
      <w:r>
        <w:t>.</w:t>
      </w:r>
    </w:p>
    <w:p w:rsidR="00CD64D2" w:rsidRDefault="00CD64D2" w:rsidP="002C40B2">
      <w:pPr>
        <w:spacing w:after="160"/>
        <w:jc w:val="left"/>
        <w:rPr>
          <w:lang w:eastAsia="en-US"/>
        </w:rPr>
      </w:pPr>
      <w:r>
        <w:rPr>
          <w:lang w:eastAsia="en-US"/>
        </w:rPr>
        <w:br w:type="page"/>
      </w:r>
    </w:p>
    <w:p w:rsidR="00151586" w:rsidRPr="009E7280" w:rsidRDefault="00151586" w:rsidP="00094A5B">
      <w:pPr>
        <w:pStyle w:val="Nadpis1"/>
      </w:pPr>
      <w:bookmarkStart w:id="55" w:name="_Toc488233389"/>
      <w:bookmarkStart w:id="56" w:name="_Toc551184"/>
      <w:r w:rsidRPr="009E7280">
        <w:lastRenderedPageBreak/>
        <w:t>Internacionalizace ekonomiky</w:t>
      </w:r>
      <w:bookmarkEnd w:id="55"/>
      <w:r w:rsidRPr="009E7280">
        <w:t xml:space="preserve"> </w:t>
      </w:r>
      <w:bookmarkEnd w:id="56"/>
    </w:p>
    <w:p w:rsidR="00151586" w:rsidRDefault="00151586" w:rsidP="002C40B2">
      <w:r>
        <w:t xml:space="preserve">Následující kapitola se věnuje tomu, jak je ekonomika Karlovarského kraje zapojena do zahraničních obchodních vztahů a vazeb. </w:t>
      </w:r>
    </w:p>
    <w:p w:rsidR="00151586" w:rsidRDefault="00151586" w:rsidP="002C40B2">
      <w:r>
        <w:rPr>
          <w:i/>
        </w:rPr>
        <w:t>Otázky:</w:t>
      </w:r>
    </w:p>
    <w:p w:rsidR="00151586" w:rsidRPr="004E4996" w:rsidRDefault="00151586" w:rsidP="002C40B2">
      <w:pPr>
        <w:pStyle w:val="Odstavecseseznamem"/>
        <w:numPr>
          <w:ilvl w:val="0"/>
          <w:numId w:val="8"/>
        </w:numPr>
        <w:rPr>
          <w:rStyle w:val="Siln"/>
          <w:b w:val="0"/>
          <w:i/>
          <w:iCs/>
        </w:rPr>
      </w:pPr>
      <w:r w:rsidRPr="004E4996">
        <w:rPr>
          <w:rStyle w:val="Siln"/>
          <w:b w:val="0"/>
          <w:i/>
          <w:iCs/>
        </w:rPr>
        <w:t xml:space="preserve">Do jaké míry souvisí hospodářské zaostávání Karlovarského kraje s jeho zapojením do mezinárodní dělby práce? </w:t>
      </w:r>
    </w:p>
    <w:p w:rsidR="00151586" w:rsidRPr="004E4996" w:rsidRDefault="00151586" w:rsidP="002C40B2">
      <w:pPr>
        <w:pStyle w:val="Odstavecseseznamem"/>
        <w:numPr>
          <w:ilvl w:val="0"/>
          <w:numId w:val="8"/>
        </w:numPr>
        <w:rPr>
          <w:rStyle w:val="Siln"/>
          <w:b w:val="0"/>
          <w:i/>
          <w:iCs/>
        </w:rPr>
      </w:pPr>
      <w:r w:rsidRPr="004E4996">
        <w:rPr>
          <w:rStyle w:val="Siln"/>
          <w:b w:val="0"/>
          <w:i/>
          <w:iCs/>
        </w:rPr>
        <w:t xml:space="preserve">Jaké jsou hlavní směry vývozu z kraje? </w:t>
      </w:r>
    </w:p>
    <w:p w:rsidR="00151586" w:rsidRPr="004E4996" w:rsidRDefault="00151586" w:rsidP="002C40B2">
      <w:pPr>
        <w:pStyle w:val="Odstavecseseznamem"/>
        <w:numPr>
          <w:ilvl w:val="0"/>
          <w:numId w:val="8"/>
        </w:numPr>
        <w:rPr>
          <w:rStyle w:val="Siln"/>
          <w:b w:val="0"/>
          <w:i/>
          <w:iCs/>
        </w:rPr>
      </w:pPr>
      <w:r w:rsidRPr="004E4996">
        <w:rPr>
          <w:rStyle w:val="Siln"/>
          <w:b w:val="0"/>
          <w:i/>
          <w:iCs/>
        </w:rPr>
        <w:t xml:space="preserve">Jaká je exportní specializace kraje a jaký má vliv na vývoj hospodářství? </w:t>
      </w:r>
    </w:p>
    <w:p w:rsidR="00151586" w:rsidRPr="00151586" w:rsidRDefault="00151586" w:rsidP="002C40B2">
      <w:pPr>
        <w:pStyle w:val="Nadpis2"/>
      </w:pPr>
      <w:r w:rsidRPr="00151586">
        <w:t xml:space="preserve">Přímé zahraniční investice </w:t>
      </w:r>
    </w:p>
    <w:p w:rsidR="00151586" w:rsidRDefault="00151586" w:rsidP="002C40B2">
      <w:r>
        <w:t xml:space="preserve">Stav přímých zahraničních investic (PZI) reflektuje atraktivitu regionu pro zahraniční investory. PZI byly v posledních zhruba 15 letech klíčovým faktorem, který ovlivňoval ekonomický vývoj ČR a jeho regionů. Nejenže firmy pod zahraniční kontrolou přinesly potřebné investice a nová pracovní místa a vykazovaly lepší hospodářské výsledky, ale v některých případech dokázaly přinést spolu s investicí nebo v návaznosti na ni i znalosti a know-how a pozvednout pozici svých místních českých subdodavatelů a přispět k jejich dalšímu rozvoji. </w:t>
      </w:r>
    </w:p>
    <w:p w:rsidR="00151586" w:rsidRPr="004E0D65" w:rsidRDefault="00151586" w:rsidP="000B3B9C">
      <w:pPr>
        <w:pStyle w:val="Titulek"/>
      </w:pPr>
      <w:bookmarkStart w:id="57" w:name="_Ref465326848"/>
      <w:bookmarkStart w:id="58" w:name="_Toc488233468"/>
      <w:r w:rsidRPr="004E0D65">
        <w:t xml:space="preserve">Tabulka </w:t>
      </w:r>
      <w:r w:rsidR="008965FE">
        <w:fldChar w:fldCharType="begin"/>
      </w:r>
      <w:r w:rsidR="00B33DFE">
        <w:instrText xml:space="preserve"> STYLEREF 1 \s </w:instrText>
      </w:r>
      <w:r w:rsidR="008965FE">
        <w:fldChar w:fldCharType="separate"/>
      </w:r>
      <w:r w:rsidR="00CB29BD">
        <w:t>4</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57"/>
      <w:r w:rsidRPr="004E0D65">
        <w:t>: Stav celkových PZI dle krajů ČR v letech 2010 - 2014 (stav k 31. 12. daného roku)</w:t>
      </w:r>
      <w:bookmarkEnd w:id="58"/>
      <w:r w:rsidRPr="004E0D65">
        <w:t xml:space="preserve"> </w:t>
      </w:r>
    </w:p>
    <w:tbl>
      <w:tblPr>
        <w:tblW w:w="9310" w:type="dxa"/>
        <w:tblLayout w:type="fixed"/>
        <w:tblCellMar>
          <w:left w:w="70" w:type="dxa"/>
          <w:right w:w="70" w:type="dxa"/>
        </w:tblCellMar>
        <w:tblLook w:val="04A0" w:firstRow="1" w:lastRow="0" w:firstColumn="1" w:lastColumn="0" w:noHBand="0" w:noVBand="1"/>
      </w:tblPr>
      <w:tblGrid>
        <w:gridCol w:w="1160"/>
        <w:gridCol w:w="1020"/>
        <w:gridCol w:w="583"/>
        <w:gridCol w:w="1165"/>
        <w:gridCol w:w="583"/>
        <w:gridCol w:w="1019"/>
        <w:gridCol w:w="583"/>
        <w:gridCol w:w="1019"/>
        <w:gridCol w:w="583"/>
        <w:gridCol w:w="1019"/>
        <w:gridCol w:w="576"/>
      </w:tblGrid>
      <w:tr w:rsidR="00151586" w:rsidRPr="008234D7" w:rsidTr="000562C0">
        <w:trPr>
          <w:trHeight w:val="302"/>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51586" w:rsidRPr="008234D7" w:rsidRDefault="00151586" w:rsidP="002C40B2">
            <w:pPr>
              <w:spacing w:after="0"/>
              <w:jc w:val="left"/>
              <w:rPr>
                <w:rFonts w:asciiTheme="minorHAnsi" w:hAnsiTheme="minorHAnsi" w:cs="Times New Roman"/>
                <w:b/>
                <w:bCs/>
                <w:sz w:val="20"/>
                <w:szCs w:val="20"/>
              </w:rPr>
            </w:pPr>
            <w:r w:rsidRPr="008234D7">
              <w:rPr>
                <w:rFonts w:asciiTheme="minorHAnsi" w:hAnsiTheme="minorHAnsi" w:cs="Times New Roman"/>
                <w:b/>
                <w:bCs/>
                <w:sz w:val="20"/>
                <w:szCs w:val="20"/>
              </w:rPr>
              <w:t>ČR, kraj</w:t>
            </w:r>
          </w:p>
        </w:tc>
        <w:tc>
          <w:tcPr>
            <w:tcW w:w="1603" w:type="dxa"/>
            <w:gridSpan w:val="2"/>
            <w:tcBorders>
              <w:top w:val="single" w:sz="4" w:space="0" w:color="auto"/>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2010</w:t>
            </w:r>
          </w:p>
        </w:tc>
        <w:tc>
          <w:tcPr>
            <w:tcW w:w="1748" w:type="dxa"/>
            <w:gridSpan w:val="2"/>
            <w:tcBorders>
              <w:top w:val="single" w:sz="4" w:space="0" w:color="auto"/>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2011</w:t>
            </w:r>
          </w:p>
        </w:tc>
        <w:tc>
          <w:tcPr>
            <w:tcW w:w="1602" w:type="dxa"/>
            <w:gridSpan w:val="2"/>
            <w:tcBorders>
              <w:top w:val="single" w:sz="4" w:space="0" w:color="auto"/>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2012</w:t>
            </w:r>
          </w:p>
        </w:tc>
        <w:tc>
          <w:tcPr>
            <w:tcW w:w="1602" w:type="dxa"/>
            <w:gridSpan w:val="2"/>
            <w:tcBorders>
              <w:top w:val="single" w:sz="4" w:space="0" w:color="auto"/>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2013</w:t>
            </w:r>
          </w:p>
        </w:tc>
        <w:tc>
          <w:tcPr>
            <w:tcW w:w="1595" w:type="dxa"/>
            <w:gridSpan w:val="2"/>
            <w:tcBorders>
              <w:top w:val="single" w:sz="4" w:space="0" w:color="auto"/>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2014</w:t>
            </w:r>
          </w:p>
        </w:tc>
      </w:tr>
      <w:tr w:rsidR="00151586" w:rsidRPr="008234D7" w:rsidTr="000562C0">
        <w:trPr>
          <w:trHeight w:val="302"/>
        </w:trPr>
        <w:tc>
          <w:tcPr>
            <w:tcW w:w="1160" w:type="dxa"/>
            <w:vMerge/>
            <w:tcBorders>
              <w:top w:val="single" w:sz="4" w:space="0" w:color="auto"/>
              <w:left w:val="single" w:sz="4" w:space="0" w:color="auto"/>
              <w:bottom w:val="single" w:sz="4" w:space="0" w:color="auto"/>
              <w:right w:val="single" w:sz="4" w:space="0" w:color="auto"/>
            </w:tcBorders>
            <w:hideMark/>
          </w:tcPr>
          <w:p w:rsidR="00151586" w:rsidRPr="008234D7" w:rsidRDefault="00151586" w:rsidP="002C40B2">
            <w:pPr>
              <w:spacing w:after="0"/>
              <w:jc w:val="left"/>
              <w:rPr>
                <w:rFonts w:asciiTheme="minorHAnsi" w:hAnsiTheme="minorHAnsi" w:cs="Times New Roman"/>
                <w:b/>
                <w:bCs/>
                <w:sz w:val="20"/>
                <w:szCs w:val="20"/>
              </w:rPr>
            </w:pPr>
          </w:p>
        </w:tc>
        <w:tc>
          <w:tcPr>
            <w:tcW w:w="1020"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mil. Kč </w:t>
            </w:r>
          </w:p>
        </w:tc>
        <w:tc>
          <w:tcPr>
            <w:tcW w:w="583"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 </w:t>
            </w:r>
          </w:p>
        </w:tc>
        <w:tc>
          <w:tcPr>
            <w:tcW w:w="1165"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mil. Kč </w:t>
            </w:r>
          </w:p>
        </w:tc>
        <w:tc>
          <w:tcPr>
            <w:tcW w:w="583"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 </w:t>
            </w:r>
          </w:p>
        </w:tc>
        <w:tc>
          <w:tcPr>
            <w:tcW w:w="1019"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mil. Kč </w:t>
            </w:r>
          </w:p>
        </w:tc>
        <w:tc>
          <w:tcPr>
            <w:tcW w:w="583"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 </w:t>
            </w:r>
          </w:p>
        </w:tc>
        <w:tc>
          <w:tcPr>
            <w:tcW w:w="1019"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mil. Kč </w:t>
            </w:r>
          </w:p>
        </w:tc>
        <w:tc>
          <w:tcPr>
            <w:tcW w:w="583"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 </w:t>
            </w:r>
          </w:p>
        </w:tc>
        <w:tc>
          <w:tcPr>
            <w:tcW w:w="1019"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mil. Kč </w:t>
            </w:r>
          </w:p>
        </w:tc>
        <w:tc>
          <w:tcPr>
            <w:tcW w:w="575" w:type="dxa"/>
            <w:tcBorders>
              <w:top w:val="nil"/>
              <w:left w:val="nil"/>
              <w:bottom w:val="single" w:sz="4" w:space="0" w:color="auto"/>
              <w:right w:val="single" w:sz="4" w:space="0" w:color="auto"/>
            </w:tcBorders>
            <w:shd w:val="clear" w:color="auto" w:fill="auto"/>
            <w:noWrap/>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b/>
                <w:bCs/>
                <w:sz w:val="20"/>
                <w:szCs w:val="20"/>
              </w:rPr>
              <w:t xml:space="preserve">% </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b/>
                <w:sz w:val="20"/>
                <w:szCs w:val="20"/>
              </w:rPr>
            </w:pPr>
            <w:r w:rsidRPr="008234D7">
              <w:rPr>
                <w:rFonts w:asciiTheme="minorHAnsi" w:hAnsiTheme="minorHAnsi" w:cs="Times New Roman"/>
                <w:b/>
                <w:sz w:val="20"/>
                <w:szCs w:val="20"/>
              </w:rPr>
              <w:t>ČR</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2 409 581</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100</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2 404 151</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100</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2 600 877</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100</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2 668 741</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100</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2 774 601</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sz w:val="20"/>
                <w:szCs w:val="20"/>
              </w:rPr>
            </w:pPr>
            <w:r w:rsidRPr="008234D7">
              <w:rPr>
                <w:rFonts w:asciiTheme="minorHAnsi" w:hAnsiTheme="minorHAnsi" w:cs="Times New Roman"/>
                <w:b/>
                <w:sz w:val="20"/>
                <w:szCs w:val="20"/>
              </w:rPr>
              <w:t>100</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Praha</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1 254 709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52,1</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1 256 790</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52,3</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1 385 348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53,3</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1 426 205</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53,4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1 512 015</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54,5</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Středočeský</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247 637</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10,3</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254 732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10,6</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303 444</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11,7</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324 879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12,2</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330 060</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11,9</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 xml:space="preserve">Jihočeský </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84 589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3,5</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88 922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3,7</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88 070</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89 902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91 342</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3,3</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 xml:space="preserve">Plzeňský </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74 924</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3,1</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74 407</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3,1</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72 766</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2,8</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68 473</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2,6</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91 157</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3,3</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b/>
                <w:bCs/>
                <w:sz w:val="20"/>
                <w:szCs w:val="20"/>
              </w:rPr>
            </w:pPr>
            <w:r w:rsidRPr="008234D7">
              <w:rPr>
                <w:rFonts w:asciiTheme="minorHAnsi" w:hAnsiTheme="minorHAnsi" w:cs="Times New Roman"/>
                <w:b/>
                <w:bCs/>
                <w:sz w:val="20"/>
                <w:szCs w:val="20"/>
              </w:rPr>
              <w:t xml:space="preserve">Karlovarský </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20 981</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0,9</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19 686</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0,8</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15 806</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0,6</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19 718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0,7</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21 753</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b/>
                <w:bCs/>
                <w:sz w:val="20"/>
                <w:szCs w:val="20"/>
              </w:rPr>
            </w:pPr>
            <w:r w:rsidRPr="008234D7">
              <w:rPr>
                <w:rFonts w:asciiTheme="minorHAnsi" w:hAnsiTheme="minorHAnsi" w:cs="Times New Roman"/>
                <w:b/>
                <w:bCs/>
                <w:sz w:val="20"/>
                <w:szCs w:val="20"/>
              </w:rPr>
              <w:t>0,8</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 xml:space="preserve">Ústecký </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104 276</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4,3</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87 118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3,6</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83 669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3,2</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90 012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82 633</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3,0</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 xml:space="preserve">Liberecký </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62 353</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2,6</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58 615</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61 282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63 255</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59 296</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2,1</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Králové-hradecký</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48 789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2,0</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47 620</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2,0</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54 405</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2,1</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52 048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2,0</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53 339</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1,9</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Pardubický</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56 233</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2,3</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52 943</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2,2</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49 814</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1,9</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35 204</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1,3</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40 324</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1,5</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Vysočina</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52 540</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2,2</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49 794</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2,1</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50 479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1,9</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50 659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1,9</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52 167</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1,9</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Jihomo-ravský</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156 285</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6,5</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159 613</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6,6</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167 659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6,4</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183 628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6,9</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156 919</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5,7</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Olomoucký</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30 469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1,3</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31 022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1,3</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32 379</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1,2</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34 748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1,3</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39 552</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1,4</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Zlínský</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48 598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2,0</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49 868</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2,1</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49 134</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1,9</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51 412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1,9</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54 792</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2,0</w:t>
            </w:r>
          </w:p>
        </w:tc>
      </w:tr>
      <w:tr w:rsidR="00151586" w:rsidRPr="008234D7" w:rsidTr="000562C0">
        <w:trPr>
          <w:trHeight w:val="302"/>
        </w:trPr>
        <w:tc>
          <w:tcPr>
            <w:tcW w:w="1160" w:type="dxa"/>
            <w:tcBorders>
              <w:top w:val="nil"/>
              <w:left w:val="single" w:sz="4" w:space="0" w:color="auto"/>
              <w:bottom w:val="single" w:sz="4" w:space="0" w:color="auto"/>
              <w:right w:val="single" w:sz="4" w:space="0" w:color="auto"/>
            </w:tcBorders>
            <w:shd w:val="clear" w:color="auto" w:fill="auto"/>
            <w:vAlign w:val="center"/>
            <w:hideMark/>
          </w:tcPr>
          <w:p w:rsidR="00151586" w:rsidRPr="008234D7" w:rsidRDefault="00151586" w:rsidP="002C40B2">
            <w:pPr>
              <w:spacing w:after="0"/>
              <w:rPr>
                <w:rFonts w:asciiTheme="minorHAnsi" w:hAnsiTheme="minorHAnsi" w:cs="Times New Roman"/>
                <w:sz w:val="20"/>
                <w:szCs w:val="20"/>
              </w:rPr>
            </w:pPr>
            <w:r w:rsidRPr="008234D7">
              <w:rPr>
                <w:rFonts w:asciiTheme="minorHAnsi" w:hAnsiTheme="minorHAnsi" w:cs="Times New Roman"/>
                <w:sz w:val="20"/>
                <w:szCs w:val="20"/>
              </w:rPr>
              <w:t>Moravsko-slezský</w:t>
            </w:r>
          </w:p>
        </w:tc>
        <w:tc>
          <w:tcPr>
            <w:tcW w:w="1020"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167 200</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6,9</w:t>
            </w:r>
          </w:p>
        </w:tc>
        <w:tc>
          <w:tcPr>
            <w:tcW w:w="116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173 021</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7,2</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186 622</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7,2</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178 596</w:t>
            </w:r>
          </w:p>
        </w:tc>
        <w:tc>
          <w:tcPr>
            <w:tcW w:w="583"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6,7</w:t>
            </w:r>
          </w:p>
        </w:tc>
        <w:tc>
          <w:tcPr>
            <w:tcW w:w="1019"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189 252</w:t>
            </w:r>
          </w:p>
        </w:tc>
        <w:tc>
          <w:tcPr>
            <w:tcW w:w="575" w:type="dxa"/>
            <w:tcBorders>
              <w:top w:val="nil"/>
              <w:left w:val="nil"/>
              <w:bottom w:val="single" w:sz="4" w:space="0" w:color="auto"/>
              <w:right w:val="single" w:sz="4" w:space="0" w:color="auto"/>
            </w:tcBorders>
            <w:shd w:val="clear" w:color="auto" w:fill="auto"/>
            <w:vAlign w:val="bottom"/>
            <w:hideMark/>
          </w:tcPr>
          <w:p w:rsidR="00151586" w:rsidRPr="008234D7" w:rsidRDefault="00151586" w:rsidP="002C40B2">
            <w:pPr>
              <w:spacing w:after="0"/>
              <w:jc w:val="center"/>
              <w:rPr>
                <w:rFonts w:asciiTheme="minorHAnsi" w:hAnsiTheme="minorHAnsi" w:cs="Times New Roman"/>
                <w:sz w:val="20"/>
                <w:szCs w:val="20"/>
              </w:rPr>
            </w:pPr>
            <w:r w:rsidRPr="008234D7">
              <w:rPr>
                <w:rFonts w:asciiTheme="minorHAnsi" w:hAnsiTheme="minorHAnsi" w:cs="Times New Roman"/>
                <w:sz w:val="20"/>
                <w:szCs w:val="20"/>
              </w:rPr>
              <w:t>6,8</w:t>
            </w:r>
          </w:p>
        </w:tc>
      </w:tr>
    </w:tbl>
    <w:p w:rsidR="00151586" w:rsidRPr="004E0D65" w:rsidRDefault="00151586" w:rsidP="002C40B2">
      <w:pPr>
        <w:spacing w:before="120"/>
        <w:rPr>
          <w:rStyle w:val="Zdraznnjemn"/>
          <w:rFonts w:eastAsiaTheme="minorHAnsi"/>
        </w:rPr>
      </w:pPr>
      <w:r w:rsidRPr="004E0D65">
        <w:rPr>
          <w:rStyle w:val="Zdraznnjemn"/>
          <w:rFonts w:eastAsiaTheme="minorHAnsi"/>
        </w:rPr>
        <w:t>Zdroj: ČNB</w:t>
      </w:r>
      <w:r w:rsidR="004E0D65" w:rsidRPr="004E0D65">
        <w:rPr>
          <w:rStyle w:val="Zdraznnjemn"/>
          <w:rFonts w:eastAsiaTheme="minorHAnsi"/>
        </w:rPr>
        <w:t xml:space="preserve"> -</w:t>
      </w:r>
      <w:r w:rsidRPr="004E0D65">
        <w:rPr>
          <w:rStyle w:val="Zdraznnjemn"/>
          <w:rFonts w:eastAsiaTheme="minorHAnsi"/>
        </w:rPr>
        <w:t xml:space="preserve"> Přímé zahraniční investice, vlastní výpočty</w:t>
      </w:r>
    </w:p>
    <w:p w:rsidR="00151586" w:rsidRPr="00F55029" w:rsidRDefault="00151586" w:rsidP="002C40B2">
      <w:pPr>
        <w:rPr>
          <w:rFonts w:cs="Times New Roman"/>
        </w:rPr>
      </w:pPr>
      <w:r w:rsidRPr="00AE46CF">
        <w:rPr>
          <w:rStyle w:val="Siln"/>
          <w:rFonts w:eastAsia="Calibri"/>
          <w:b w:val="0"/>
        </w:rPr>
        <w:lastRenderedPageBreak/>
        <w:t xml:space="preserve">Údaje o PZI </w:t>
      </w:r>
      <w:r>
        <w:rPr>
          <w:rStyle w:val="Siln"/>
          <w:rFonts w:eastAsia="Calibri"/>
          <w:b w:val="0"/>
        </w:rPr>
        <w:t>v tabulce zachycují celkovou výši zahraničních</w:t>
      </w:r>
      <w:r w:rsidRPr="00AE46CF">
        <w:rPr>
          <w:rStyle w:val="Siln"/>
          <w:rFonts w:eastAsia="Calibri"/>
          <w:b w:val="0"/>
        </w:rPr>
        <w:t xml:space="preserve"> investic</w:t>
      </w:r>
      <w:r>
        <w:rPr>
          <w:rStyle w:val="Znakapoznpodarou"/>
          <w:rFonts w:eastAsia="Calibri"/>
        </w:rPr>
        <w:footnoteReference w:id="2"/>
      </w:r>
      <w:r>
        <w:rPr>
          <w:rStyle w:val="Siln"/>
          <w:rFonts w:eastAsia="Calibri"/>
          <w:b w:val="0"/>
        </w:rPr>
        <w:t xml:space="preserve"> v jednotlivých regionech v letech 2010 až 2014</w:t>
      </w:r>
      <w:r w:rsidRPr="00AE46CF">
        <w:rPr>
          <w:rStyle w:val="Siln"/>
          <w:rFonts w:eastAsia="Calibri"/>
          <w:b w:val="0"/>
        </w:rPr>
        <w:t>.</w:t>
      </w:r>
      <w:r>
        <w:t xml:space="preserve"> </w:t>
      </w:r>
      <w:r w:rsidRPr="004842DE">
        <w:t>P</w:t>
      </w:r>
      <w:r>
        <w:t xml:space="preserve">ZI se výrazně koncentrují </w:t>
      </w:r>
      <w:r w:rsidRPr="00007D78">
        <w:t>do Prahy, jakožto nejvýznamnějšího ekonomického centra Č</w:t>
      </w:r>
      <w:r w:rsidR="004B0C8E">
        <w:t>R</w:t>
      </w:r>
      <w:r w:rsidRPr="00007D78">
        <w:t xml:space="preserve">. Její podíl posiluje zejména to, že </w:t>
      </w:r>
      <w:r>
        <w:t xml:space="preserve">v roce 2014 </w:t>
      </w:r>
      <w:r w:rsidRPr="00007D78">
        <w:t>přes 25 % zahraničního kapitálu směř</w:t>
      </w:r>
      <w:r>
        <w:t>ovalo</w:t>
      </w:r>
      <w:r w:rsidRPr="00007D78">
        <w:t xml:space="preserve"> do odvětví peněžnictví a pojišťovnictví a odvětví nemovitostí a služeb pro podniky, které se z pohledu regionální diferenciace z mnoha důvodů koncentrují do Prahy. Teritoriální členění PZI sledované ČNB navíc vychází ze sídla těchto společností, které je často v Praze, ale výrobní</w:t>
      </w:r>
      <w:r>
        <w:t xml:space="preserve"> aktivity jsou realizovány v jiných částech ČR. </w:t>
      </w:r>
      <w:r>
        <w:rPr>
          <w:rStyle w:val="Siln"/>
          <w:rFonts w:eastAsia="Calibri"/>
          <w:b w:val="0"/>
        </w:rPr>
        <w:t xml:space="preserve">Vyjma Prahy je vysoký podíl PZI rovněž ve Středočeském kraji. </w:t>
      </w:r>
      <w:r w:rsidRPr="009D7348">
        <w:rPr>
          <w:rStyle w:val="Siln"/>
          <w:rFonts w:eastAsia="Calibri"/>
        </w:rPr>
        <w:t>P</w:t>
      </w:r>
      <w:r>
        <w:rPr>
          <w:b/>
        </w:rPr>
        <w:t xml:space="preserve">ozice Karlovarského kraje je v porovnání s ostatními českými regiony velmi špatná. Příliv PZI dosahuje nízkých hodnot a kraj se dlouhodobě nachází na posledním místě v celkovém objemu PZI. </w:t>
      </w:r>
      <w:r>
        <w:rPr>
          <w:rStyle w:val="Siln"/>
          <w:rFonts w:eastAsia="Calibri"/>
        </w:rPr>
        <w:t>Z</w:t>
      </w:r>
      <w:r w:rsidRPr="00AE46CF">
        <w:rPr>
          <w:rStyle w:val="Siln"/>
          <w:rFonts w:eastAsia="Calibri"/>
        </w:rPr>
        <w:t>a sledované období 20</w:t>
      </w:r>
      <w:r>
        <w:rPr>
          <w:rStyle w:val="Siln"/>
          <w:rFonts w:eastAsia="Calibri"/>
        </w:rPr>
        <w:t>1</w:t>
      </w:r>
      <w:r w:rsidRPr="00AE46CF">
        <w:rPr>
          <w:rStyle w:val="Siln"/>
          <w:rFonts w:eastAsia="Calibri"/>
        </w:rPr>
        <w:t>0</w:t>
      </w:r>
      <w:r w:rsidR="004B0C8E">
        <w:rPr>
          <w:rStyle w:val="Siln"/>
          <w:rFonts w:eastAsia="Calibri"/>
        </w:rPr>
        <w:t xml:space="preserve"> </w:t>
      </w:r>
      <w:r w:rsidRPr="00AE46CF">
        <w:rPr>
          <w:rStyle w:val="Siln"/>
          <w:rFonts w:eastAsia="Calibri"/>
        </w:rPr>
        <w:t>-</w:t>
      </w:r>
      <w:r w:rsidR="004B0C8E">
        <w:rPr>
          <w:rStyle w:val="Siln"/>
          <w:rFonts w:eastAsia="Calibri"/>
        </w:rPr>
        <w:t xml:space="preserve"> </w:t>
      </w:r>
      <w:r w:rsidRPr="00AE46CF">
        <w:rPr>
          <w:rStyle w:val="Siln"/>
          <w:rFonts w:eastAsia="Calibri"/>
        </w:rPr>
        <w:t>20</w:t>
      </w:r>
      <w:r>
        <w:rPr>
          <w:rStyle w:val="Siln"/>
          <w:rFonts w:eastAsia="Calibri"/>
        </w:rPr>
        <w:t>14</w:t>
      </w:r>
      <w:r w:rsidRPr="00AE46CF">
        <w:rPr>
          <w:rStyle w:val="Siln"/>
          <w:rFonts w:eastAsia="Calibri"/>
        </w:rPr>
        <w:t xml:space="preserve"> zde byl zaznamenán </w:t>
      </w:r>
      <w:r>
        <w:rPr>
          <w:rStyle w:val="Siln"/>
          <w:rFonts w:eastAsia="Calibri"/>
        </w:rPr>
        <w:t>pouze malý</w:t>
      </w:r>
      <w:r w:rsidRPr="00AE46CF">
        <w:rPr>
          <w:rStyle w:val="Siln"/>
          <w:rFonts w:eastAsia="Calibri"/>
        </w:rPr>
        <w:t xml:space="preserve"> absolutní přírůstek PZI</w:t>
      </w:r>
      <w:r>
        <w:rPr>
          <w:rStyle w:val="Siln"/>
          <w:rFonts w:eastAsia="Calibri"/>
          <w:b w:val="0"/>
        </w:rPr>
        <w:t xml:space="preserve">. </w:t>
      </w:r>
      <w:r>
        <w:t xml:space="preserve">Z hlediska struktury PZI v KK investice do základního kapitálu stagnují a roste podíl reinvestovaného zisku. </w:t>
      </w:r>
    </w:p>
    <w:p w:rsidR="00151586" w:rsidRDefault="00151586" w:rsidP="002C40B2">
      <w:r>
        <w:t>Pokud sled</w:t>
      </w:r>
      <w:r w:rsidR="001B6290">
        <w:t>ujeme stav PZI na obyvatele (</w:t>
      </w:r>
      <w:r w:rsidR="004F2330">
        <w:fldChar w:fldCharType="begin"/>
      </w:r>
      <w:r w:rsidR="004F2330">
        <w:instrText xml:space="preserve"> REF _Ref465334357 \h  \* MERGEFORMAT </w:instrText>
      </w:r>
      <w:r w:rsidR="004F2330">
        <w:fldChar w:fldCharType="separate"/>
      </w:r>
      <w:r w:rsidR="00DA707D">
        <w:t>g</w:t>
      </w:r>
      <w:r w:rsidR="00CB29BD" w:rsidRPr="00007D78">
        <w:t xml:space="preserve">raf </w:t>
      </w:r>
      <w:r w:rsidR="00CB29BD">
        <w:rPr>
          <w:noProof/>
        </w:rPr>
        <w:t>4</w:t>
      </w:r>
      <w:r w:rsidR="00CB29BD">
        <w:t>.1</w:t>
      </w:r>
      <w:r w:rsidR="004F2330">
        <w:fldChar w:fldCharType="end"/>
      </w:r>
      <w:r>
        <w:t xml:space="preserve">), </w:t>
      </w:r>
      <w:r>
        <w:rPr>
          <w:rStyle w:val="Siln"/>
          <w:rFonts w:eastAsia="Calibri"/>
          <w:b w:val="0"/>
        </w:rPr>
        <w:t>nachází se KK</w:t>
      </w:r>
      <w:r w:rsidRPr="00AE46CF">
        <w:rPr>
          <w:rStyle w:val="Siln"/>
          <w:rFonts w:eastAsia="Calibri"/>
          <w:b w:val="0"/>
        </w:rPr>
        <w:t xml:space="preserve"> </w:t>
      </w:r>
      <w:r>
        <w:rPr>
          <w:rStyle w:val="Siln"/>
          <w:rFonts w:eastAsia="Calibri"/>
          <w:b w:val="0"/>
        </w:rPr>
        <w:t>na předposledním místě, před Olomouckým krajem. P</w:t>
      </w:r>
      <w:r>
        <w:t xml:space="preserve">ozice Karlovarského kraje je tedy poněkud lepší, ovšem v porovnání se sousedním Ústeckým a Plzeňským krajem stále zaostává. V členění PZI na obyvatele ještě více vynikne dominance Prahy oproti ostatním regionům. </w:t>
      </w:r>
    </w:p>
    <w:p w:rsidR="00151586" w:rsidRPr="004E0D65" w:rsidRDefault="00151586" w:rsidP="000B3B9C">
      <w:pPr>
        <w:pStyle w:val="Titulek"/>
      </w:pPr>
      <w:bookmarkStart w:id="59" w:name="_Ref465334357"/>
      <w:bookmarkStart w:id="60" w:name="_Toc488234340"/>
      <w:r w:rsidRPr="00007D78">
        <w:t xml:space="preserve">Graf </w:t>
      </w:r>
      <w:r w:rsidR="004F2330">
        <w:fldChar w:fldCharType="begin"/>
      </w:r>
      <w:r w:rsidR="004F2330">
        <w:instrText xml:space="preserve"> STYLEREF 1 \s </w:instrText>
      </w:r>
      <w:r w:rsidR="004F2330">
        <w:fldChar w:fldCharType="separate"/>
      </w:r>
      <w:r w:rsidR="00CB29BD">
        <w:t>4</w:t>
      </w:r>
      <w:r w:rsidR="004F2330">
        <w:fldChar w:fldCharType="end"/>
      </w:r>
      <w:r w:rsidR="00FD378B">
        <w:t>.</w:t>
      </w:r>
      <w:r w:rsidR="004F2330">
        <w:fldChar w:fldCharType="begin"/>
      </w:r>
      <w:r w:rsidR="004F2330">
        <w:instrText xml:space="preserve"> SEQ Graf \* ARABIC \s 1 </w:instrText>
      </w:r>
      <w:r w:rsidR="004F2330">
        <w:fldChar w:fldCharType="separate"/>
      </w:r>
      <w:r w:rsidR="00CB29BD">
        <w:t>1</w:t>
      </w:r>
      <w:r w:rsidR="004F2330">
        <w:fldChar w:fldCharType="end"/>
      </w:r>
      <w:bookmarkEnd w:id="59"/>
      <w:r w:rsidRPr="00007D78">
        <w:t>: Stav PZI na obyvatele v krajích ČR v roce 2014 (stav k 31.</w:t>
      </w:r>
      <w:r>
        <w:t xml:space="preserve"> </w:t>
      </w:r>
      <w:r w:rsidRPr="00007D78">
        <w:t>12. daného roku)</w:t>
      </w:r>
      <w:bookmarkEnd w:id="60"/>
    </w:p>
    <w:p w:rsidR="00151586" w:rsidRDefault="00151586" w:rsidP="002C40B2">
      <w:pPr>
        <w:spacing w:before="120"/>
        <w:ind w:right="323" w:hanging="11"/>
        <w:jc w:val="left"/>
        <w:rPr>
          <w:rStyle w:val="Odkazjemn"/>
          <w:sz w:val="20"/>
          <w:szCs w:val="20"/>
        </w:rPr>
      </w:pPr>
      <w:r>
        <w:rPr>
          <w:noProof/>
        </w:rPr>
        <w:drawing>
          <wp:inline distT="0" distB="0" distL="0" distR="0">
            <wp:extent cx="5657850" cy="27432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1586" w:rsidRPr="004E0D65" w:rsidRDefault="00151586" w:rsidP="002C40B2">
      <w:pPr>
        <w:spacing w:before="120"/>
        <w:rPr>
          <w:rStyle w:val="Zdraznnjemn"/>
          <w:rFonts w:eastAsiaTheme="minorHAnsi"/>
        </w:rPr>
      </w:pPr>
      <w:r w:rsidRPr="004E0D65">
        <w:rPr>
          <w:rStyle w:val="Zdraznnjemn"/>
          <w:rFonts w:eastAsiaTheme="minorHAnsi"/>
        </w:rPr>
        <w:t>Zdroj: ČNB, vlastní výpočty</w:t>
      </w:r>
    </w:p>
    <w:p w:rsidR="00151586" w:rsidRDefault="00151586" w:rsidP="002C40B2">
      <w:r>
        <w:t xml:space="preserve">Pro podrobnější hodnocení dopadu PZI na regionální ekonomiku bychom však potřebovali údaje o sektorové struktuře jejich směřování nebo případně zemi původu. Tyto informace však ČNB v regionálním členění nenabízí. </w:t>
      </w:r>
    </w:p>
    <w:p w:rsidR="00481437" w:rsidRDefault="00151586" w:rsidP="002C40B2">
      <w:r>
        <w:t>E</w:t>
      </w:r>
      <w:r w:rsidRPr="00302B38">
        <w:t xml:space="preserve">konomika kraje </w:t>
      </w:r>
      <w:r>
        <w:t xml:space="preserve">rostla </w:t>
      </w:r>
      <w:r w:rsidRPr="00302B38">
        <w:t xml:space="preserve">během 90. let </w:t>
      </w:r>
      <w:r>
        <w:t xml:space="preserve">díky příchodu zahraničních investorů, pro něž byl KK atraktivní blízkostí Německa, dobrou průmyslovou tradicí a nízkou cenou pracovní síly. Těmito investory byly většinou menší až střední firmy z Německa, které se orientovaly především na výrobní a montážní aktivity s nízkou přidanou hodnotou a malou inovační a technologickou náročností. </w:t>
      </w:r>
      <w:r w:rsidRPr="00302B38">
        <w:t>Díky</w:t>
      </w:r>
      <w:r>
        <w:t xml:space="preserve"> struktuře odvětví,</w:t>
      </w:r>
      <w:r w:rsidRPr="00302B38">
        <w:t xml:space="preserve"> nedostatku ploch připravených pro nové investory (tzv. greenfields) a nízké vzdělanostní a </w:t>
      </w:r>
      <w:r w:rsidRPr="00302B38">
        <w:lastRenderedPageBreak/>
        <w:t xml:space="preserve">kvalifikační úrovni obyvatelstva se kraji téměř vyhnula druhá vlna PZI směřujících do ČR po roce 2000, která byla podnětem ekonomického růstu většiny regionů mezi roky 2003 a 2007. </w:t>
      </w:r>
      <w:r w:rsidRPr="004E0D65">
        <w:rPr>
          <w:b/>
        </w:rPr>
        <w:t xml:space="preserve">Příchod nových investorů a možnosti rozvoje nových ekonomických aktivit v KK omezuje nedostatek volných průmyslových ploch pro podnikání, špatná dopravní dostupnost (chybějící napojení na českou či německou dálniční síť), periferní </w:t>
      </w:r>
      <w:r w:rsidRPr="004E0D65">
        <w:rPr>
          <w:b/>
          <w:bCs/>
        </w:rPr>
        <w:t>poloha kraje a jeho malá populační velikost s absencí silného ekonomického centra</w:t>
      </w:r>
      <w:r w:rsidRPr="004E0D65">
        <w:rPr>
          <w:b/>
        </w:rPr>
        <w:t xml:space="preserve">. </w:t>
      </w:r>
    </w:p>
    <w:p w:rsidR="00151586" w:rsidRPr="004E0D65" w:rsidRDefault="00151586" w:rsidP="002C40B2">
      <w:pPr>
        <w:pStyle w:val="Nadpis2"/>
      </w:pPr>
      <w:r w:rsidRPr="004E0D65">
        <w:t xml:space="preserve">Vývoz </w:t>
      </w:r>
    </w:p>
    <w:p w:rsidR="00151586" w:rsidRDefault="00151586" w:rsidP="002C40B2">
      <w:r>
        <w:t xml:space="preserve">Dalším vhodným ukazatelem internacionalizace hospodářství kraje je úroveň jeho vývozu. Nejen že ukazuje na provázanost regionu se zahraničím, ale úspěšnost na zahraničních, především vyspělých, trzích zároveň indikuje schopnost vyrábět kvalitní produkty s vysokou konkurenceschopností. Bohužel jsou údaje o vývozu dle jednotlivých krajů dostupné pouze do roku 2010. </w:t>
      </w:r>
    </w:p>
    <w:p w:rsidR="00151586" w:rsidRDefault="00151586" w:rsidP="000B3B9C">
      <w:pPr>
        <w:pStyle w:val="Titulek"/>
      </w:pPr>
      <w:bookmarkStart w:id="61" w:name="_Ref465334330"/>
      <w:bookmarkStart w:id="62" w:name="_Toc488234341"/>
      <w:r w:rsidRPr="004E0D65">
        <w:t xml:space="preserve">Graf </w:t>
      </w:r>
      <w:r w:rsidR="004F2330">
        <w:fldChar w:fldCharType="begin"/>
      </w:r>
      <w:r w:rsidR="004F2330">
        <w:instrText xml:space="preserve"> STYLEREF 1 \s </w:instrText>
      </w:r>
      <w:r w:rsidR="004F2330">
        <w:fldChar w:fldCharType="separate"/>
      </w:r>
      <w:r w:rsidR="00CB29BD">
        <w:t>4</w:t>
      </w:r>
      <w:r w:rsidR="004F2330">
        <w:fldChar w:fldCharType="end"/>
      </w:r>
      <w:r w:rsidR="00FD378B">
        <w:t>.</w:t>
      </w:r>
      <w:r w:rsidR="004F2330">
        <w:fldChar w:fldCharType="begin"/>
      </w:r>
      <w:r w:rsidR="004F2330">
        <w:instrText xml:space="preserve"> SEQ Graf \* ARABIC \s 1 </w:instrText>
      </w:r>
      <w:r w:rsidR="004F2330">
        <w:fldChar w:fldCharType="separate"/>
      </w:r>
      <w:r w:rsidR="00CB29BD">
        <w:t>2</w:t>
      </w:r>
      <w:r w:rsidR="004F2330">
        <w:fldChar w:fldCharType="end"/>
      </w:r>
      <w:bookmarkEnd w:id="61"/>
      <w:r w:rsidRPr="004E0D65">
        <w:t>: Podíl vývozu v krajích na celkovém vývozu ČR v letech 2003 - 2010</w:t>
      </w:r>
      <w:bookmarkEnd w:id="62"/>
      <w:r w:rsidRPr="00007D78">
        <w:t xml:space="preserve"> </w:t>
      </w:r>
    </w:p>
    <w:p w:rsidR="00151586" w:rsidRPr="006D4F55" w:rsidRDefault="00151586" w:rsidP="002C40B2">
      <w:pPr>
        <w:ind w:left="11" w:hanging="11"/>
        <w:jc w:val="left"/>
      </w:pPr>
      <w:r w:rsidRPr="006D4F55">
        <w:rPr>
          <w:noProof/>
        </w:rPr>
        <w:drawing>
          <wp:inline distT="0" distB="0" distL="0" distR="0">
            <wp:extent cx="5760720" cy="2544445"/>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544445"/>
                    </a:xfrm>
                    <a:prstGeom prst="rect">
                      <a:avLst/>
                    </a:prstGeom>
                  </pic:spPr>
                </pic:pic>
              </a:graphicData>
            </a:graphic>
          </wp:inline>
        </w:drawing>
      </w:r>
    </w:p>
    <w:p w:rsidR="00151586" w:rsidRPr="004E0D65" w:rsidRDefault="00151586" w:rsidP="002C40B2">
      <w:pPr>
        <w:spacing w:before="120"/>
        <w:rPr>
          <w:rStyle w:val="Zdraznnjemn"/>
          <w:rFonts w:eastAsiaTheme="minorHAnsi"/>
        </w:rPr>
      </w:pPr>
      <w:r w:rsidRPr="004E0D65">
        <w:rPr>
          <w:rStyle w:val="Zdraznnjemn"/>
          <w:rFonts w:eastAsiaTheme="minorHAnsi"/>
        </w:rPr>
        <w:t xml:space="preserve">Zdroj: ČSÚ </w:t>
      </w:r>
      <w:r w:rsidR="00906BA1">
        <w:rPr>
          <w:rStyle w:val="Zdraznnjemn"/>
          <w:rFonts w:eastAsiaTheme="minorHAnsi"/>
        </w:rPr>
        <w:t xml:space="preserve">- </w:t>
      </w:r>
      <w:r w:rsidR="008B1EE8" w:rsidRPr="008B1EE8">
        <w:rPr>
          <w:rStyle w:val="Zdraznnjemn"/>
          <w:rFonts w:eastAsiaTheme="minorHAnsi"/>
        </w:rPr>
        <w:t>Vývoz zboží jednotlivých krajů</w:t>
      </w:r>
      <w:r w:rsidR="00906BA1">
        <w:rPr>
          <w:rStyle w:val="Zdraznnjemn"/>
          <w:rFonts w:eastAsiaTheme="minorHAnsi"/>
        </w:rPr>
        <w:t xml:space="preserve"> 2003, 2006, 2010</w:t>
      </w:r>
    </w:p>
    <w:p w:rsidR="008C14C4" w:rsidRDefault="004F2330" w:rsidP="002C40B2">
      <w:r>
        <w:fldChar w:fldCharType="begin"/>
      </w:r>
      <w:r>
        <w:instrText xml:space="preserve"> REF _Ref465334330 \h  \* MERGEFORMAT </w:instrText>
      </w:r>
      <w:r>
        <w:fldChar w:fldCharType="separate"/>
      </w:r>
      <w:r w:rsidR="00CB29BD" w:rsidRPr="004E0D65">
        <w:t xml:space="preserve">Graf </w:t>
      </w:r>
      <w:r w:rsidR="00CB29BD">
        <w:t>4.2</w:t>
      </w:r>
      <w:r>
        <w:fldChar w:fldCharType="end"/>
      </w:r>
      <w:r w:rsidR="00151586">
        <w:t xml:space="preserve"> </w:t>
      </w:r>
      <w:r w:rsidR="00151586" w:rsidRPr="00B0649C">
        <w:t>i</w:t>
      </w:r>
      <w:r w:rsidR="00151586">
        <w:t>lustruje, jak se jednotlivé kraje podílí na celkovém vývozu ze země a jak se jejich pozice vyvíjí v čase. Hodnoty jasně oddělují úspěšné kraje, které se mezi roky 2003 a 2010 výrazně exportně orientovaly a jejichž podíl na celkovém exportu z ČR se zvýšil (S</w:t>
      </w:r>
      <w:r w:rsidR="008C14C4">
        <w:t>tředočeský, Moravskoslezský, Plzeňský</w:t>
      </w:r>
      <w:r w:rsidR="00151586">
        <w:t>, P</w:t>
      </w:r>
      <w:r w:rsidR="008C14C4">
        <w:t>ardubický</w:t>
      </w:r>
      <w:r w:rsidR="00151586">
        <w:t xml:space="preserve">). </w:t>
      </w:r>
      <w:r w:rsidR="00151586">
        <w:rPr>
          <w:b/>
        </w:rPr>
        <w:t>Naopak podíl Karlovarského kraje na celkovém vývozu z ČR se nadále snižuje a dosahuje nejnižších hodnot ve srovnání s ostatními regiony</w:t>
      </w:r>
      <w:r w:rsidR="00151586">
        <w:t>. Nelze si nepovšimnout jisté analogie mezi objemem PZI v krajích (</w:t>
      </w:r>
      <w:r>
        <w:fldChar w:fldCharType="begin"/>
      </w:r>
      <w:r>
        <w:instrText xml:space="preserve"> REF _Ref465334357 \h  \* MERGEFORMAT </w:instrText>
      </w:r>
      <w:r>
        <w:fldChar w:fldCharType="separate"/>
      </w:r>
      <w:r w:rsidR="00DA707D">
        <w:t>g</w:t>
      </w:r>
      <w:r w:rsidR="00CB29BD" w:rsidRPr="00007D78">
        <w:t xml:space="preserve">raf </w:t>
      </w:r>
      <w:r w:rsidR="00CB29BD">
        <w:rPr>
          <w:noProof/>
        </w:rPr>
        <w:t>4</w:t>
      </w:r>
      <w:r w:rsidR="00CB29BD">
        <w:t>.1</w:t>
      </w:r>
      <w:r>
        <w:fldChar w:fldCharType="end"/>
      </w:r>
      <w:r w:rsidR="00151586">
        <w:t>) a jejich podílem na vývozu (</w:t>
      </w:r>
      <w:r>
        <w:fldChar w:fldCharType="begin"/>
      </w:r>
      <w:r>
        <w:instrText xml:space="preserve"> REF _Ref465334330 \h  \* MERGEFORMAT </w:instrText>
      </w:r>
      <w:r>
        <w:fldChar w:fldCharType="separate"/>
      </w:r>
      <w:r w:rsidR="00DA707D">
        <w:t>g</w:t>
      </w:r>
      <w:r w:rsidR="00CB29BD" w:rsidRPr="004E0D65">
        <w:t xml:space="preserve">raf </w:t>
      </w:r>
      <w:r w:rsidR="00CB29BD">
        <w:t>4.2</w:t>
      </w:r>
      <w:r>
        <w:fldChar w:fldCharType="end"/>
      </w:r>
      <w:r w:rsidR="00151586">
        <w:t xml:space="preserve">). S výjimkou Prahy, kraje, které mají vyšší úroveň PZI ve své ekonomice, vykazují i vyšší úroveň exportu a naopak. </w:t>
      </w:r>
    </w:p>
    <w:p w:rsidR="008C14C4" w:rsidRDefault="008C14C4" w:rsidP="002C40B2">
      <w:pPr>
        <w:spacing w:after="160"/>
        <w:jc w:val="left"/>
      </w:pPr>
      <w:r>
        <w:br w:type="page"/>
      </w:r>
    </w:p>
    <w:p w:rsidR="008C14C4" w:rsidRPr="00DC7CC8" w:rsidRDefault="00151586" w:rsidP="000B3B9C">
      <w:pPr>
        <w:pStyle w:val="Titulek"/>
      </w:pPr>
      <w:bookmarkStart w:id="63" w:name="_Ref468353002"/>
      <w:bookmarkStart w:id="64" w:name="_Toc488234342"/>
      <w:r w:rsidRPr="004E0D65">
        <w:lastRenderedPageBreak/>
        <w:t xml:space="preserve">Graf </w:t>
      </w:r>
      <w:r w:rsidR="004F2330">
        <w:fldChar w:fldCharType="begin"/>
      </w:r>
      <w:r w:rsidR="004F2330">
        <w:instrText xml:space="preserve"> STYLEREF 1 \s </w:instrText>
      </w:r>
      <w:r w:rsidR="004F2330">
        <w:fldChar w:fldCharType="separate"/>
      </w:r>
      <w:r w:rsidR="00CB29BD">
        <w:t>4</w:t>
      </w:r>
      <w:r w:rsidR="004F2330">
        <w:fldChar w:fldCharType="end"/>
      </w:r>
      <w:r w:rsidR="00FD378B">
        <w:t>.</w:t>
      </w:r>
      <w:r w:rsidR="004F2330">
        <w:fldChar w:fldCharType="begin"/>
      </w:r>
      <w:r w:rsidR="004F2330">
        <w:instrText xml:space="preserve"> SEQ Graf \* ARABIC \s 1 </w:instrText>
      </w:r>
      <w:r w:rsidR="004F2330">
        <w:fldChar w:fldCharType="separate"/>
      </w:r>
      <w:r w:rsidR="00CB29BD">
        <w:t>3</w:t>
      </w:r>
      <w:r w:rsidR="004F2330">
        <w:fldChar w:fldCharType="end"/>
      </w:r>
      <w:bookmarkEnd w:id="63"/>
      <w:r w:rsidRPr="004E0D65">
        <w:t xml:space="preserve">: Vývoj vývozu na zaměstnanou osobu v letech 2003 </w:t>
      </w:r>
      <w:r w:rsidR="008C14C4">
        <w:t>–</w:t>
      </w:r>
      <w:r w:rsidRPr="004E0D65">
        <w:t xml:space="preserve"> 2010</w:t>
      </w:r>
      <w:bookmarkEnd w:id="64"/>
    </w:p>
    <w:p w:rsidR="00151586" w:rsidRPr="006D4F55" w:rsidRDefault="00151586" w:rsidP="002C40B2">
      <w:pPr>
        <w:spacing w:after="120"/>
        <w:ind w:left="11" w:hanging="11"/>
        <w:jc w:val="left"/>
      </w:pPr>
      <w:r>
        <w:rPr>
          <w:noProof/>
        </w:rPr>
        <w:drawing>
          <wp:inline distT="0" distB="0" distL="0" distR="0">
            <wp:extent cx="5591175" cy="2752725"/>
            <wp:effectExtent l="0" t="0" r="9525"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1586" w:rsidRPr="004E0D65" w:rsidRDefault="004E0D65" w:rsidP="002C40B2">
      <w:pPr>
        <w:spacing w:before="120"/>
        <w:rPr>
          <w:rStyle w:val="Zdraznnjemn"/>
          <w:rFonts w:eastAsiaTheme="minorHAnsi"/>
        </w:rPr>
      </w:pPr>
      <w:r>
        <w:rPr>
          <w:rStyle w:val="Zdraznnjemn"/>
          <w:rFonts w:eastAsiaTheme="minorHAnsi"/>
        </w:rPr>
        <w:t>Zdroj: ČSÚ -</w:t>
      </w:r>
      <w:r w:rsidR="00151586" w:rsidRPr="004E0D65">
        <w:rPr>
          <w:rStyle w:val="Zdraznnjemn"/>
          <w:rFonts w:eastAsiaTheme="minorHAnsi"/>
        </w:rPr>
        <w:t xml:space="preserve"> Statistika zahraničního obchodu </w:t>
      </w:r>
    </w:p>
    <w:p w:rsidR="00151586" w:rsidRDefault="00151586" w:rsidP="002C40B2">
      <w:r>
        <w:t xml:space="preserve">Vývoz z Karlovarského kraje stagnuje jak v absolutních tak </w:t>
      </w:r>
      <w:r w:rsidR="009733E3">
        <w:t>v</w:t>
      </w:r>
      <w:r>
        <w:t xml:space="preserve"> relativních hodnotách, a to po celé sledované období. Pokud vztáhneme vývoz na zaměstnanou osobu, rozdíly mezi kraji se trochu sníží</w:t>
      </w:r>
      <w:r w:rsidR="008C14C4">
        <w:t xml:space="preserve"> (</w:t>
      </w:r>
      <w:r w:rsidR="004F2330">
        <w:fldChar w:fldCharType="begin"/>
      </w:r>
      <w:r w:rsidR="004F2330">
        <w:instrText xml:space="preserve"> REF _Ref468353002 \h  \* MERGEFORMAT </w:instrText>
      </w:r>
      <w:r w:rsidR="004F2330">
        <w:fldChar w:fldCharType="separate"/>
      </w:r>
      <w:r w:rsidR="00DA707D">
        <w:rPr>
          <w:rFonts w:eastAsia="Calibri"/>
          <w:bCs/>
          <w:szCs w:val="20"/>
          <w:lang w:eastAsia="en-US"/>
        </w:rPr>
        <w:t>g</w:t>
      </w:r>
      <w:r w:rsidR="00CB29BD" w:rsidRPr="00CB29BD">
        <w:rPr>
          <w:rFonts w:eastAsia="Calibri"/>
          <w:bCs/>
          <w:szCs w:val="20"/>
          <w:lang w:eastAsia="en-US"/>
        </w:rPr>
        <w:t>raf 4.3</w:t>
      </w:r>
      <w:r w:rsidR="004F2330">
        <w:fldChar w:fldCharType="end"/>
      </w:r>
      <w:r w:rsidR="008C14C4">
        <w:t>)</w:t>
      </w:r>
      <w:r>
        <w:t>. Karlovarský kraj dosahuje obdobných hodnot jako sousední Ústecký kraj, značně však zaostává za výrazně exportně orientovaným krajem Plzeňským. U všech sledovaných krajů je patrný propad v exportních vý</w:t>
      </w:r>
      <w:r w:rsidR="008C14C4">
        <w:t>konech v turbulentním roce 2009. R</w:t>
      </w:r>
      <w:r>
        <w:t xml:space="preserve">ok 2010 ve většině případů znamená návrat k hodnotám z roku 2008 a nejinak je tomu i v případě kraje Karlovarského. V meziročním srovnání </w:t>
      </w:r>
      <w:r w:rsidR="008C14C4">
        <w:br/>
      </w:r>
      <w:r>
        <w:t xml:space="preserve">2009 - 2010 zde dokonce vzrostl vývoz o 24 %, což je po Pardubickém kraji nejvyšší hodnota. </w:t>
      </w:r>
      <w:r w:rsidR="008C14C4">
        <w:br/>
      </w:r>
      <w:r>
        <w:t xml:space="preserve">Z dlouhodobého pohledu však Karlovarský kraj zaznamenává stagnaci v celkové úrovni exportu. </w:t>
      </w:r>
      <w:r w:rsidR="008C14C4">
        <w:t>To ostatně potvrzují i absolutní čísla týkající se celkové hodnoty vývozu z kraje (</w:t>
      </w:r>
      <w:r w:rsidR="004F2330">
        <w:fldChar w:fldCharType="begin"/>
      </w:r>
      <w:r w:rsidR="004F2330">
        <w:instrText xml:space="preserve"> REF _Ref465336500 \h  \* MERGEFORMAT </w:instrText>
      </w:r>
      <w:r w:rsidR="004F2330">
        <w:fldChar w:fldCharType="separate"/>
      </w:r>
      <w:r w:rsidR="00EB0944">
        <w:t>t</w:t>
      </w:r>
      <w:r w:rsidR="00CB29BD" w:rsidRPr="00E7371D">
        <w:t xml:space="preserve">abulka </w:t>
      </w:r>
      <w:r w:rsidR="00CB29BD">
        <w:rPr>
          <w:noProof/>
        </w:rPr>
        <w:t>4</w:t>
      </w:r>
      <w:r w:rsidR="00CB29BD">
        <w:t>.2</w:t>
      </w:r>
      <w:r w:rsidR="004F2330">
        <w:fldChar w:fldCharType="end"/>
      </w:r>
      <w:r w:rsidR="008C14C4" w:rsidRPr="00DC79E0">
        <w:t>)</w:t>
      </w:r>
      <w:r w:rsidR="008C14C4">
        <w:t>.</w:t>
      </w:r>
    </w:p>
    <w:p w:rsidR="00151586" w:rsidRPr="00E7371D" w:rsidRDefault="00151586" w:rsidP="000B3B9C">
      <w:pPr>
        <w:pStyle w:val="Titulek"/>
      </w:pPr>
      <w:bookmarkStart w:id="65" w:name="_Ref465336500"/>
      <w:bookmarkStart w:id="66" w:name="_Toc488233469"/>
      <w:r w:rsidRPr="00E7371D">
        <w:t xml:space="preserve">Tabulka </w:t>
      </w:r>
      <w:r w:rsidR="008965FE">
        <w:fldChar w:fldCharType="begin"/>
      </w:r>
      <w:r w:rsidR="00B33DFE">
        <w:instrText xml:space="preserve"> STYLEREF 1 \s </w:instrText>
      </w:r>
      <w:r w:rsidR="008965FE">
        <w:fldChar w:fldCharType="separate"/>
      </w:r>
      <w:r w:rsidR="00CB29BD">
        <w:t>4</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65"/>
      <w:r w:rsidRPr="00E7371D">
        <w:t>: Struktura vývozu z Karlovarského kraje v letech 2005</w:t>
      </w:r>
      <w:r w:rsidR="00906BA1">
        <w:t xml:space="preserve"> </w:t>
      </w:r>
      <w:r w:rsidRPr="00E7371D">
        <w:t>-</w:t>
      </w:r>
      <w:r w:rsidR="00906BA1">
        <w:t xml:space="preserve"> </w:t>
      </w:r>
      <w:r w:rsidRPr="00E7371D">
        <w:t>2010 (v mil. Kč a v %)</w:t>
      </w:r>
      <w:bookmarkEnd w:id="66"/>
    </w:p>
    <w:tbl>
      <w:tblPr>
        <w:tblW w:w="5000" w:type="pct"/>
        <w:tblCellMar>
          <w:top w:w="45" w:type="dxa"/>
          <w:right w:w="115" w:type="dxa"/>
        </w:tblCellMar>
        <w:tblLook w:val="04A0" w:firstRow="1" w:lastRow="0" w:firstColumn="1" w:lastColumn="0" w:noHBand="0" w:noVBand="1"/>
      </w:tblPr>
      <w:tblGrid>
        <w:gridCol w:w="2431"/>
        <w:gridCol w:w="1145"/>
        <w:gridCol w:w="1143"/>
        <w:gridCol w:w="1145"/>
        <w:gridCol w:w="1147"/>
        <w:gridCol w:w="1143"/>
        <w:gridCol w:w="1141"/>
      </w:tblGrid>
      <w:tr w:rsidR="00151586" w:rsidRPr="008234D7" w:rsidTr="004B0C8E">
        <w:trPr>
          <w:trHeight w:val="264"/>
        </w:trPr>
        <w:tc>
          <w:tcPr>
            <w:tcW w:w="1307"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2005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b/>
                <w:sz w:val="20"/>
                <w:szCs w:val="20"/>
              </w:rPr>
              <w:t xml:space="preserve">2006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2007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2008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b/>
                <w:sz w:val="20"/>
                <w:szCs w:val="20"/>
              </w:rPr>
              <w:t xml:space="preserve">2009 </w:t>
            </w:r>
          </w:p>
        </w:tc>
        <w:tc>
          <w:tcPr>
            <w:tcW w:w="61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2010 </w:t>
            </w:r>
          </w:p>
        </w:tc>
      </w:tr>
      <w:tr w:rsidR="00151586" w:rsidRPr="008234D7" w:rsidTr="004B0C8E">
        <w:trPr>
          <w:trHeight w:val="266"/>
        </w:trPr>
        <w:tc>
          <w:tcPr>
            <w:tcW w:w="1307"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Země EU 27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45 441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sz w:val="20"/>
                <w:szCs w:val="20"/>
              </w:rPr>
              <w:t xml:space="preserve">47 261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49 055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46 201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sz w:val="20"/>
                <w:szCs w:val="20"/>
              </w:rPr>
              <w:t xml:space="preserve">37 383 </w:t>
            </w:r>
          </w:p>
        </w:tc>
        <w:tc>
          <w:tcPr>
            <w:tcW w:w="61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46 037 </w:t>
            </w:r>
          </w:p>
        </w:tc>
      </w:tr>
      <w:tr w:rsidR="00151586" w:rsidRPr="008234D7" w:rsidTr="004B0C8E">
        <w:trPr>
          <w:trHeight w:val="264"/>
        </w:trPr>
        <w:tc>
          <w:tcPr>
            <w:tcW w:w="1307"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Ostatní země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4 177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sz w:val="20"/>
                <w:szCs w:val="20"/>
              </w:rPr>
              <w:t xml:space="preserve">3 875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4 827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4 560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sz w:val="20"/>
                <w:szCs w:val="20"/>
              </w:rPr>
              <w:t xml:space="preserve">4 149 </w:t>
            </w:r>
          </w:p>
        </w:tc>
        <w:tc>
          <w:tcPr>
            <w:tcW w:w="61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5 570 </w:t>
            </w:r>
          </w:p>
        </w:tc>
      </w:tr>
      <w:tr w:rsidR="00151586" w:rsidRPr="008234D7" w:rsidTr="004B0C8E">
        <w:trPr>
          <w:trHeight w:val="264"/>
        </w:trPr>
        <w:tc>
          <w:tcPr>
            <w:tcW w:w="1307"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Celkem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b/>
                <w:sz w:val="20"/>
                <w:szCs w:val="20"/>
              </w:rPr>
              <w:t xml:space="preserve">49 618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b/>
                <w:sz w:val="20"/>
                <w:szCs w:val="20"/>
              </w:rPr>
              <w:t xml:space="preserve">51 135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b/>
                <w:sz w:val="20"/>
                <w:szCs w:val="20"/>
              </w:rPr>
              <w:t xml:space="preserve">53 882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b/>
                <w:sz w:val="20"/>
                <w:szCs w:val="20"/>
              </w:rPr>
              <w:t xml:space="preserve">50 761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b/>
                <w:sz w:val="20"/>
                <w:szCs w:val="20"/>
              </w:rPr>
              <w:t xml:space="preserve">41 532 </w:t>
            </w:r>
          </w:p>
        </w:tc>
        <w:tc>
          <w:tcPr>
            <w:tcW w:w="61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b/>
                <w:sz w:val="20"/>
                <w:szCs w:val="20"/>
              </w:rPr>
              <w:t xml:space="preserve">51 607 </w:t>
            </w:r>
          </w:p>
        </w:tc>
      </w:tr>
      <w:tr w:rsidR="00151586" w:rsidRPr="008234D7" w:rsidTr="008234D7">
        <w:trPr>
          <w:cantSplit/>
          <w:trHeight w:val="227"/>
        </w:trPr>
        <w:tc>
          <w:tcPr>
            <w:tcW w:w="1307"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  </w:t>
            </w:r>
          </w:p>
        </w:tc>
        <w:tc>
          <w:tcPr>
            <w:tcW w:w="616" w:type="pct"/>
            <w:tcBorders>
              <w:top w:val="single" w:sz="4" w:space="0" w:color="000000"/>
              <w:left w:val="single" w:sz="4" w:space="0" w:color="000000"/>
              <w:bottom w:val="single" w:sz="4" w:space="0" w:color="000000"/>
              <w:right w:val="nil"/>
            </w:tcBorders>
            <w:vAlign w:val="bottom"/>
          </w:tcPr>
          <w:p w:rsidR="00151586" w:rsidRPr="008234D7" w:rsidRDefault="00151586" w:rsidP="002C40B2">
            <w:pPr>
              <w:spacing w:after="160"/>
              <w:jc w:val="left"/>
              <w:rPr>
                <w:rFonts w:asciiTheme="minorHAnsi" w:hAnsiTheme="minorHAnsi"/>
                <w:sz w:val="20"/>
                <w:szCs w:val="20"/>
              </w:rPr>
            </w:pPr>
          </w:p>
        </w:tc>
        <w:tc>
          <w:tcPr>
            <w:tcW w:w="615" w:type="pct"/>
            <w:tcBorders>
              <w:top w:val="single" w:sz="4" w:space="0" w:color="000000"/>
              <w:left w:val="nil"/>
              <w:bottom w:val="single" w:sz="4" w:space="0" w:color="000000"/>
              <w:right w:val="nil"/>
            </w:tcBorders>
          </w:tcPr>
          <w:p w:rsidR="00151586" w:rsidRPr="008234D7" w:rsidRDefault="00151586" w:rsidP="002C40B2">
            <w:pPr>
              <w:spacing w:after="160"/>
              <w:jc w:val="left"/>
              <w:rPr>
                <w:rFonts w:asciiTheme="minorHAnsi" w:hAnsiTheme="minorHAnsi"/>
                <w:sz w:val="20"/>
                <w:szCs w:val="20"/>
              </w:rPr>
            </w:pPr>
          </w:p>
        </w:tc>
        <w:tc>
          <w:tcPr>
            <w:tcW w:w="1233" w:type="pct"/>
            <w:gridSpan w:val="2"/>
            <w:tcBorders>
              <w:top w:val="single" w:sz="4" w:space="0" w:color="000000"/>
              <w:left w:val="nil"/>
              <w:bottom w:val="single" w:sz="4" w:space="0" w:color="000000"/>
              <w:right w:val="nil"/>
            </w:tcBorders>
          </w:tcPr>
          <w:p w:rsidR="008234D7" w:rsidRPr="008234D7" w:rsidRDefault="00151586" w:rsidP="002C40B2">
            <w:pPr>
              <w:spacing w:after="0"/>
              <w:ind w:right="2"/>
              <w:jc w:val="center"/>
              <w:rPr>
                <w:rFonts w:asciiTheme="minorHAnsi" w:hAnsiTheme="minorHAnsi"/>
                <w:sz w:val="20"/>
                <w:szCs w:val="20"/>
              </w:rPr>
            </w:pPr>
            <w:r w:rsidRPr="008234D7">
              <w:rPr>
                <w:rFonts w:asciiTheme="minorHAnsi" w:hAnsiTheme="minorHAnsi"/>
                <w:b/>
                <w:sz w:val="20"/>
                <w:szCs w:val="20"/>
              </w:rPr>
              <w:t xml:space="preserve">podíl v % </w:t>
            </w:r>
          </w:p>
        </w:tc>
        <w:tc>
          <w:tcPr>
            <w:tcW w:w="615" w:type="pct"/>
            <w:tcBorders>
              <w:top w:val="single" w:sz="4" w:space="0" w:color="000000"/>
              <w:left w:val="nil"/>
              <w:bottom w:val="single" w:sz="4" w:space="0" w:color="000000"/>
              <w:right w:val="nil"/>
            </w:tcBorders>
          </w:tcPr>
          <w:p w:rsidR="00151586" w:rsidRPr="008234D7" w:rsidRDefault="00151586" w:rsidP="002C40B2">
            <w:pPr>
              <w:spacing w:after="160"/>
              <w:jc w:val="left"/>
              <w:rPr>
                <w:rFonts w:asciiTheme="minorHAnsi" w:hAnsiTheme="minorHAnsi"/>
                <w:sz w:val="20"/>
                <w:szCs w:val="20"/>
              </w:rPr>
            </w:pPr>
          </w:p>
        </w:tc>
        <w:tc>
          <w:tcPr>
            <w:tcW w:w="614" w:type="pct"/>
            <w:tcBorders>
              <w:top w:val="single" w:sz="4" w:space="0" w:color="000000"/>
              <w:left w:val="nil"/>
              <w:bottom w:val="single" w:sz="4" w:space="0" w:color="000000"/>
              <w:right w:val="single" w:sz="4" w:space="0" w:color="000000"/>
            </w:tcBorders>
          </w:tcPr>
          <w:p w:rsidR="00151586" w:rsidRPr="008234D7" w:rsidRDefault="00151586" w:rsidP="002C40B2">
            <w:pPr>
              <w:spacing w:after="160"/>
              <w:jc w:val="left"/>
              <w:rPr>
                <w:rFonts w:asciiTheme="minorHAnsi" w:hAnsiTheme="minorHAnsi"/>
                <w:sz w:val="20"/>
                <w:szCs w:val="20"/>
              </w:rPr>
            </w:pPr>
          </w:p>
        </w:tc>
      </w:tr>
      <w:tr w:rsidR="00151586" w:rsidRPr="008234D7" w:rsidTr="004B0C8E">
        <w:trPr>
          <w:trHeight w:val="264"/>
        </w:trPr>
        <w:tc>
          <w:tcPr>
            <w:tcW w:w="1307"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Země EU 27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91,6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sz w:val="20"/>
                <w:szCs w:val="20"/>
              </w:rPr>
              <w:t xml:space="preserve">92,4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91,0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91,0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1"/>
              <w:jc w:val="center"/>
              <w:rPr>
                <w:rFonts w:asciiTheme="minorHAnsi" w:hAnsiTheme="minorHAnsi"/>
                <w:sz w:val="20"/>
                <w:szCs w:val="20"/>
              </w:rPr>
            </w:pPr>
            <w:r w:rsidRPr="008234D7">
              <w:rPr>
                <w:rFonts w:asciiTheme="minorHAnsi" w:hAnsiTheme="minorHAnsi"/>
                <w:sz w:val="20"/>
                <w:szCs w:val="20"/>
              </w:rPr>
              <w:t xml:space="preserve">90,0 </w:t>
            </w:r>
          </w:p>
        </w:tc>
        <w:tc>
          <w:tcPr>
            <w:tcW w:w="61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89,2 </w:t>
            </w:r>
          </w:p>
        </w:tc>
      </w:tr>
      <w:tr w:rsidR="00151586" w:rsidRPr="008234D7" w:rsidTr="004B0C8E">
        <w:trPr>
          <w:trHeight w:val="266"/>
        </w:trPr>
        <w:tc>
          <w:tcPr>
            <w:tcW w:w="1307"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Ostatní země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8,4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7,6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9,0 </w:t>
            </w:r>
          </w:p>
        </w:tc>
        <w:tc>
          <w:tcPr>
            <w:tcW w:w="61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9,0 </w:t>
            </w:r>
          </w:p>
        </w:tc>
        <w:tc>
          <w:tcPr>
            <w:tcW w:w="61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1"/>
              <w:jc w:val="center"/>
              <w:rPr>
                <w:rFonts w:asciiTheme="minorHAnsi" w:hAnsiTheme="minorHAnsi"/>
                <w:sz w:val="20"/>
                <w:szCs w:val="20"/>
              </w:rPr>
            </w:pPr>
            <w:r w:rsidRPr="008234D7">
              <w:rPr>
                <w:rFonts w:asciiTheme="minorHAnsi" w:hAnsiTheme="minorHAnsi"/>
                <w:sz w:val="20"/>
                <w:szCs w:val="20"/>
              </w:rPr>
              <w:t xml:space="preserve">10,0 </w:t>
            </w:r>
          </w:p>
        </w:tc>
        <w:tc>
          <w:tcPr>
            <w:tcW w:w="61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10,8 </w:t>
            </w:r>
          </w:p>
        </w:tc>
      </w:tr>
    </w:tbl>
    <w:p w:rsidR="00151586" w:rsidRPr="004E0D65" w:rsidRDefault="00151586" w:rsidP="002C40B2">
      <w:pPr>
        <w:spacing w:before="120"/>
        <w:rPr>
          <w:rStyle w:val="Zdraznnjemn"/>
          <w:rFonts w:eastAsiaTheme="minorHAnsi"/>
        </w:rPr>
      </w:pPr>
      <w:r w:rsidRPr="004E0D65">
        <w:rPr>
          <w:rStyle w:val="Zdraznnjemn"/>
          <w:rFonts w:eastAsiaTheme="minorHAnsi"/>
        </w:rPr>
        <w:t>Zdroj: ČSÚ</w:t>
      </w:r>
      <w:r w:rsidR="004E0D65">
        <w:rPr>
          <w:rStyle w:val="Zdraznnjemn"/>
          <w:rFonts w:eastAsiaTheme="minorHAnsi"/>
        </w:rPr>
        <w:t xml:space="preserve"> -</w:t>
      </w:r>
      <w:r w:rsidRPr="004E0D65">
        <w:rPr>
          <w:rStyle w:val="Zdraznnjemn"/>
          <w:rFonts w:eastAsiaTheme="minorHAnsi"/>
        </w:rPr>
        <w:t xml:space="preserve"> data vývozu, SITC 3 </w:t>
      </w:r>
    </w:p>
    <w:p w:rsidR="00151586" w:rsidRDefault="00151586" w:rsidP="002C40B2">
      <w:r>
        <w:t>Export mírně rostl mezi roky 2005</w:t>
      </w:r>
      <w:r w:rsidR="008C14C4">
        <w:t xml:space="preserve"> </w:t>
      </w:r>
      <w:r>
        <w:t>-</w:t>
      </w:r>
      <w:r w:rsidR="008C14C4">
        <w:t xml:space="preserve"> </w:t>
      </w:r>
      <w:r>
        <w:t xml:space="preserve">2007 (průměrně o 4 % ročně), následovala však stagnace v roce 2008 a výrazný pokles o téměř 20 % v roce 2009. V roce 2010 došlo k pozitivnímu oživení vývozu, výkonnosti z předkrizového roku 2007 však celkový export nedosáhl. </w:t>
      </w:r>
      <w:r>
        <w:rPr>
          <w:b/>
        </w:rPr>
        <w:t>Ve struktuře exportu dle cílových oblastí dochází k posilování trhů mimo EU 27</w:t>
      </w:r>
      <w:r w:rsidR="00906BA1">
        <w:rPr>
          <w:b/>
        </w:rPr>
        <w:t>,</w:t>
      </w:r>
      <w:r>
        <w:rPr>
          <w:b/>
        </w:rPr>
        <w:t xml:space="preserve"> </w:t>
      </w:r>
      <w:r w:rsidRPr="008C14C4">
        <w:t xml:space="preserve">a to zejména po roce 2007. Úroveň exportu do těchto zemí navíc nezaznamenala tak výrazný pokles během krizových let 2008 a 2009. </w:t>
      </w:r>
      <w:r>
        <w:t xml:space="preserve">Toto </w:t>
      </w:r>
      <w:r>
        <w:lastRenderedPageBreak/>
        <w:t xml:space="preserve">zjištění lze hodnotit pozitivně, neboť dochází k diferenciaci portfolia exportních trhů ve prospěch zemí mimo EU, kterým je obecně v příštích letech předpovídán lepší ekonomický vývoj. Z významnějších trhů mimo EU se daří nejlépe exportu do USA (průměrný roční růst v období 2005 - 2010 byl 9 %), Turecka (5 %), Číny, Jižní Korey a Tuniska. I přes posilování důležitosti vývozu do těchto mimoevropských zemí zůstávají hlavními exportními partnery státy EU. Jejich postavení bude pravděpodobně v budoucnu oslabováno, ale pořád do nich bude směřovat většina exportu firem v Karlovarském kraji. </w:t>
      </w:r>
    </w:p>
    <w:p w:rsidR="00151586" w:rsidRPr="00E7371D" w:rsidRDefault="00151586" w:rsidP="000B3B9C">
      <w:pPr>
        <w:pStyle w:val="Titulek"/>
      </w:pPr>
      <w:bookmarkStart w:id="67" w:name="_Ref468360474"/>
      <w:bookmarkStart w:id="68" w:name="_Toc488233470"/>
      <w:r w:rsidRPr="00E7371D">
        <w:t xml:space="preserve">Tabulka </w:t>
      </w:r>
      <w:r w:rsidR="008965FE">
        <w:fldChar w:fldCharType="begin"/>
      </w:r>
      <w:r w:rsidR="00B33DFE">
        <w:instrText xml:space="preserve"> STYLEREF 1 \s </w:instrText>
      </w:r>
      <w:r w:rsidR="008965FE">
        <w:fldChar w:fldCharType="separate"/>
      </w:r>
      <w:r w:rsidR="00CB29BD">
        <w:t>4</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67"/>
      <w:r w:rsidRPr="00E7371D">
        <w:t>: Směry vývozu - pozice hlavních partnerských států ve vývozu krajů v roce 2010</w:t>
      </w:r>
      <w:bookmarkEnd w:id="68"/>
      <w:r w:rsidRPr="00E7371D">
        <w:t xml:space="preserve"> </w:t>
      </w:r>
    </w:p>
    <w:tbl>
      <w:tblPr>
        <w:tblW w:w="4942" w:type="pct"/>
        <w:tblInd w:w="108" w:type="dxa"/>
        <w:tblCellMar>
          <w:top w:w="45" w:type="dxa"/>
          <w:right w:w="66" w:type="dxa"/>
        </w:tblCellMar>
        <w:tblLook w:val="04A0" w:firstRow="1" w:lastRow="0" w:firstColumn="1" w:lastColumn="0" w:noHBand="0" w:noVBand="1"/>
      </w:tblPr>
      <w:tblGrid>
        <w:gridCol w:w="1388"/>
        <w:gridCol w:w="967"/>
        <w:gridCol w:w="967"/>
        <w:gridCol w:w="983"/>
        <w:gridCol w:w="967"/>
        <w:gridCol w:w="965"/>
        <w:gridCol w:w="967"/>
        <w:gridCol w:w="972"/>
        <w:gridCol w:w="963"/>
      </w:tblGrid>
      <w:tr w:rsidR="00151586" w:rsidRPr="008234D7" w:rsidTr="000562C0">
        <w:trPr>
          <w:trHeight w:val="310"/>
        </w:trPr>
        <w:tc>
          <w:tcPr>
            <w:tcW w:w="759" w:type="pct"/>
            <w:vMerge w:val="restart"/>
            <w:tcBorders>
              <w:top w:val="single" w:sz="4" w:space="0" w:color="000000"/>
              <w:left w:val="single" w:sz="4" w:space="0" w:color="000000"/>
              <w:bottom w:val="single" w:sz="4" w:space="0" w:color="000000"/>
              <w:right w:val="single" w:sz="4" w:space="0" w:color="000000"/>
            </w:tcBorders>
          </w:tcPr>
          <w:p w:rsidR="00151586" w:rsidRPr="008234D7" w:rsidRDefault="008A56EE" w:rsidP="002C40B2">
            <w:pPr>
              <w:spacing w:after="0"/>
              <w:jc w:val="left"/>
              <w:rPr>
                <w:rFonts w:asciiTheme="minorHAnsi" w:hAnsiTheme="minorHAnsi"/>
                <w:sz w:val="20"/>
                <w:szCs w:val="20"/>
              </w:rPr>
            </w:pPr>
            <w:r w:rsidRPr="008234D7">
              <w:rPr>
                <w:rFonts w:asciiTheme="minorHAnsi" w:hAnsiTheme="minorHAnsi"/>
                <w:b/>
                <w:sz w:val="20"/>
                <w:szCs w:val="20"/>
              </w:rPr>
              <w:t>ČR, k</w:t>
            </w:r>
            <w:r w:rsidR="00151586" w:rsidRPr="008234D7">
              <w:rPr>
                <w:rFonts w:asciiTheme="minorHAnsi" w:hAnsiTheme="minorHAnsi"/>
                <w:b/>
                <w:sz w:val="20"/>
                <w:szCs w:val="20"/>
              </w:rPr>
              <w:t xml:space="preserve">raj </w:t>
            </w:r>
          </w:p>
        </w:tc>
        <w:tc>
          <w:tcPr>
            <w:tcW w:w="529" w:type="pct"/>
            <w:tcBorders>
              <w:top w:val="single" w:sz="4" w:space="0" w:color="000000"/>
              <w:left w:val="single" w:sz="4" w:space="0" w:color="000000"/>
              <w:bottom w:val="single" w:sz="4" w:space="0" w:color="000000"/>
              <w:right w:val="nil"/>
            </w:tcBorders>
          </w:tcPr>
          <w:p w:rsidR="00151586" w:rsidRPr="008234D7" w:rsidRDefault="00151586" w:rsidP="002C40B2">
            <w:pPr>
              <w:spacing w:after="160"/>
              <w:jc w:val="left"/>
              <w:rPr>
                <w:rFonts w:asciiTheme="minorHAnsi" w:hAnsiTheme="minorHAnsi"/>
                <w:sz w:val="20"/>
                <w:szCs w:val="20"/>
              </w:rPr>
            </w:pPr>
          </w:p>
        </w:tc>
        <w:tc>
          <w:tcPr>
            <w:tcW w:w="3185" w:type="pct"/>
            <w:gridSpan w:val="6"/>
            <w:tcBorders>
              <w:top w:val="single" w:sz="4" w:space="0" w:color="000000"/>
              <w:left w:val="nil"/>
              <w:bottom w:val="single" w:sz="4" w:space="0" w:color="000000"/>
              <w:right w:val="nil"/>
            </w:tcBorders>
          </w:tcPr>
          <w:p w:rsidR="00151586" w:rsidRPr="008234D7" w:rsidRDefault="00151586" w:rsidP="002C40B2">
            <w:pPr>
              <w:spacing w:after="0"/>
              <w:ind w:right="49"/>
              <w:jc w:val="center"/>
              <w:rPr>
                <w:rFonts w:asciiTheme="minorHAnsi" w:hAnsiTheme="minorHAnsi"/>
                <w:sz w:val="20"/>
                <w:szCs w:val="20"/>
              </w:rPr>
            </w:pPr>
            <w:r w:rsidRPr="008234D7">
              <w:rPr>
                <w:rFonts w:asciiTheme="minorHAnsi" w:hAnsiTheme="minorHAnsi"/>
                <w:b/>
                <w:sz w:val="20"/>
                <w:szCs w:val="20"/>
              </w:rPr>
              <w:t>Pořadí jednotlivých států</w:t>
            </w:r>
            <w:r w:rsidRPr="008234D7">
              <w:rPr>
                <w:rFonts w:asciiTheme="minorHAnsi" w:hAnsiTheme="minorHAnsi"/>
                <w:b/>
                <w:sz w:val="20"/>
                <w:szCs w:val="20"/>
                <w:vertAlign w:val="superscript"/>
              </w:rPr>
              <w:t xml:space="preserve"> </w:t>
            </w:r>
            <w:r w:rsidRPr="008234D7">
              <w:rPr>
                <w:rFonts w:asciiTheme="minorHAnsi" w:hAnsiTheme="minorHAnsi"/>
                <w:b/>
                <w:sz w:val="20"/>
                <w:szCs w:val="20"/>
              </w:rPr>
              <w:t xml:space="preserve">na celkovém vývozu kraje (podíl v %) </w:t>
            </w:r>
          </w:p>
        </w:tc>
        <w:tc>
          <w:tcPr>
            <w:tcW w:w="528" w:type="pct"/>
            <w:tcBorders>
              <w:top w:val="single" w:sz="4" w:space="0" w:color="000000"/>
              <w:left w:val="nil"/>
              <w:bottom w:val="single" w:sz="4" w:space="0" w:color="000000"/>
              <w:right w:val="single" w:sz="4" w:space="0" w:color="000000"/>
            </w:tcBorders>
          </w:tcPr>
          <w:p w:rsidR="00151586" w:rsidRPr="008234D7" w:rsidRDefault="00151586" w:rsidP="002C40B2">
            <w:pPr>
              <w:spacing w:after="160"/>
              <w:jc w:val="left"/>
              <w:rPr>
                <w:rFonts w:asciiTheme="minorHAnsi" w:hAnsiTheme="minorHAnsi"/>
                <w:sz w:val="20"/>
                <w:szCs w:val="20"/>
              </w:rPr>
            </w:pPr>
          </w:p>
        </w:tc>
      </w:tr>
      <w:tr w:rsidR="00151586" w:rsidRPr="008234D7" w:rsidTr="000562C0">
        <w:trPr>
          <w:trHeight w:val="310"/>
        </w:trPr>
        <w:tc>
          <w:tcPr>
            <w:tcW w:w="759" w:type="pct"/>
            <w:vMerge/>
            <w:tcBorders>
              <w:top w:val="nil"/>
              <w:left w:val="single" w:sz="4" w:space="0" w:color="000000"/>
              <w:bottom w:val="single" w:sz="4" w:space="0" w:color="000000"/>
              <w:right w:val="single" w:sz="4" w:space="0" w:color="000000"/>
            </w:tcBorders>
          </w:tcPr>
          <w:p w:rsidR="00151586" w:rsidRPr="008234D7" w:rsidRDefault="00151586" w:rsidP="002C40B2">
            <w:pPr>
              <w:spacing w:after="160"/>
              <w:jc w:val="left"/>
              <w:rPr>
                <w:rFonts w:asciiTheme="minorHAnsi" w:hAnsiTheme="minorHAnsi"/>
                <w:sz w:val="20"/>
                <w:szCs w:val="20"/>
              </w:rPr>
            </w:pP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2"/>
              <w:jc w:val="center"/>
              <w:rPr>
                <w:rFonts w:asciiTheme="minorHAnsi" w:hAnsiTheme="minorHAnsi"/>
                <w:sz w:val="20"/>
                <w:szCs w:val="20"/>
              </w:rPr>
            </w:pPr>
            <w:r w:rsidRPr="008234D7">
              <w:rPr>
                <w:rFonts w:asciiTheme="minorHAnsi" w:hAnsiTheme="minorHAnsi"/>
                <w:b/>
                <w:sz w:val="20"/>
                <w:szCs w:val="20"/>
              </w:rPr>
              <w:t xml:space="preserve">1.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2"/>
              <w:jc w:val="center"/>
              <w:rPr>
                <w:rFonts w:asciiTheme="minorHAnsi" w:hAnsiTheme="minorHAnsi"/>
                <w:sz w:val="20"/>
                <w:szCs w:val="20"/>
              </w:rPr>
            </w:pPr>
            <w:r w:rsidRPr="008234D7">
              <w:rPr>
                <w:rFonts w:asciiTheme="minorHAnsi" w:hAnsiTheme="minorHAnsi"/>
                <w:b/>
                <w:sz w:val="20"/>
                <w:szCs w:val="20"/>
              </w:rPr>
              <w:t xml:space="preserve">2. </w:t>
            </w:r>
          </w:p>
        </w:tc>
        <w:tc>
          <w:tcPr>
            <w:tcW w:w="53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2"/>
              <w:jc w:val="center"/>
              <w:rPr>
                <w:rFonts w:asciiTheme="minorHAnsi" w:hAnsiTheme="minorHAnsi"/>
                <w:sz w:val="20"/>
                <w:szCs w:val="20"/>
              </w:rPr>
            </w:pPr>
            <w:r w:rsidRPr="008234D7">
              <w:rPr>
                <w:rFonts w:asciiTheme="minorHAnsi" w:hAnsiTheme="minorHAnsi"/>
                <w:b/>
                <w:sz w:val="20"/>
                <w:szCs w:val="20"/>
              </w:rPr>
              <w:t xml:space="preserve">3.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4"/>
              <w:jc w:val="center"/>
              <w:rPr>
                <w:rFonts w:asciiTheme="minorHAnsi" w:hAnsiTheme="minorHAnsi"/>
                <w:sz w:val="20"/>
                <w:szCs w:val="20"/>
              </w:rPr>
            </w:pPr>
            <w:r w:rsidRPr="008234D7">
              <w:rPr>
                <w:rFonts w:asciiTheme="minorHAnsi" w:hAnsiTheme="minorHAnsi"/>
                <w:b/>
                <w:sz w:val="20"/>
                <w:szCs w:val="20"/>
              </w:rPr>
              <w:t xml:space="preserve">4.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2"/>
              <w:jc w:val="center"/>
              <w:rPr>
                <w:rFonts w:asciiTheme="minorHAnsi" w:hAnsiTheme="minorHAnsi"/>
                <w:sz w:val="20"/>
                <w:szCs w:val="20"/>
              </w:rPr>
            </w:pPr>
            <w:r w:rsidRPr="008234D7">
              <w:rPr>
                <w:rFonts w:asciiTheme="minorHAnsi" w:hAnsiTheme="minorHAnsi"/>
                <w:b/>
                <w:sz w:val="20"/>
                <w:szCs w:val="20"/>
              </w:rPr>
              <w:t xml:space="preserve">5.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4"/>
              <w:jc w:val="center"/>
              <w:rPr>
                <w:rFonts w:asciiTheme="minorHAnsi" w:hAnsiTheme="minorHAnsi"/>
                <w:sz w:val="20"/>
                <w:szCs w:val="20"/>
              </w:rPr>
            </w:pPr>
            <w:r w:rsidRPr="008234D7">
              <w:rPr>
                <w:rFonts w:asciiTheme="minorHAnsi" w:hAnsiTheme="minorHAnsi"/>
                <w:b/>
                <w:sz w:val="20"/>
                <w:szCs w:val="20"/>
              </w:rPr>
              <w:t xml:space="preserve">6. </w:t>
            </w:r>
          </w:p>
        </w:tc>
        <w:tc>
          <w:tcPr>
            <w:tcW w:w="531"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3"/>
              <w:jc w:val="center"/>
              <w:rPr>
                <w:rFonts w:asciiTheme="minorHAnsi" w:hAnsiTheme="minorHAnsi"/>
                <w:sz w:val="20"/>
                <w:szCs w:val="20"/>
              </w:rPr>
            </w:pPr>
            <w:r w:rsidRPr="008234D7">
              <w:rPr>
                <w:rFonts w:asciiTheme="minorHAnsi" w:hAnsiTheme="minorHAnsi"/>
                <w:b/>
                <w:sz w:val="20"/>
                <w:szCs w:val="20"/>
              </w:rPr>
              <w:t xml:space="preserve">7.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6"/>
              <w:jc w:val="center"/>
              <w:rPr>
                <w:rFonts w:asciiTheme="minorHAnsi" w:hAnsiTheme="minorHAnsi"/>
                <w:sz w:val="20"/>
                <w:szCs w:val="20"/>
              </w:rPr>
            </w:pPr>
            <w:r w:rsidRPr="008234D7">
              <w:rPr>
                <w:rFonts w:asciiTheme="minorHAnsi" w:hAnsiTheme="minorHAnsi"/>
                <w:b/>
                <w:sz w:val="20"/>
                <w:szCs w:val="20"/>
              </w:rPr>
              <w:t xml:space="preserve">8. </w:t>
            </w:r>
          </w:p>
        </w:tc>
      </w:tr>
      <w:tr w:rsidR="00151586" w:rsidRPr="008234D7" w:rsidTr="000562C0">
        <w:trPr>
          <w:trHeight w:val="310"/>
        </w:trPr>
        <w:tc>
          <w:tcPr>
            <w:tcW w:w="75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Karlovarský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b/>
                <w:sz w:val="20"/>
                <w:szCs w:val="20"/>
              </w:rPr>
              <w:t xml:space="preserve">DE (57,0)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41"/>
              <w:jc w:val="left"/>
              <w:rPr>
                <w:rFonts w:asciiTheme="minorHAnsi" w:hAnsiTheme="minorHAnsi"/>
                <w:sz w:val="20"/>
                <w:szCs w:val="20"/>
              </w:rPr>
            </w:pPr>
            <w:r w:rsidRPr="008234D7">
              <w:rPr>
                <w:rFonts w:asciiTheme="minorHAnsi" w:hAnsiTheme="minorHAnsi"/>
                <w:b/>
                <w:sz w:val="20"/>
                <w:szCs w:val="20"/>
              </w:rPr>
              <w:t xml:space="preserve">RO (5,7) </w:t>
            </w:r>
          </w:p>
        </w:tc>
        <w:tc>
          <w:tcPr>
            <w:tcW w:w="53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5"/>
              <w:jc w:val="center"/>
              <w:rPr>
                <w:rFonts w:asciiTheme="minorHAnsi" w:hAnsiTheme="minorHAnsi"/>
                <w:sz w:val="20"/>
                <w:szCs w:val="20"/>
              </w:rPr>
            </w:pPr>
            <w:r w:rsidRPr="008234D7">
              <w:rPr>
                <w:rFonts w:asciiTheme="minorHAnsi" w:hAnsiTheme="minorHAnsi"/>
                <w:b/>
                <w:sz w:val="20"/>
                <w:szCs w:val="20"/>
              </w:rPr>
              <w:t xml:space="preserve">PL (5,0)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8"/>
              <w:jc w:val="center"/>
              <w:rPr>
                <w:rFonts w:asciiTheme="minorHAnsi" w:hAnsiTheme="minorHAnsi"/>
                <w:sz w:val="20"/>
                <w:szCs w:val="20"/>
              </w:rPr>
            </w:pPr>
            <w:r w:rsidRPr="008234D7">
              <w:rPr>
                <w:rFonts w:asciiTheme="minorHAnsi" w:hAnsiTheme="minorHAnsi"/>
                <w:b/>
                <w:sz w:val="20"/>
                <w:szCs w:val="20"/>
              </w:rPr>
              <w:t xml:space="preserve">SK (3,7)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5"/>
              <w:jc w:val="center"/>
              <w:rPr>
                <w:rFonts w:asciiTheme="minorHAnsi" w:hAnsiTheme="minorHAnsi"/>
                <w:sz w:val="20"/>
                <w:szCs w:val="20"/>
              </w:rPr>
            </w:pPr>
            <w:r w:rsidRPr="008234D7">
              <w:rPr>
                <w:rFonts w:asciiTheme="minorHAnsi" w:hAnsiTheme="minorHAnsi"/>
                <w:b/>
                <w:sz w:val="20"/>
                <w:szCs w:val="20"/>
              </w:rPr>
              <w:t xml:space="preserve">IT (3,5)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5"/>
              <w:jc w:val="center"/>
              <w:rPr>
                <w:rFonts w:asciiTheme="minorHAnsi" w:hAnsiTheme="minorHAnsi"/>
                <w:sz w:val="20"/>
                <w:szCs w:val="20"/>
              </w:rPr>
            </w:pPr>
            <w:r w:rsidRPr="008234D7">
              <w:rPr>
                <w:rFonts w:asciiTheme="minorHAnsi" w:hAnsiTheme="minorHAnsi"/>
                <w:b/>
                <w:sz w:val="20"/>
                <w:szCs w:val="20"/>
              </w:rPr>
              <w:t xml:space="preserve">AT (2,5) </w:t>
            </w:r>
          </w:p>
        </w:tc>
        <w:tc>
          <w:tcPr>
            <w:tcW w:w="531"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7"/>
              <w:jc w:val="center"/>
              <w:rPr>
                <w:rFonts w:asciiTheme="minorHAnsi" w:hAnsiTheme="minorHAnsi"/>
                <w:sz w:val="20"/>
                <w:szCs w:val="20"/>
              </w:rPr>
            </w:pPr>
            <w:r w:rsidRPr="008234D7">
              <w:rPr>
                <w:rFonts w:asciiTheme="minorHAnsi" w:hAnsiTheme="minorHAnsi"/>
                <w:b/>
                <w:sz w:val="20"/>
                <w:szCs w:val="20"/>
              </w:rPr>
              <w:t xml:space="preserve">BE (2,4)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43"/>
              <w:jc w:val="left"/>
              <w:rPr>
                <w:rFonts w:asciiTheme="minorHAnsi" w:hAnsiTheme="minorHAnsi"/>
                <w:sz w:val="20"/>
                <w:szCs w:val="20"/>
              </w:rPr>
            </w:pPr>
            <w:r w:rsidRPr="008234D7">
              <w:rPr>
                <w:rFonts w:asciiTheme="minorHAnsi" w:hAnsiTheme="minorHAnsi"/>
                <w:b/>
                <w:sz w:val="20"/>
                <w:szCs w:val="20"/>
              </w:rPr>
              <w:t xml:space="preserve">GB (2,3) </w:t>
            </w:r>
          </w:p>
        </w:tc>
      </w:tr>
      <w:tr w:rsidR="00151586" w:rsidRPr="008234D7" w:rsidTr="000562C0">
        <w:trPr>
          <w:trHeight w:val="310"/>
        </w:trPr>
        <w:tc>
          <w:tcPr>
            <w:tcW w:w="75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Ústecký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left"/>
              <w:rPr>
                <w:rFonts w:asciiTheme="minorHAnsi" w:hAnsiTheme="minorHAnsi"/>
                <w:sz w:val="20"/>
                <w:szCs w:val="20"/>
              </w:rPr>
            </w:pPr>
            <w:r w:rsidRPr="008234D7">
              <w:rPr>
                <w:rFonts w:asciiTheme="minorHAnsi" w:hAnsiTheme="minorHAnsi"/>
                <w:sz w:val="20"/>
                <w:szCs w:val="20"/>
              </w:rPr>
              <w:t xml:space="preserve">DE (41,2)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4"/>
              <w:jc w:val="center"/>
              <w:rPr>
                <w:rFonts w:asciiTheme="minorHAnsi" w:hAnsiTheme="minorHAnsi"/>
                <w:sz w:val="20"/>
                <w:szCs w:val="20"/>
              </w:rPr>
            </w:pPr>
            <w:r w:rsidRPr="008234D7">
              <w:rPr>
                <w:rFonts w:asciiTheme="minorHAnsi" w:hAnsiTheme="minorHAnsi"/>
                <w:sz w:val="20"/>
                <w:szCs w:val="20"/>
              </w:rPr>
              <w:t xml:space="preserve">SK (7,9) </w:t>
            </w:r>
          </w:p>
        </w:tc>
        <w:tc>
          <w:tcPr>
            <w:tcW w:w="53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6"/>
              <w:jc w:val="center"/>
              <w:rPr>
                <w:rFonts w:asciiTheme="minorHAnsi" w:hAnsiTheme="minorHAnsi"/>
                <w:sz w:val="20"/>
                <w:szCs w:val="20"/>
              </w:rPr>
            </w:pPr>
            <w:r w:rsidRPr="008234D7">
              <w:rPr>
                <w:rFonts w:asciiTheme="minorHAnsi" w:hAnsiTheme="minorHAnsi"/>
                <w:sz w:val="20"/>
                <w:szCs w:val="20"/>
              </w:rPr>
              <w:t xml:space="preserve">PL (6,4)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5"/>
              <w:jc w:val="center"/>
              <w:rPr>
                <w:rFonts w:asciiTheme="minorHAnsi" w:hAnsiTheme="minorHAnsi"/>
                <w:sz w:val="20"/>
                <w:szCs w:val="20"/>
              </w:rPr>
            </w:pPr>
            <w:r w:rsidRPr="008234D7">
              <w:rPr>
                <w:rFonts w:asciiTheme="minorHAnsi" w:hAnsiTheme="minorHAnsi"/>
                <w:sz w:val="20"/>
                <w:szCs w:val="20"/>
              </w:rPr>
              <w:t xml:space="preserve">AT (4,8)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2"/>
              <w:jc w:val="center"/>
              <w:rPr>
                <w:rFonts w:asciiTheme="minorHAnsi" w:hAnsiTheme="minorHAnsi"/>
                <w:sz w:val="20"/>
                <w:szCs w:val="20"/>
              </w:rPr>
            </w:pPr>
            <w:r w:rsidRPr="008234D7">
              <w:rPr>
                <w:rFonts w:asciiTheme="minorHAnsi" w:hAnsiTheme="minorHAnsi"/>
                <w:sz w:val="20"/>
                <w:szCs w:val="20"/>
              </w:rPr>
              <w:t xml:space="preserve">GB (4,5)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6"/>
              <w:jc w:val="center"/>
              <w:rPr>
                <w:rFonts w:asciiTheme="minorHAnsi" w:hAnsiTheme="minorHAnsi"/>
                <w:sz w:val="20"/>
                <w:szCs w:val="20"/>
              </w:rPr>
            </w:pPr>
            <w:r w:rsidRPr="008234D7">
              <w:rPr>
                <w:rFonts w:asciiTheme="minorHAnsi" w:hAnsiTheme="minorHAnsi"/>
                <w:sz w:val="20"/>
                <w:szCs w:val="20"/>
              </w:rPr>
              <w:t xml:space="preserve">FR (4,4) </w:t>
            </w:r>
          </w:p>
        </w:tc>
        <w:tc>
          <w:tcPr>
            <w:tcW w:w="531"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6"/>
              <w:jc w:val="center"/>
              <w:rPr>
                <w:rFonts w:asciiTheme="minorHAnsi" w:hAnsiTheme="minorHAnsi"/>
                <w:sz w:val="20"/>
                <w:szCs w:val="20"/>
              </w:rPr>
            </w:pPr>
            <w:r w:rsidRPr="008234D7">
              <w:rPr>
                <w:rFonts w:asciiTheme="minorHAnsi" w:hAnsiTheme="minorHAnsi"/>
                <w:sz w:val="20"/>
                <w:szCs w:val="20"/>
              </w:rPr>
              <w:t xml:space="preserve">IT (4,2)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7"/>
              <w:jc w:val="center"/>
              <w:rPr>
                <w:rFonts w:asciiTheme="minorHAnsi" w:hAnsiTheme="minorHAnsi"/>
                <w:sz w:val="20"/>
                <w:szCs w:val="20"/>
              </w:rPr>
            </w:pPr>
            <w:r w:rsidRPr="008234D7">
              <w:rPr>
                <w:rFonts w:asciiTheme="minorHAnsi" w:hAnsiTheme="minorHAnsi"/>
                <w:sz w:val="20"/>
                <w:szCs w:val="20"/>
              </w:rPr>
              <w:t xml:space="preserve">BE (4,1) </w:t>
            </w:r>
          </w:p>
        </w:tc>
      </w:tr>
      <w:tr w:rsidR="00151586" w:rsidRPr="008234D7" w:rsidTr="000562C0">
        <w:trPr>
          <w:trHeight w:val="326"/>
        </w:trPr>
        <w:tc>
          <w:tcPr>
            <w:tcW w:w="75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Plzeňský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left"/>
              <w:rPr>
                <w:rFonts w:asciiTheme="minorHAnsi" w:hAnsiTheme="minorHAnsi"/>
                <w:sz w:val="20"/>
                <w:szCs w:val="20"/>
              </w:rPr>
            </w:pPr>
            <w:r w:rsidRPr="008234D7">
              <w:rPr>
                <w:rFonts w:asciiTheme="minorHAnsi" w:hAnsiTheme="minorHAnsi"/>
                <w:sz w:val="20"/>
                <w:szCs w:val="20"/>
              </w:rPr>
              <w:t xml:space="preserve">DE (56,4)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4"/>
              <w:jc w:val="center"/>
              <w:rPr>
                <w:rFonts w:asciiTheme="minorHAnsi" w:hAnsiTheme="minorHAnsi"/>
                <w:sz w:val="20"/>
                <w:szCs w:val="20"/>
              </w:rPr>
            </w:pPr>
            <w:r w:rsidRPr="008234D7">
              <w:rPr>
                <w:rFonts w:asciiTheme="minorHAnsi" w:hAnsiTheme="minorHAnsi"/>
                <w:sz w:val="20"/>
                <w:szCs w:val="20"/>
              </w:rPr>
              <w:t xml:space="preserve">FR (5,8) </w:t>
            </w:r>
          </w:p>
        </w:tc>
        <w:tc>
          <w:tcPr>
            <w:tcW w:w="53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7"/>
              <w:jc w:val="center"/>
              <w:rPr>
                <w:rFonts w:asciiTheme="minorHAnsi" w:hAnsiTheme="minorHAnsi"/>
                <w:sz w:val="20"/>
                <w:szCs w:val="20"/>
              </w:rPr>
            </w:pPr>
            <w:r w:rsidRPr="008234D7">
              <w:rPr>
                <w:rFonts w:asciiTheme="minorHAnsi" w:hAnsiTheme="minorHAnsi"/>
                <w:sz w:val="20"/>
                <w:szCs w:val="20"/>
              </w:rPr>
              <w:t xml:space="preserve">GB (5,5)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7"/>
              <w:jc w:val="center"/>
              <w:rPr>
                <w:rFonts w:asciiTheme="minorHAnsi" w:hAnsiTheme="minorHAnsi"/>
                <w:sz w:val="20"/>
                <w:szCs w:val="20"/>
              </w:rPr>
            </w:pPr>
            <w:r w:rsidRPr="008234D7">
              <w:rPr>
                <w:rFonts w:asciiTheme="minorHAnsi" w:hAnsiTheme="minorHAnsi"/>
                <w:sz w:val="20"/>
                <w:szCs w:val="20"/>
              </w:rPr>
              <w:t xml:space="preserve">IT (5,2)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2"/>
              <w:jc w:val="center"/>
              <w:rPr>
                <w:rFonts w:asciiTheme="minorHAnsi" w:hAnsiTheme="minorHAnsi"/>
                <w:sz w:val="20"/>
                <w:szCs w:val="20"/>
              </w:rPr>
            </w:pPr>
            <w:r w:rsidRPr="008234D7">
              <w:rPr>
                <w:rFonts w:asciiTheme="minorHAnsi" w:hAnsiTheme="minorHAnsi"/>
                <w:sz w:val="20"/>
                <w:szCs w:val="20"/>
              </w:rPr>
              <w:t xml:space="preserve">AT (3,4)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6"/>
              <w:jc w:val="center"/>
              <w:rPr>
                <w:rFonts w:asciiTheme="minorHAnsi" w:hAnsiTheme="minorHAnsi"/>
                <w:sz w:val="20"/>
                <w:szCs w:val="20"/>
              </w:rPr>
            </w:pPr>
            <w:r w:rsidRPr="008234D7">
              <w:rPr>
                <w:rFonts w:asciiTheme="minorHAnsi" w:hAnsiTheme="minorHAnsi"/>
                <w:sz w:val="20"/>
                <w:szCs w:val="20"/>
              </w:rPr>
              <w:t xml:space="preserve">SK (2,6) </w:t>
            </w:r>
          </w:p>
        </w:tc>
        <w:tc>
          <w:tcPr>
            <w:tcW w:w="531"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3"/>
              <w:jc w:val="center"/>
              <w:rPr>
                <w:rFonts w:asciiTheme="minorHAnsi" w:hAnsiTheme="minorHAnsi"/>
                <w:sz w:val="20"/>
                <w:szCs w:val="20"/>
              </w:rPr>
            </w:pPr>
            <w:r w:rsidRPr="008234D7">
              <w:rPr>
                <w:rFonts w:asciiTheme="minorHAnsi" w:hAnsiTheme="minorHAnsi"/>
                <w:sz w:val="20"/>
                <w:szCs w:val="20"/>
              </w:rPr>
              <w:t xml:space="preserve">PL (2,3)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9"/>
              <w:jc w:val="center"/>
              <w:rPr>
                <w:rFonts w:asciiTheme="minorHAnsi" w:hAnsiTheme="minorHAnsi"/>
                <w:sz w:val="20"/>
                <w:szCs w:val="20"/>
              </w:rPr>
            </w:pPr>
            <w:r w:rsidRPr="008234D7">
              <w:rPr>
                <w:rFonts w:asciiTheme="minorHAnsi" w:hAnsiTheme="minorHAnsi"/>
                <w:sz w:val="20"/>
                <w:szCs w:val="20"/>
              </w:rPr>
              <w:t xml:space="preserve">ES (2,2) </w:t>
            </w:r>
          </w:p>
        </w:tc>
      </w:tr>
      <w:tr w:rsidR="00151586" w:rsidRPr="008234D7" w:rsidTr="000562C0">
        <w:trPr>
          <w:trHeight w:val="310"/>
        </w:trPr>
        <w:tc>
          <w:tcPr>
            <w:tcW w:w="75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Průměr Česka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b/>
                <w:sz w:val="20"/>
                <w:szCs w:val="20"/>
              </w:rPr>
              <w:t xml:space="preserve">DE (31,9)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5"/>
              <w:jc w:val="center"/>
              <w:rPr>
                <w:rFonts w:asciiTheme="minorHAnsi" w:hAnsiTheme="minorHAnsi"/>
                <w:sz w:val="20"/>
                <w:szCs w:val="20"/>
              </w:rPr>
            </w:pPr>
            <w:r w:rsidRPr="008234D7">
              <w:rPr>
                <w:rFonts w:asciiTheme="minorHAnsi" w:hAnsiTheme="minorHAnsi"/>
                <w:b/>
                <w:sz w:val="20"/>
                <w:szCs w:val="20"/>
              </w:rPr>
              <w:t xml:space="preserve">SK (8,8) </w:t>
            </w:r>
          </w:p>
        </w:tc>
        <w:tc>
          <w:tcPr>
            <w:tcW w:w="53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5"/>
              <w:jc w:val="center"/>
              <w:rPr>
                <w:rFonts w:asciiTheme="minorHAnsi" w:hAnsiTheme="minorHAnsi"/>
                <w:sz w:val="20"/>
                <w:szCs w:val="20"/>
              </w:rPr>
            </w:pPr>
            <w:r w:rsidRPr="008234D7">
              <w:rPr>
                <w:rFonts w:asciiTheme="minorHAnsi" w:hAnsiTheme="minorHAnsi"/>
                <w:b/>
                <w:sz w:val="20"/>
                <w:szCs w:val="20"/>
              </w:rPr>
              <w:t xml:space="preserve">PL (6,2)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8"/>
              <w:jc w:val="center"/>
              <w:rPr>
                <w:rFonts w:asciiTheme="minorHAnsi" w:hAnsiTheme="minorHAnsi"/>
                <w:sz w:val="20"/>
                <w:szCs w:val="20"/>
              </w:rPr>
            </w:pPr>
            <w:r w:rsidRPr="008234D7">
              <w:rPr>
                <w:rFonts w:asciiTheme="minorHAnsi" w:hAnsiTheme="minorHAnsi"/>
                <w:b/>
                <w:sz w:val="20"/>
                <w:szCs w:val="20"/>
              </w:rPr>
              <w:t xml:space="preserve">FR (5,4)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46"/>
              <w:jc w:val="left"/>
              <w:rPr>
                <w:rFonts w:asciiTheme="minorHAnsi" w:hAnsiTheme="minorHAnsi"/>
                <w:sz w:val="20"/>
                <w:szCs w:val="20"/>
              </w:rPr>
            </w:pPr>
            <w:r w:rsidRPr="008234D7">
              <w:rPr>
                <w:rFonts w:asciiTheme="minorHAnsi" w:hAnsiTheme="minorHAnsi"/>
                <w:b/>
                <w:sz w:val="20"/>
                <w:szCs w:val="20"/>
              </w:rPr>
              <w:t xml:space="preserve">GB (4,9) </w:t>
            </w:r>
          </w:p>
        </w:tc>
        <w:tc>
          <w:tcPr>
            <w:tcW w:w="529"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5"/>
              <w:jc w:val="center"/>
              <w:rPr>
                <w:rFonts w:asciiTheme="minorHAnsi" w:hAnsiTheme="minorHAnsi"/>
                <w:sz w:val="20"/>
                <w:szCs w:val="20"/>
              </w:rPr>
            </w:pPr>
            <w:r w:rsidRPr="008234D7">
              <w:rPr>
                <w:rFonts w:asciiTheme="minorHAnsi" w:hAnsiTheme="minorHAnsi"/>
                <w:b/>
                <w:sz w:val="20"/>
                <w:szCs w:val="20"/>
              </w:rPr>
              <w:t xml:space="preserve">AT (4,7) </w:t>
            </w:r>
          </w:p>
        </w:tc>
        <w:tc>
          <w:tcPr>
            <w:tcW w:w="531"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6"/>
              <w:jc w:val="center"/>
              <w:rPr>
                <w:rFonts w:asciiTheme="minorHAnsi" w:hAnsiTheme="minorHAnsi"/>
                <w:sz w:val="20"/>
                <w:szCs w:val="20"/>
              </w:rPr>
            </w:pPr>
            <w:r w:rsidRPr="008234D7">
              <w:rPr>
                <w:rFonts w:asciiTheme="minorHAnsi" w:hAnsiTheme="minorHAnsi"/>
                <w:b/>
                <w:sz w:val="20"/>
                <w:szCs w:val="20"/>
              </w:rPr>
              <w:t xml:space="preserve">IT (4,5) </w:t>
            </w:r>
          </w:p>
        </w:tc>
        <w:tc>
          <w:tcPr>
            <w:tcW w:w="528"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47"/>
              <w:jc w:val="center"/>
              <w:rPr>
                <w:rFonts w:asciiTheme="minorHAnsi" w:hAnsiTheme="minorHAnsi"/>
                <w:sz w:val="20"/>
                <w:szCs w:val="20"/>
              </w:rPr>
            </w:pPr>
            <w:r w:rsidRPr="008234D7">
              <w:rPr>
                <w:rFonts w:asciiTheme="minorHAnsi" w:hAnsiTheme="minorHAnsi"/>
                <w:b/>
                <w:sz w:val="20"/>
                <w:szCs w:val="20"/>
              </w:rPr>
              <w:t xml:space="preserve">NL (3,7) </w:t>
            </w:r>
          </w:p>
        </w:tc>
      </w:tr>
    </w:tbl>
    <w:p w:rsidR="00151586" w:rsidRPr="004E0D65" w:rsidRDefault="006D0BE8" w:rsidP="00445897">
      <w:pPr>
        <w:spacing w:before="120" w:after="0" w:line="240" w:lineRule="auto"/>
        <w:rPr>
          <w:rStyle w:val="Zdraznnjemn"/>
        </w:rPr>
      </w:pPr>
      <w:r>
        <w:rPr>
          <w:rStyle w:val="Zdraznnjemn"/>
        </w:rPr>
        <w:t xml:space="preserve">Poznámka: </w:t>
      </w:r>
      <w:r w:rsidR="00151586" w:rsidRPr="004E0D65">
        <w:rPr>
          <w:rStyle w:val="Zdraznnjemn"/>
        </w:rPr>
        <w:t>Seznam kódů států: AE – Spojené arabské emiráty, AT – Rakousko, BE – Belgie, DE – Německo, ES – Španělsko, FR – Francie, GB – Velká Británie, IT – Itálie, NL – Nizozemsko, PL – Polsko, RO – Rumunsko, RU – Rusko, SK – Slovensko.</w:t>
      </w:r>
    </w:p>
    <w:p w:rsidR="00151586" w:rsidRPr="004E0D65" w:rsidRDefault="00151586" w:rsidP="002C40B2">
      <w:pPr>
        <w:rPr>
          <w:rStyle w:val="Zdraznnjemn"/>
        </w:rPr>
      </w:pPr>
      <w:r w:rsidRPr="004E0D65">
        <w:rPr>
          <w:rStyle w:val="Zdraznnjemn"/>
        </w:rPr>
        <w:t xml:space="preserve">Zdroj: ČSÚ - Zbožová struktura vývozu krajů 2010 </w:t>
      </w:r>
    </w:p>
    <w:p w:rsidR="00151586" w:rsidRDefault="00151586" w:rsidP="002C40B2">
      <w:r w:rsidRPr="008C14C4">
        <w:rPr>
          <w:b/>
        </w:rPr>
        <w:t>Hodnoty za teritoriální směry vývozu z krajů jednoznačně potvrzují velkou provázanost a zároveň závislost ekonomiky Karlovarského kraje na sousedním Německu</w:t>
      </w:r>
      <w:r w:rsidR="009733E3">
        <w:rPr>
          <w:b/>
        </w:rPr>
        <w:t xml:space="preserve"> </w:t>
      </w:r>
      <w:r w:rsidR="009733E3" w:rsidRPr="009733E3">
        <w:t>(viz</w:t>
      </w:r>
      <w:r w:rsidR="009733E3">
        <w:rPr>
          <w:b/>
        </w:rPr>
        <w:t xml:space="preserve"> </w:t>
      </w:r>
      <w:r w:rsidR="004F2330">
        <w:fldChar w:fldCharType="begin"/>
      </w:r>
      <w:r w:rsidR="004F2330">
        <w:instrText xml:space="preserve"> REF _Ref468360474 \h  \* MERGEFORMAT </w:instrText>
      </w:r>
      <w:r w:rsidR="004F2330">
        <w:fldChar w:fldCharType="separate"/>
      </w:r>
      <w:r w:rsidR="00EB0944">
        <w:t>t</w:t>
      </w:r>
      <w:r w:rsidR="00CB29BD" w:rsidRPr="00E7371D">
        <w:t xml:space="preserve">abulka </w:t>
      </w:r>
      <w:r w:rsidR="00CB29BD">
        <w:rPr>
          <w:noProof/>
        </w:rPr>
        <w:t>4</w:t>
      </w:r>
      <w:r w:rsidR="00CB29BD">
        <w:t>.3</w:t>
      </w:r>
      <w:r w:rsidR="004F2330">
        <w:fldChar w:fldCharType="end"/>
      </w:r>
      <w:r w:rsidR="009733E3">
        <w:rPr>
          <w:b/>
        </w:rPr>
        <w:t xml:space="preserve"> </w:t>
      </w:r>
      <w:r w:rsidR="009733E3" w:rsidRPr="009733E3">
        <w:t>a</w:t>
      </w:r>
      <w:r w:rsidR="00EB0944">
        <w:t xml:space="preserve"> </w:t>
      </w:r>
      <w:r w:rsidR="004F2330">
        <w:fldChar w:fldCharType="begin"/>
      </w:r>
      <w:r w:rsidR="004F2330">
        <w:instrText xml:space="preserve"> REF _Ref465336866 \h  \* MERGEFORMAT </w:instrText>
      </w:r>
      <w:r w:rsidR="004F2330">
        <w:fldChar w:fldCharType="separate"/>
      </w:r>
      <w:r w:rsidR="00EB0944">
        <w:t>t</w:t>
      </w:r>
      <w:r w:rsidR="00CB29BD" w:rsidRPr="00906BA1">
        <w:t>abulka</w:t>
      </w:r>
      <w:r w:rsidR="00CB29BD" w:rsidRPr="00906BA1">
        <w:rPr>
          <w:noProof/>
        </w:rPr>
        <w:t xml:space="preserve"> </w:t>
      </w:r>
      <w:r w:rsidR="00CB29BD">
        <w:t>4</w:t>
      </w:r>
      <w:r w:rsidR="00CB29BD" w:rsidRPr="00906BA1">
        <w:rPr>
          <w:noProof/>
        </w:rPr>
        <w:t>.</w:t>
      </w:r>
      <w:r w:rsidR="00CB29BD">
        <w:rPr>
          <w:noProof/>
        </w:rPr>
        <w:t>4</w:t>
      </w:r>
      <w:r w:rsidR="004F2330">
        <w:fldChar w:fldCharType="end"/>
      </w:r>
      <w:r w:rsidR="009733E3" w:rsidRPr="009733E3">
        <w:t>)</w:t>
      </w:r>
      <w:r w:rsidRPr="008C14C4">
        <w:rPr>
          <w:b/>
        </w:rPr>
        <w:t>.</w:t>
      </w:r>
      <w:r>
        <w:t xml:space="preserve"> Téměř 57 % vývozu z kraje směřuje právě do Německa a tato hodnota je nejvyšší v porovnání s ostatními regiony ČR. Celkem do zemí EU směřuje 89 % hodnoty vývozu z Karlovarského kraje, a to je po Plzeňském kraji 2. nejvyšší hodnota. V souvislosti s předpokládanými ekonomickými problémy a oslabením hospodářského růstu v zemích EU bude proto vhodné podpořit diverzifikaci portfolia cílových zemí pro export z Karlovarského kraje. Obdobnou teritoriální strukturu vývozu s vysokou dominancí Německa má také sousední Plzeňský kraj, což potvrzuje jednoznačně vliv geografické blízkosti tohoto trhu a skutečnost, že firmy v Karlovarském kraji se ve velké míře orientují na zakázkovou výrobu pro německé odběratele, případně zde německé firmy zakládají své pobočky. </w:t>
      </w:r>
    </w:p>
    <w:p w:rsidR="00151586" w:rsidRPr="00906BA1" w:rsidRDefault="00151586" w:rsidP="000B3B9C">
      <w:pPr>
        <w:pStyle w:val="Titulek"/>
      </w:pPr>
      <w:bookmarkStart w:id="69" w:name="_Ref465336866"/>
      <w:bookmarkStart w:id="70" w:name="_Toc488233471"/>
      <w:r w:rsidRPr="00906BA1">
        <w:t xml:space="preserve">Tabulka </w:t>
      </w:r>
      <w:r w:rsidR="008965FE">
        <w:fldChar w:fldCharType="begin"/>
      </w:r>
      <w:r w:rsidR="00B33DFE">
        <w:instrText xml:space="preserve"> STYLEREF 1 \s </w:instrText>
      </w:r>
      <w:r w:rsidR="008965FE">
        <w:fldChar w:fldCharType="separate"/>
      </w:r>
      <w:r w:rsidR="00CB29BD">
        <w:t>4</w:t>
      </w:r>
      <w:r w:rsidR="008965FE">
        <w:fldChar w:fldCharType="end"/>
      </w:r>
      <w:r w:rsidR="002C40B2" w:rsidRPr="00906BA1">
        <w:t>.</w:t>
      </w:r>
      <w:r w:rsidR="008965FE" w:rsidRPr="007276DA">
        <w:fldChar w:fldCharType="begin"/>
      </w:r>
      <w:r w:rsidR="0075781E" w:rsidRPr="00906BA1">
        <w:instrText xml:space="preserve"> SEQ Tabulka \* ARABIC \s 1 </w:instrText>
      </w:r>
      <w:r w:rsidR="008965FE" w:rsidRPr="007276DA">
        <w:fldChar w:fldCharType="separate"/>
      </w:r>
      <w:r w:rsidR="00CB29BD">
        <w:t>4</w:t>
      </w:r>
      <w:r w:rsidR="008965FE" w:rsidRPr="007276DA">
        <w:fldChar w:fldCharType="end"/>
      </w:r>
      <w:bookmarkEnd w:id="69"/>
      <w:r w:rsidRPr="00906BA1">
        <w:t xml:space="preserve">: Podíl nejvýznamnějších zemí na celkovém vývozu Karlovarského kraje v letech </w:t>
      </w:r>
      <w:r w:rsidR="008C14C4" w:rsidRPr="00906BA1">
        <w:br/>
      </w:r>
      <w:r w:rsidRPr="00906BA1">
        <w:t>2005</w:t>
      </w:r>
      <w:r w:rsidR="007174E1" w:rsidRPr="00906BA1">
        <w:t xml:space="preserve"> </w:t>
      </w:r>
      <w:r w:rsidRPr="00906BA1">
        <w:t>-</w:t>
      </w:r>
      <w:r w:rsidR="008C14C4" w:rsidRPr="00906BA1">
        <w:t xml:space="preserve"> </w:t>
      </w:r>
      <w:r w:rsidRPr="00906BA1">
        <w:t>2010 (v %)</w:t>
      </w:r>
      <w:bookmarkEnd w:id="70"/>
      <w:r w:rsidR="00C6728C" w:rsidRPr="00906BA1">
        <w:t xml:space="preserve"> </w:t>
      </w:r>
    </w:p>
    <w:tbl>
      <w:tblPr>
        <w:tblW w:w="9390" w:type="dxa"/>
        <w:tblInd w:w="-5" w:type="dxa"/>
        <w:tblCellMar>
          <w:top w:w="45" w:type="dxa"/>
          <w:right w:w="115" w:type="dxa"/>
        </w:tblCellMar>
        <w:tblLook w:val="04A0" w:firstRow="1" w:lastRow="0" w:firstColumn="1" w:lastColumn="0" w:noHBand="0" w:noVBand="1"/>
      </w:tblPr>
      <w:tblGrid>
        <w:gridCol w:w="2429"/>
        <w:gridCol w:w="1282"/>
        <w:gridCol w:w="1135"/>
        <w:gridCol w:w="1138"/>
        <w:gridCol w:w="1135"/>
        <w:gridCol w:w="1136"/>
        <w:gridCol w:w="1135"/>
      </w:tblGrid>
      <w:tr w:rsidR="00151586" w:rsidRPr="008234D7" w:rsidTr="004B0C8E">
        <w:trPr>
          <w:trHeight w:val="264"/>
        </w:trPr>
        <w:tc>
          <w:tcPr>
            <w:tcW w:w="2429" w:type="dxa"/>
            <w:tcBorders>
              <w:top w:val="single" w:sz="4" w:space="0" w:color="000000"/>
              <w:left w:val="single" w:sz="4" w:space="0" w:color="000000"/>
              <w:bottom w:val="single" w:sz="4" w:space="0" w:color="000000"/>
              <w:right w:val="single" w:sz="4" w:space="0" w:color="000000"/>
            </w:tcBorders>
          </w:tcPr>
          <w:p w:rsidR="00151586" w:rsidRPr="00344062" w:rsidRDefault="00344062" w:rsidP="002C40B2">
            <w:pPr>
              <w:spacing w:after="0"/>
              <w:jc w:val="left"/>
              <w:rPr>
                <w:rFonts w:asciiTheme="minorHAnsi" w:hAnsiTheme="minorHAnsi"/>
                <w:b/>
                <w:sz w:val="20"/>
                <w:szCs w:val="20"/>
              </w:rPr>
            </w:pPr>
            <w:r w:rsidRPr="00344062">
              <w:rPr>
                <w:rFonts w:asciiTheme="minorHAnsi" w:hAnsiTheme="minorHAnsi"/>
                <w:b/>
                <w:sz w:val="20"/>
                <w:szCs w:val="20"/>
              </w:rPr>
              <w:t>Země/rok</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b/>
                <w:sz w:val="20"/>
                <w:szCs w:val="20"/>
              </w:rPr>
              <w:t xml:space="preserve">2005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2006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b/>
                <w:sz w:val="20"/>
                <w:szCs w:val="20"/>
              </w:rPr>
              <w:t xml:space="preserve">2007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b/>
                <w:sz w:val="20"/>
                <w:szCs w:val="20"/>
              </w:rPr>
              <w:t xml:space="preserve">2008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center"/>
              <w:rPr>
                <w:rFonts w:asciiTheme="minorHAnsi" w:hAnsiTheme="minorHAnsi"/>
                <w:sz w:val="20"/>
                <w:szCs w:val="20"/>
              </w:rPr>
            </w:pPr>
            <w:r w:rsidRPr="008234D7">
              <w:rPr>
                <w:rFonts w:asciiTheme="minorHAnsi" w:hAnsiTheme="minorHAnsi"/>
                <w:b/>
                <w:sz w:val="20"/>
                <w:szCs w:val="20"/>
              </w:rPr>
              <w:t xml:space="preserve">2009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2010 </w:t>
            </w:r>
          </w:p>
        </w:tc>
      </w:tr>
      <w:tr w:rsidR="00151586" w:rsidRPr="008234D7" w:rsidTr="004B0C8E">
        <w:trPr>
          <w:trHeight w:val="254"/>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Německo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63,7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64,1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63,6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right="2"/>
              <w:jc w:val="center"/>
              <w:rPr>
                <w:rFonts w:asciiTheme="minorHAnsi" w:hAnsiTheme="minorHAnsi"/>
                <w:sz w:val="20"/>
                <w:szCs w:val="20"/>
              </w:rPr>
            </w:pPr>
            <w:r w:rsidRPr="008234D7">
              <w:rPr>
                <w:rFonts w:asciiTheme="minorHAnsi" w:hAnsiTheme="minorHAnsi"/>
                <w:sz w:val="20"/>
                <w:szCs w:val="20"/>
              </w:rPr>
              <w:t xml:space="preserve">62,5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58,4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57,0 </w:t>
            </w:r>
          </w:p>
        </w:tc>
      </w:tr>
      <w:tr w:rsidR="00151586" w:rsidRPr="008234D7" w:rsidTr="004B0C8E">
        <w:trPr>
          <w:trHeight w:val="255"/>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Polsko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5,3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5,5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4,5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4,2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4,6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5,0 </w:t>
            </w:r>
          </w:p>
        </w:tc>
      </w:tr>
      <w:tr w:rsidR="00151586" w:rsidRPr="008234D7" w:rsidTr="004B0C8E">
        <w:trPr>
          <w:trHeight w:val="254"/>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Slovensko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3,7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3,7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4,4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5,1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4,9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3,7 </w:t>
            </w:r>
          </w:p>
        </w:tc>
      </w:tr>
      <w:tr w:rsidR="00151586" w:rsidRPr="008234D7" w:rsidTr="004B0C8E">
        <w:trPr>
          <w:trHeight w:val="254"/>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Itálie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4,1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3,6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3,1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2,9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2,8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3,5 </w:t>
            </w:r>
          </w:p>
        </w:tc>
      </w:tr>
      <w:tr w:rsidR="00151586" w:rsidRPr="008234D7" w:rsidTr="004B0C8E">
        <w:trPr>
          <w:trHeight w:val="254"/>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Rakousko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2,2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2,3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2,8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2,9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3,0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2,5 </w:t>
            </w:r>
          </w:p>
        </w:tc>
      </w:tr>
      <w:tr w:rsidR="00151586" w:rsidRPr="008234D7" w:rsidTr="004B0C8E">
        <w:trPr>
          <w:trHeight w:val="252"/>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Rumunsko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0,3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0,8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1,1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1,9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3,3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5,7 </w:t>
            </w:r>
          </w:p>
        </w:tc>
      </w:tr>
      <w:tr w:rsidR="00151586" w:rsidRPr="008234D7" w:rsidTr="004B0C8E">
        <w:trPr>
          <w:trHeight w:val="266"/>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Velká Británie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1,6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1,5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1,8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2,2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2,1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2,3 </w:t>
            </w:r>
          </w:p>
        </w:tc>
      </w:tr>
      <w:tr w:rsidR="00151586" w:rsidRPr="008234D7" w:rsidTr="004B0C8E">
        <w:trPr>
          <w:trHeight w:val="264"/>
        </w:trPr>
        <w:tc>
          <w:tcPr>
            <w:tcW w:w="2429"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sz w:val="20"/>
                <w:szCs w:val="20"/>
              </w:rPr>
              <w:t xml:space="preserve">USA </w:t>
            </w:r>
          </w:p>
        </w:tc>
        <w:tc>
          <w:tcPr>
            <w:tcW w:w="1282"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1,6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1,7 </w:t>
            </w:r>
          </w:p>
        </w:tc>
        <w:tc>
          <w:tcPr>
            <w:tcW w:w="1138"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1,1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2,4 </w:t>
            </w:r>
          </w:p>
        </w:tc>
        <w:tc>
          <w:tcPr>
            <w:tcW w:w="1136"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2,2 </w:t>
            </w:r>
          </w:p>
        </w:tc>
        <w:tc>
          <w:tcPr>
            <w:tcW w:w="1135" w:type="dxa"/>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2,2 </w:t>
            </w:r>
          </w:p>
        </w:tc>
      </w:tr>
      <w:tr w:rsidR="00344062" w:rsidRPr="008234D7" w:rsidTr="004B0C8E">
        <w:trPr>
          <w:trHeight w:val="266"/>
        </w:trPr>
        <w:tc>
          <w:tcPr>
            <w:tcW w:w="2429"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jc w:val="left"/>
              <w:rPr>
                <w:rFonts w:asciiTheme="minorHAnsi" w:hAnsiTheme="minorHAnsi"/>
                <w:sz w:val="20"/>
                <w:szCs w:val="20"/>
              </w:rPr>
            </w:pPr>
            <w:r w:rsidRPr="00344062">
              <w:rPr>
                <w:rFonts w:asciiTheme="minorHAnsi" w:hAnsiTheme="minorHAnsi"/>
                <w:b/>
                <w:sz w:val="20"/>
                <w:szCs w:val="20"/>
              </w:rPr>
              <w:lastRenderedPageBreak/>
              <w:t>Země/rok</w:t>
            </w:r>
          </w:p>
        </w:tc>
        <w:tc>
          <w:tcPr>
            <w:tcW w:w="1282"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2005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b/>
                <w:sz w:val="20"/>
                <w:szCs w:val="20"/>
              </w:rPr>
              <w:t xml:space="preserve">2006 </w:t>
            </w:r>
          </w:p>
        </w:tc>
        <w:tc>
          <w:tcPr>
            <w:tcW w:w="1138"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b/>
                <w:sz w:val="20"/>
                <w:szCs w:val="20"/>
              </w:rPr>
              <w:t xml:space="preserve">2007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b/>
                <w:sz w:val="20"/>
                <w:szCs w:val="20"/>
              </w:rPr>
              <w:t xml:space="preserve">2008 </w:t>
            </w:r>
          </w:p>
        </w:tc>
        <w:tc>
          <w:tcPr>
            <w:tcW w:w="1136"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b/>
                <w:sz w:val="20"/>
                <w:szCs w:val="20"/>
              </w:rPr>
              <w:t xml:space="preserve">2009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b/>
                <w:sz w:val="20"/>
                <w:szCs w:val="20"/>
              </w:rPr>
              <w:t xml:space="preserve">2010 </w:t>
            </w:r>
          </w:p>
        </w:tc>
      </w:tr>
      <w:tr w:rsidR="00344062" w:rsidRPr="008234D7" w:rsidTr="004B0C8E">
        <w:trPr>
          <w:trHeight w:val="266"/>
        </w:trPr>
        <w:tc>
          <w:tcPr>
            <w:tcW w:w="2429"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jc w:val="left"/>
              <w:rPr>
                <w:rFonts w:asciiTheme="minorHAnsi" w:hAnsiTheme="minorHAnsi"/>
                <w:sz w:val="20"/>
                <w:szCs w:val="20"/>
              </w:rPr>
            </w:pPr>
            <w:r w:rsidRPr="008234D7">
              <w:rPr>
                <w:rFonts w:asciiTheme="minorHAnsi" w:hAnsiTheme="minorHAnsi"/>
                <w:sz w:val="20"/>
                <w:szCs w:val="20"/>
              </w:rPr>
              <w:t xml:space="preserve">Francie </w:t>
            </w:r>
          </w:p>
        </w:tc>
        <w:tc>
          <w:tcPr>
            <w:tcW w:w="1282"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1,7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1,6 </w:t>
            </w:r>
          </w:p>
        </w:tc>
        <w:tc>
          <w:tcPr>
            <w:tcW w:w="1138"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1,7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1,6 </w:t>
            </w:r>
          </w:p>
        </w:tc>
        <w:tc>
          <w:tcPr>
            <w:tcW w:w="1136"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1,9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1,4 </w:t>
            </w:r>
          </w:p>
        </w:tc>
      </w:tr>
      <w:tr w:rsidR="00344062" w:rsidRPr="008234D7" w:rsidTr="004B0C8E">
        <w:trPr>
          <w:trHeight w:val="264"/>
        </w:trPr>
        <w:tc>
          <w:tcPr>
            <w:tcW w:w="2429"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jc w:val="left"/>
              <w:rPr>
                <w:rFonts w:asciiTheme="minorHAnsi" w:hAnsiTheme="minorHAnsi"/>
                <w:sz w:val="20"/>
                <w:szCs w:val="20"/>
              </w:rPr>
            </w:pPr>
            <w:r w:rsidRPr="008234D7">
              <w:rPr>
                <w:rFonts w:asciiTheme="minorHAnsi" w:hAnsiTheme="minorHAnsi"/>
                <w:sz w:val="20"/>
                <w:szCs w:val="20"/>
              </w:rPr>
              <w:t xml:space="preserve">Rusko </w:t>
            </w:r>
          </w:p>
        </w:tc>
        <w:tc>
          <w:tcPr>
            <w:tcW w:w="1282"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2,1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1,2 </w:t>
            </w:r>
          </w:p>
        </w:tc>
        <w:tc>
          <w:tcPr>
            <w:tcW w:w="1138"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1,5 </w:t>
            </w:r>
          </w:p>
        </w:tc>
        <w:tc>
          <w:tcPr>
            <w:tcW w:w="1136"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1,3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1,0 </w:t>
            </w:r>
          </w:p>
        </w:tc>
      </w:tr>
      <w:tr w:rsidR="00344062" w:rsidRPr="008234D7" w:rsidTr="004B0C8E">
        <w:trPr>
          <w:trHeight w:val="266"/>
        </w:trPr>
        <w:tc>
          <w:tcPr>
            <w:tcW w:w="2429"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jc w:val="left"/>
              <w:rPr>
                <w:rFonts w:asciiTheme="minorHAnsi" w:hAnsiTheme="minorHAnsi"/>
                <w:sz w:val="20"/>
                <w:szCs w:val="20"/>
              </w:rPr>
            </w:pPr>
            <w:r w:rsidRPr="008234D7">
              <w:rPr>
                <w:rFonts w:asciiTheme="minorHAnsi" w:hAnsiTheme="minorHAnsi"/>
                <w:sz w:val="20"/>
                <w:szCs w:val="20"/>
              </w:rPr>
              <w:t xml:space="preserve">Čína </w:t>
            </w:r>
          </w:p>
        </w:tc>
        <w:tc>
          <w:tcPr>
            <w:tcW w:w="1282"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0,0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0,1 </w:t>
            </w:r>
          </w:p>
        </w:tc>
        <w:tc>
          <w:tcPr>
            <w:tcW w:w="1138"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0,1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0,3 </w:t>
            </w:r>
          </w:p>
        </w:tc>
        <w:tc>
          <w:tcPr>
            <w:tcW w:w="1136"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0,5 </w:t>
            </w:r>
          </w:p>
        </w:tc>
        <w:tc>
          <w:tcPr>
            <w:tcW w:w="1135" w:type="dxa"/>
            <w:tcBorders>
              <w:top w:val="single" w:sz="4" w:space="0" w:color="000000"/>
              <w:left w:val="single" w:sz="4" w:space="0" w:color="000000"/>
              <w:bottom w:val="single" w:sz="4" w:space="0" w:color="000000"/>
              <w:right w:val="single" w:sz="4" w:space="0" w:color="000000"/>
            </w:tcBorders>
          </w:tcPr>
          <w:p w:rsidR="00344062" w:rsidRPr="008234D7" w:rsidRDefault="00344062" w:rsidP="002C40B2">
            <w:pPr>
              <w:spacing w:after="0"/>
              <w:ind w:left="7"/>
              <w:jc w:val="center"/>
              <w:rPr>
                <w:rFonts w:asciiTheme="minorHAnsi" w:hAnsiTheme="minorHAnsi"/>
                <w:sz w:val="20"/>
                <w:szCs w:val="20"/>
              </w:rPr>
            </w:pPr>
            <w:r w:rsidRPr="008234D7">
              <w:rPr>
                <w:rFonts w:asciiTheme="minorHAnsi" w:hAnsiTheme="minorHAnsi"/>
                <w:sz w:val="20"/>
                <w:szCs w:val="20"/>
              </w:rPr>
              <w:t xml:space="preserve">0,6 </w:t>
            </w:r>
          </w:p>
        </w:tc>
      </w:tr>
    </w:tbl>
    <w:p w:rsidR="00151586" w:rsidRPr="00C6728C" w:rsidRDefault="00C6728C" w:rsidP="002C40B2">
      <w:pPr>
        <w:spacing w:before="120"/>
        <w:rPr>
          <w:rStyle w:val="Zdraznnjemn"/>
          <w:rFonts w:eastAsiaTheme="minorHAnsi"/>
        </w:rPr>
      </w:pPr>
      <w:r>
        <w:rPr>
          <w:rStyle w:val="Zdraznnjemn"/>
          <w:rFonts w:eastAsiaTheme="minorHAnsi"/>
        </w:rPr>
        <w:t>Zdroj: ČSÚ -</w:t>
      </w:r>
      <w:r w:rsidR="00151586" w:rsidRPr="00C6728C">
        <w:rPr>
          <w:rStyle w:val="Zdraznnjemn"/>
          <w:rFonts w:eastAsiaTheme="minorHAnsi"/>
        </w:rPr>
        <w:t xml:space="preserve"> data vývozu, SITC 3 </w:t>
      </w:r>
    </w:p>
    <w:p w:rsidR="00151586" w:rsidRDefault="00151586" w:rsidP="002C40B2">
      <w:r>
        <w:t xml:space="preserve">Z dlouhodobého pohledu vyplývá postupné, i když velmi mírné, oslabování pozice Německa, jako nejvýznamnějšího exportního partnera Karlovarského kraje </w:t>
      </w:r>
      <w:r w:rsidR="009733E3" w:rsidRPr="009733E3">
        <w:t>(viz</w:t>
      </w:r>
      <w:r w:rsidR="009733E3">
        <w:rPr>
          <w:b/>
        </w:rPr>
        <w:t xml:space="preserve"> </w:t>
      </w:r>
      <w:r w:rsidR="004F2330">
        <w:fldChar w:fldCharType="begin"/>
      </w:r>
      <w:r w:rsidR="004F2330">
        <w:instrText xml:space="preserve"> REF _Ref468360474 \h  \* MERGEFORMAT </w:instrText>
      </w:r>
      <w:r w:rsidR="004F2330">
        <w:fldChar w:fldCharType="separate"/>
      </w:r>
      <w:r w:rsidR="00EB0944">
        <w:t>t</w:t>
      </w:r>
      <w:r w:rsidR="00CB29BD" w:rsidRPr="00E7371D">
        <w:t xml:space="preserve">abulka </w:t>
      </w:r>
      <w:r w:rsidR="00CB29BD">
        <w:rPr>
          <w:noProof/>
        </w:rPr>
        <w:t>4</w:t>
      </w:r>
      <w:r w:rsidR="00CB29BD">
        <w:t>.3</w:t>
      </w:r>
      <w:r w:rsidR="004F2330">
        <w:fldChar w:fldCharType="end"/>
      </w:r>
      <w:r w:rsidR="009733E3">
        <w:rPr>
          <w:b/>
        </w:rPr>
        <w:t xml:space="preserve"> </w:t>
      </w:r>
      <w:r w:rsidR="009733E3" w:rsidRPr="009733E3">
        <w:t>a</w:t>
      </w:r>
      <w:r w:rsidR="00EB0944">
        <w:t xml:space="preserve"> </w:t>
      </w:r>
      <w:r w:rsidR="004F2330">
        <w:fldChar w:fldCharType="begin"/>
      </w:r>
      <w:r w:rsidR="004F2330">
        <w:instrText xml:space="preserve"> REF _Ref465336866 \h  \* MERGEFORMAT </w:instrText>
      </w:r>
      <w:r w:rsidR="004F2330">
        <w:fldChar w:fldCharType="separate"/>
      </w:r>
      <w:r w:rsidR="00EB0944">
        <w:t>t</w:t>
      </w:r>
      <w:r w:rsidR="00CB29BD" w:rsidRPr="00906BA1">
        <w:t>abulka</w:t>
      </w:r>
      <w:r w:rsidR="00CB29BD" w:rsidRPr="00906BA1">
        <w:rPr>
          <w:noProof/>
        </w:rPr>
        <w:t xml:space="preserve"> </w:t>
      </w:r>
      <w:r w:rsidR="00CB29BD">
        <w:t>4</w:t>
      </w:r>
      <w:r w:rsidR="00CB29BD" w:rsidRPr="00906BA1">
        <w:rPr>
          <w:noProof/>
        </w:rPr>
        <w:t>.</w:t>
      </w:r>
      <w:r w:rsidR="00CB29BD">
        <w:rPr>
          <w:noProof/>
        </w:rPr>
        <w:t>4</w:t>
      </w:r>
      <w:r w:rsidR="004F2330">
        <w:fldChar w:fldCharType="end"/>
      </w:r>
      <w:r w:rsidR="009733E3" w:rsidRPr="009733E3">
        <w:t>)</w:t>
      </w:r>
      <w:r w:rsidR="009733E3" w:rsidRPr="008C14C4">
        <w:rPr>
          <w:b/>
        </w:rPr>
        <w:t>.</w:t>
      </w:r>
      <w:r w:rsidR="009733E3">
        <w:t xml:space="preserve"> </w:t>
      </w:r>
      <w:r>
        <w:t>Příčinou je dle podrobných dat především snížení objemu exportu kovových výrobků, textilních výrobků a tiskovin</w:t>
      </w:r>
      <w:r w:rsidR="009733E3">
        <w:t xml:space="preserve"> (viz </w:t>
      </w:r>
      <w:r w:rsidR="004F2330">
        <w:fldChar w:fldCharType="begin"/>
      </w:r>
      <w:r w:rsidR="004F2330">
        <w:instrText xml:space="preserve"> REF _Ref468360536 \h  \* MERGEFORMAT </w:instrText>
      </w:r>
      <w:r w:rsidR="004F2330">
        <w:fldChar w:fldCharType="separate"/>
      </w:r>
      <w:r w:rsidR="00EB0944">
        <w:t>t</w:t>
      </w:r>
      <w:r w:rsidR="00CB29BD" w:rsidRPr="00E6487E">
        <w:t xml:space="preserve">abulka </w:t>
      </w:r>
      <w:r w:rsidR="00CB29BD">
        <w:t>4.5</w:t>
      </w:r>
      <w:r w:rsidR="004F2330">
        <w:fldChar w:fldCharType="end"/>
      </w:r>
      <w:r w:rsidR="009733E3">
        <w:t>)</w:t>
      </w:r>
      <w:r>
        <w:t xml:space="preserve">. Obecně dochází především u zemí západní Evropy ke stagnaci či poklesu podílu na celkovém exportu z kraje, což je dáno nejspíše dopady hospodářské krize, které byly v tomto regionu citelnější než jinde ve světě. Může to ovšem předznamenávat i nový trend, kdy krajští exportéři již nedokážou být na těchto trzích konkurenceschopní, zejména kvůli rostoucím výrobním nákladům, nízké produktivitě a nevýhodnému kurzu koruny vůči euru a na jejich místa se tlačí noví dodavatelé především z východní Evropy či Asie. Bude tedy nutné podporovat firmy ve snaze konkurovat více kvalitou a méně pak cenou. Naopak rostoucí podíl exportu lze zaznamenat zejména u Rumunska, což je dáno výrazným zvýšením objemu vývozu elektrických zařízení, dále také u Velké Británie, USA a Číny. Zvyšování objemu exportu do těchto zemí lze hodnotit pozitivně, neboť se jedná o trhy s očekávaným budoucím růstovým potenciálem (Čína, méně také Rumunsko), případně o vysoce vyspělé trhy (Británie, USA). </w:t>
      </w:r>
    </w:p>
    <w:p w:rsidR="00151586" w:rsidRDefault="00151586" w:rsidP="002C40B2">
      <w:r>
        <w:t>Pro exportně orientované firmy v kraji je vzájemná spolupráce se zahraničními odběrateli často méně výhodná, neboť jejich výroba se dominantně orientuje na standardizovanou produkci s nízkou přidanou hodnotou, což vede k využívání levné pracovní síly bez vyšší kvalifikace. Tato specializace přináší firmám v kraji problémy a brzdí celkovou úroveň exportu, což dokazují výše uvedená data. Navíc pozice těchto firem v hodnotovém řetězci omezuje jejich rozhodovací a řídící autonomii, snižuje možnost rozvoje sofistikovanější výroby a často je také odděluje od strategických informací o trhu a konečných zákaznících. To jim ve svém důsledku ztěžuje možnosti upgradingu, neboli posunu firem na vyšší řád v globálních hodnotových řetězcích</w:t>
      </w:r>
      <w:r>
        <w:rPr>
          <w:vertAlign w:val="superscript"/>
        </w:rPr>
        <w:footnoteReference w:id="3"/>
      </w:r>
      <w:r>
        <w:t xml:space="preserve"> a případnou snahu o prosazení se na vysoce konkurenčních trzích s kvalitativně vyspělými a pokročilejšími výrobky, jejichž produkce vyžaduje větší využití výzkumných a vývojových aktivit a vzdělanější pracovní sílu. </w:t>
      </w:r>
    </w:p>
    <w:p w:rsidR="00151586" w:rsidRPr="00DC7CC8" w:rsidRDefault="00151586" w:rsidP="000B3B9C">
      <w:pPr>
        <w:pStyle w:val="Titulek"/>
      </w:pPr>
      <w:bookmarkStart w:id="71" w:name="_Ref468360536"/>
      <w:bookmarkStart w:id="72" w:name="_Toc488233472"/>
      <w:r w:rsidRPr="00E6487E">
        <w:t xml:space="preserve">Tabulka </w:t>
      </w:r>
      <w:r w:rsidR="008965FE">
        <w:fldChar w:fldCharType="begin"/>
      </w:r>
      <w:r w:rsidR="00B33DFE">
        <w:instrText xml:space="preserve"> STYLEREF 1 \s </w:instrText>
      </w:r>
      <w:r w:rsidR="008965FE">
        <w:fldChar w:fldCharType="separate"/>
      </w:r>
      <w:r w:rsidR="00CB29BD">
        <w:t>4</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5</w:t>
      </w:r>
      <w:r w:rsidR="004F2330">
        <w:fldChar w:fldCharType="end"/>
      </w:r>
      <w:bookmarkEnd w:id="71"/>
      <w:r w:rsidRPr="00E6487E">
        <w:t>: Podíl hlavních exportních položek dle zbožových tříd SITC 2 na celkovém exportu KK v letech 2005 - 2010 (v %)</w:t>
      </w:r>
      <w:bookmarkEnd w:id="72"/>
    </w:p>
    <w:tbl>
      <w:tblPr>
        <w:tblW w:w="5000" w:type="pct"/>
        <w:tblCellMar>
          <w:top w:w="45" w:type="dxa"/>
          <w:left w:w="106" w:type="dxa"/>
          <w:right w:w="115" w:type="dxa"/>
        </w:tblCellMar>
        <w:tblLook w:val="04A0" w:firstRow="1" w:lastRow="0" w:firstColumn="1" w:lastColumn="0" w:noHBand="0" w:noVBand="1"/>
      </w:tblPr>
      <w:tblGrid>
        <w:gridCol w:w="3301"/>
        <w:gridCol w:w="699"/>
        <w:gridCol w:w="697"/>
        <w:gridCol w:w="697"/>
        <w:gridCol w:w="697"/>
        <w:gridCol w:w="697"/>
        <w:gridCol w:w="697"/>
        <w:gridCol w:w="1808"/>
      </w:tblGrid>
      <w:tr w:rsidR="00151586" w:rsidRPr="008234D7" w:rsidTr="004B0C8E">
        <w:trPr>
          <w:trHeight w:val="254"/>
        </w:trPr>
        <w:tc>
          <w:tcPr>
            <w:tcW w:w="17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b/>
                <w:sz w:val="20"/>
                <w:szCs w:val="20"/>
              </w:rPr>
              <w:t xml:space="preserve">Kód a název zboží (SITC) </w:t>
            </w:r>
          </w:p>
        </w:tc>
        <w:tc>
          <w:tcPr>
            <w:tcW w:w="3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b/>
                <w:sz w:val="20"/>
                <w:szCs w:val="20"/>
              </w:rPr>
              <w:t xml:space="preserve">2005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2006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2007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2008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2009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jc w:val="left"/>
              <w:rPr>
                <w:rFonts w:asciiTheme="minorHAnsi" w:hAnsiTheme="minorHAnsi"/>
                <w:sz w:val="20"/>
                <w:szCs w:val="20"/>
              </w:rPr>
            </w:pPr>
            <w:r w:rsidRPr="008234D7">
              <w:rPr>
                <w:rFonts w:asciiTheme="minorHAnsi" w:hAnsiTheme="minorHAnsi"/>
                <w:b/>
                <w:sz w:val="20"/>
                <w:szCs w:val="20"/>
              </w:rPr>
              <w:t xml:space="preserve">2010 </w:t>
            </w:r>
          </w:p>
        </w:tc>
        <w:tc>
          <w:tcPr>
            <w:tcW w:w="97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1"/>
              <w:jc w:val="left"/>
              <w:rPr>
                <w:rFonts w:asciiTheme="minorHAnsi" w:hAnsiTheme="minorHAnsi"/>
                <w:sz w:val="20"/>
                <w:szCs w:val="20"/>
              </w:rPr>
            </w:pPr>
            <w:r w:rsidRPr="008234D7">
              <w:rPr>
                <w:rFonts w:asciiTheme="minorHAnsi" w:hAnsiTheme="minorHAnsi"/>
                <w:b/>
                <w:sz w:val="20"/>
                <w:szCs w:val="20"/>
              </w:rPr>
              <w:t xml:space="preserve">Index 2010/2005 </w:t>
            </w:r>
          </w:p>
        </w:tc>
      </w:tr>
      <w:tr w:rsidR="00151586" w:rsidRPr="008234D7" w:rsidTr="004B0C8E">
        <w:trPr>
          <w:trHeight w:val="252"/>
        </w:trPr>
        <w:tc>
          <w:tcPr>
            <w:tcW w:w="17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sz w:val="20"/>
                <w:szCs w:val="20"/>
              </w:rPr>
              <w:t xml:space="preserve">77 Elektrická zařízení </w:t>
            </w:r>
          </w:p>
        </w:tc>
        <w:tc>
          <w:tcPr>
            <w:tcW w:w="3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12,8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14,3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15,5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18,0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19,4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23,9 </w:t>
            </w:r>
          </w:p>
        </w:tc>
        <w:tc>
          <w:tcPr>
            <w:tcW w:w="97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3"/>
              <w:jc w:val="center"/>
              <w:rPr>
                <w:rFonts w:asciiTheme="minorHAnsi" w:hAnsiTheme="minorHAnsi"/>
                <w:sz w:val="20"/>
                <w:szCs w:val="20"/>
              </w:rPr>
            </w:pPr>
            <w:r w:rsidRPr="008234D7">
              <w:rPr>
                <w:rFonts w:asciiTheme="minorHAnsi" w:hAnsiTheme="minorHAnsi"/>
                <w:sz w:val="20"/>
                <w:szCs w:val="20"/>
              </w:rPr>
              <w:t xml:space="preserve">11,1 </w:t>
            </w:r>
          </w:p>
        </w:tc>
      </w:tr>
      <w:tr w:rsidR="00151586" w:rsidRPr="008234D7" w:rsidTr="004B0C8E">
        <w:trPr>
          <w:trHeight w:val="254"/>
        </w:trPr>
        <w:tc>
          <w:tcPr>
            <w:tcW w:w="17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sz w:val="20"/>
                <w:szCs w:val="20"/>
              </w:rPr>
              <w:t xml:space="preserve">69 Kovové výrobky </w:t>
            </w:r>
          </w:p>
        </w:tc>
        <w:tc>
          <w:tcPr>
            <w:tcW w:w="3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17,4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16,5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15,2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13,5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13,0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11,8 </w:t>
            </w:r>
          </w:p>
        </w:tc>
        <w:tc>
          <w:tcPr>
            <w:tcW w:w="97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-5,6 </w:t>
            </w:r>
          </w:p>
        </w:tc>
      </w:tr>
      <w:tr w:rsidR="00151586" w:rsidRPr="008234D7" w:rsidTr="004B0C8E">
        <w:trPr>
          <w:trHeight w:val="254"/>
        </w:trPr>
        <w:tc>
          <w:tcPr>
            <w:tcW w:w="17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sz w:val="20"/>
                <w:szCs w:val="20"/>
              </w:rPr>
              <w:t xml:space="preserve">66 Výrobky z nekovových nerostů </w:t>
            </w:r>
          </w:p>
        </w:tc>
        <w:tc>
          <w:tcPr>
            <w:tcW w:w="3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11,0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11,2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11,9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10,5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9,9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8,0 </w:t>
            </w:r>
          </w:p>
        </w:tc>
        <w:tc>
          <w:tcPr>
            <w:tcW w:w="97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-3,0 </w:t>
            </w:r>
          </w:p>
        </w:tc>
      </w:tr>
      <w:tr w:rsidR="00151586" w:rsidRPr="008234D7" w:rsidTr="004B0C8E">
        <w:trPr>
          <w:trHeight w:val="254"/>
        </w:trPr>
        <w:tc>
          <w:tcPr>
            <w:tcW w:w="17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sz w:val="20"/>
                <w:szCs w:val="20"/>
              </w:rPr>
              <w:t xml:space="preserve">89 Různé výrobky, </w:t>
            </w:r>
          </w:p>
        </w:tc>
        <w:tc>
          <w:tcPr>
            <w:tcW w:w="3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9,2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8,6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8,2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8,6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8,6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7,3 </w:t>
            </w:r>
          </w:p>
        </w:tc>
        <w:tc>
          <w:tcPr>
            <w:tcW w:w="97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-1,9 </w:t>
            </w:r>
          </w:p>
        </w:tc>
      </w:tr>
      <w:tr w:rsidR="00151586" w:rsidRPr="008234D7" w:rsidTr="004B0C8E">
        <w:trPr>
          <w:trHeight w:val="254"/>
        </w:trPr>
        <w:tc>
          <w:tcPr>
            <w:tcW w:w="17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sz w:val="20"/>
                <w:szCs w:val="20"/>
              </w:rPr>
              <w:t xml:space="preserve">26 Textilní vlákna a jejich odpad </w:t>
            </w:r>
          </w:p>
        </w:tc>
        <w:tc>
          <w:tcPr>
            <w:tcW w:w="3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5,7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5,7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5,7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5,9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5,6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6,0 </w:t>
            </w:r>
          </w:p>
        </w:tc>
        <w:tc>
          <w:tcPr>
            <w:tcW w:w="97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8"/>
              <w:jc w:val="center"/>
              <w:rPr>
                <w:rFonts w:asciiTheme="minorHAnsi" w:hAnsiTheme="minorHAnsi"/>
                <w:sz w:val="20"/>
                <w:szCs w:val="20"/>
              </w:rPr>
            </w:pPr>
            <w:r w:rsidRPr="008234D7">
              <w:rPr>
                <w:rFonts w:asciiTheme="minorHAnsi" w:hAnsiTheme="minorHAnsi"/>
                <w:sz w:val="20"/>
                <w:szCs w:val="20"/>
              </w:rPr>
              <w:t xml:space="preserve">0,3 </w:t>
            </w:r>
          </w:p>
        </w:tc>
      </w:tr>
      <w:tr w:rsidR="00151586" w:rsidRPr="008234D7" w:rsidTr="004B0C8E">
        <w:trPr>
          <w:trHeight w:val="254"/>
        </w:trPr>
        <w:tc>
          <w:tcPr>
            <w:tcW w:w="17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left"/>
              <w:rPr>
                <w:rFonts w:asciiTheme="minorHAnsi" w:hAnsiTheme="minorHAnsi"/>
                <w:sz w:val="20"/>
                <w:szCs w:val="20"/>
              </w:rPr>
            </w:pPr>
            <w:r w:rsidRPr="008234D7">
              <w:rPr>
                <w:rFonts w:asciiTheme="minorHAnsi" w:hAnsiTheme="minorHAnsi"/>
                <w:sz w:val="20"/>
                <w:szCs w:val="20"/>
              </w:rPr>
              <w:t xml:space="preserve">78 Silniční vozidla </w:t>
            </w:r>
          </w:p>
        </w:tc>
        <w:tc>
          <w:tcPr>
            <w:tcW w:w="376"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6,9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6,1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6,6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6,7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4,4 </w:t>
            </w:r>
          </w:p>
        </w:tc>
        <w:tc>
          <w:tcPr>
            <w:tcW w:w="375"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2"/>
              <w:jc w:val="center"/>
              <w:rPr>
                <w:rFonts w:asciiTheme="minorHAnsi" w:hAnsiTheme="minorHAnsi"/>
                <w:sz w:val="20"/>
                <w:szCs w:val="20"/>
              </w:rPr>
            </w:pPr>
            <w:r w:rsidRPr="008234D7">
              <w:rPr>
                <w:rFonts w:asciiTheme="minorHAnsi" w:hAnsiTheme="minorHAnsi"/>
                <w:sz w:val="20"/>
                <w:szCs w:val="20"/>
              </w:rPr>
              <w:t xml:space="preserve">5,9 </w:t>
            </w:r>
          </w:p>
        </w:tc>
        <w:tc>
          <w:tcPr>
            <w:tcW w:w="974" w:type="pct"/>
            <w:tcBorders>
              <w:top w:val="single" w:sz="4" w:space="0" w:color="000000"/>
              <w:left w:val="single" w:sz="4" w:space="0" w:color="000000"/>
              <w:bottom w:val="single" w:sz="4" w:space="0" w:color="000000"/>
              <w:right w:val="single" w:sz="4" w:space="0" w:color="000000"/>
            </w:tcBorders>
          </w:tcPr>
          <w:p w:rsidR="00151586" w:rsidRPr="008234D7" w:rsidRDefault="00151586" w:rsidP="002C40B2">
            <w:pPr>
              <w:spacing w:after="0"/>
              <w:ind w:left="5"/>
              <w:jc w:val="center"/>
              <w:rPr>
                <w:rFonts w:asciiTheme="minorHAnsi" w:hAnsiTheme="minorHAnsi"/>
                <w:sz w:val="20"/>
                <w:szCs w:val="20"/>
              </w:rPr>
            </w:pPr>
            <w:r w:rsidRPr="008234D7">
              <w:rPr>
                <w:rFonts w:asciiTheme="minorHAnsi" w:hAnsiTheme="minorHAnsi"/>
                <w:sz w:val="20"/>
                <w:szCs w:val="20"/>
              </w:rPr>
              <w:t xml:space="preserve">-1,0 </w:t>
            </w:r>
          </w:p>
        </w:tc>
      </w:tr>
    </w:tbl>
    <w:p w:rsidR="00151586" w:rsidRPr="007174E1" w:rsidRDefault="00151586" w:rsidP="002C40B2">
      <w:pPr>
        <w:spacing w:before="120"/>
        <w:rPr>
          <w:rStyle w:val="Zdraznnjemn"/>
          <w:rFonts w:eastAsiaTheme="minorHAnsi"/>
        </w:rPr>
      </w:pPr>
      <w:r w:rsidRPr="007174E1">
        <w:rPr>
          <w:rStyle w:val="Zdraznnjemn"/>
          <w:rFonts w:eastAsiaTheme="minorHAnsi"/>
        </w:rPr>
        <w:t>Zdroj: ČSÚ</w:t>
      </w:r>
      <w:r w:rsidR="007174E1">
        <w:rPr>
          <w:rStyle w:val="Zdraznnjemn"/>
          <w:rFonts w:eastAsiaTheme="minorHAnsi"/>
        </w:rPr>
        <w:t xml:space="preserve"> -</w:t>
      </w:r>
      <w:r w:rsidRPr="007174E1">
        <w:rPr>
          <w:rStyle w:val="Zdraznnjemn"/>
          <w:rFonts w:eastAsiaTheme="minorHAnsi"/>
        </w:rPr>
        <w:t xml:space="preserve"> Zbožová struktura vývozu krajů 2010 </w:t>
      </w:r>
    </w:p>
    <w:p w:rsidR="00151586" w:rsidRDefault="00151586" w:rsidP="002C40B2">
      <w:r>
        <w:lastRenderedPageBreak/>
        <w:t xml:space="preserve">Struktura exportu dle výrobních položek poukazuje na </w:t>
      </w:r>
      <w:r>
        <w:rPr>
          <w:b/>
        </w:rPr>
        <w:t>posilující dominanci průmyslu elektrických a elektrotechnických zařízení na celkovém vývozu Karlovarského kraje.</w:t>
      </w:r>
      <w:r>
        <w:t xml:space="preserve"> V porovnání s touto skupinou klesá exportní význam dalších vývozních artiklů Karlovarského kraje – zejména kovových výrobků, výrobků z nekovových nerostů – produktů sklářského průmyslu a výroby keramiky a porcelánu. Naopak Karlovarský kraj patří mezi několik málo krajů ČR, který nemá v posledních dvou letech mezi 5 hlavními exportními položkami zastoupenu zbožovou třídu 78 – silniční vozidla. I přesto jsou zdejší firmy poměrně úzce navázány na oblast automotive průmyslu jako dodavatelé komponentů. </w:t>
      </w:r>
    </w:p>
    <w:p w:rsidR="00151586" w:rsidRPr="00DC7CC8" w:rsidRDefault="00151586" w:rsidP="000B3B9C">
      <w:pPr>
        <w:pStyle w:val="Titulek"/>
      </w:pPr>
      <w:bookmarkStart w:id="73" w:name="_Toc488234343"/>
      <w:r w:rsidRPr="00DC7CC8">
        <w:t xml:space="preserve">Graf </w:t>
      </w:r>
      <w:r w:rsidR="004F2330">
        <w:fldChar w:fldCharType="begin"/>
      </w:r>
      <w:r w:rsidR="004F2330">
        <w:instrText xml:space="preserve"> STYLEREF 1 \s </w:instrText>
      </w:r>
      <w:r w:rsidR="004F2330">
        <w:fldChar w:fldCharType="separate"/>
      </w:r>
      <w:r w:rsidR="00CB29BD">
        <w:t>4</w:t>
      </w:r>
      <w:r w:rsidR="004F2330">
        <w:fldChar w:fldCharType="end"/>
      </w:r>
      <w:r w:rsidR="00FD378B">
        <w:t>.</w:t>
      </w:r>
      <w:r w:rsidR="004F2330">
        <w:fldChar w:fldCharType="begin"/>
      </w:r>
      <w:r w:rsidR="004F2330">
        <w:instrText xml:space="preserve"> SEQ Graf \* ARABIC \s 1 </w:instrText>
      </w:r>
      <w:r w:rsidR="004F2330">
        <w:fldChar w:fldCharType="separate"/>
      </w:r>
      <w:r w:rsidR="00CB29BD">
        <w:t>4</w:t>
      </w:r>
      <w:r w:rsidR="004F2330">
        <w:fldChar w:fldCharType="end"/>
      </w:r>
      <w:r w:rsidRPr="00DC7CC8">
        <w:t>:</w:t>
      </w:r>
      <w:r w:rsidRPr="00E6487E">
        <w:t xml:space="preserve"> </w:t>
      </w:r>
      <w:r w:rsidRPr="00DC7CC8">
        <w:t xml:space="preserve">Podíl hlavních exportních položek </w:t>
      </w:r>
      <w:r w:rsidRPr="00E6487E">
        <w:t>dle zbožových tříd SITC 3 na celkovém</w:t>
      </w:r>
      <w:r w:rsidRPr="00DC7CC8">
        <w:t xml:space="preserve"> exportu KK v letech 2005 - 2010 (v %)</w:t>
      </w:r>
      <w:bookmarkEnd w:id="73"/>
    </w:p>
    <w:p w:rsidR="00151586" w:rsidRDefault="00151586" w:rsidP="002C40B2">
      <w:pPr>
        <w:spacing w:before="120" w:after="0"/>
        <w:ind w:right="193" w:hanging="11"/>
        <w:rPr>
          <w:b/>
          <w:i/>
          <w:iCs/>
          <w:color w:val="44546A" w:themeColor="text2"/>
        </w:rPr>
      </w:pPr>
      <w:r>
        <w:rPr>
          <w:noProof/>
        </w:rPr>
        <w:drawing>
          <wp:inline distT="0" distB="0" distL="0" distR="0">
            <wp:extent cx="5695950" cy="3095625"/>
            <wp:effectExtent l="0" t="0" r="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1586" w:rsidRPr="00481437" w:rsidRDefault="006D0BE8" w:rsidP="002C40B2">
      <w:pPr>
        <w:spacing w:before="120" w:after="0"/>
        <w:rPr>
          <w:rStyle w:val="Zdraznnjemn"/>
          <w:rFonts w:eastAsiaTheme="minorHAnsi"/>
        </w:rPr>
      </w:pPr>
      <w:r>
        <w:rPr>
          <w:rStyle w:val="Zdraznnjemn"/>
          <w:rFonts w:eastAsiaTheme="minorHAnsi"/>
        </w:rPr>
        <w:t xml:space="preserve">Poznámka: </w:t>
      </w:r>
      <w:r w:rsidR="00151586" w:rsidRPr="00481437">
        <w:rPr>
          <w:rStyle w:val="Zdraznnjemn"/>
          <w:rFonts w:eastAsiaTheme="minorHAnsi"/>
        </w:rPr>
        <w:t xml:space="preserve">SITC 699 – Výrobky z kovů základních; SITC 773 – Prostředky k rozvodu elektrické energie; SITC 268 – Vlna a živočišná vlákna; SITC 784 – Díly a příslušenství motorových vozidel; SITC 513 – Kyseliny karbonové; SITC 666 – Hrnčířské zboží; SITC 772 – Elektrické přístroje ke spínání obvodů; SITC 893 – Předměty z plastických hmot </w:t>
      </w:r>
    </w:p>
    <w:p w:rsidR="00151586" w:rsidRPr="00481437" w:rsidRDefault="00151586" w:rsidP="002C40B2">
      <w:pPr>
        <w:rPr>
          <w:rStyle w:val="Zdraznnjemn"/>
          <w:rFonts w:eastAsiaTheme="minorHAnsi"/>
        </w:rPr>
      </w:pPr>
      <w:r w:rsidRPr="00481437">
        <w:rPr>
          <w:rStyle w:val="Zdraznnjemn"/>
          <w:rFonts w:eastAsiaTheme="minorHAnsi"/>
        </w:rPr>
        <w:t>Zdroj: ČSÚ – statistika exportu, SITC 3</w:t>
      </w:r>
    </w:p>
    <w:p w:rsidR="00151586" w:rsidRDefault="00151586" w:rsidP="002C40B2">
      <w:r>
        <w:t xml:space="preserve">Při podrobnějším členění vývozních položek podle SITC na 3 místa zjistíme, že v exportu hrají klíčovou roli následující zbožové třídy: prostředky k rozvodu elektrické energie – 17 % na vývozu kraje (SITC 773) a výrobky ze základních kovů – 10 % na vývozu kraje (SITC 699). Významnějšího podílu dosahuje ještě skupina výrobků vlna, ostatní živočišná vlákna včetně vlněných česanců – 6 % na vývozu kraje (SITC 268). Necelých 5 % vývozu z kraje tvoří elektrické přístroje ke spínání a rozpojování obvodů (SITC 772), kyseliny karbonové a její anhydridy (SITC 513) a komponenty motorových vozidel (SITC 784).  </w:t>
      </w:r>
    </w:p>
    <w:p w:rsidR="00151586" w:rsidRDefault="00151586" w:rsidP="002C40B2">
      <w:r>
        <w:t>Nejvýznamnějším vývozním trendem ve sledovaném období 2005</w:t>
      </w:r>
      <w:r w:rsidR="00387C57">
        <w:t xml:space="preserve"> </w:t>
      </w:r>
      <w:r>
        <w:t>-</w:t>
      </w:r>
      <w:r w:rsidR="00387C57">
        <w:t xml:space="preserve"> </w:t>
      </w:r>
      <w:r>
        <w:t xml:space="preserve">2010 je výrazný pokles podílu základních kovů (SITC 699) na celkové hodnotě exportu. Dle podrobných dat za tím stojí především propad obchodu u hlavních exportních partnerů. Vývoz do Německa během sledovaného období klesl o třetinu. Velké ztráty u exportu kovových výrobků byly zaznamenány také u Slovenska (propad dokonce o 75 %), Polska (pokles o 30 %) a Švédska (pokles o 50 %). Naopak velmi pozitivně se vyvíjel vývoz prostředků k rozvodu elektrické energie, kde během posledních šesti let došlo téměř ke </w:t>
      </w:r>
      <w:r>
        <w:lastRenderedPageBreak/>
        <w:t>ztrojnásobení hodnoty exportovaného zboží a tento trend nezastavily ani dopady hospodářské krize v posledních dvou letech. Podle podrobných dat za zvyšováním podílu prostředků k rozvodu elektrické energie stojí především rostoucí export do Německa (mezi roky 2005 a 2010 nárůst hodnoty vývozu o 70 %) a také do Rumunska, kam v roce 2010 směřovaly prostředky k rozvodu elektrické energie o celkové hodnotě téměř 2 mld. Kč, což představuje významný nárůst o více než 23 % vzhledem k roku 2005. Skokově vzrostl u této zbožové třídy objem vývozu do dalších rozvinutých států, zejména do USA, Británie, Švédska, Francie, Španělska a Polska. Firmy vyrábějící v kraji v tomto odvětví se tedy dokážou prosadit na vysoce konkurenčním prostředí vyspělých trhů. Tato data však neposkytují informace, zda se jedná o prosazení na základě ceny produktů nebo jejich technologické vyspělosti a kvality. Z povahy výroby v kraji a malých investic do výzkumných a vývojových aktivit lze předpokládat, že se jedná spíše o export dílčích jednodušších produktů a komponent s menší přidanou hodnotou. To ostatně potvrzuje také průzkum mezi firmami v kraji provedený firmou Berman Group v roce 2010</w:t>
      </w:r>
      <w:r>
        <w:rPr>
          <w:vertAlign w:val="superscript"/>
        </w:rPr>
        <w:footnoteReference w:id="4"/>
      </w:r>
      <w:r>
        <w:t xml:space="preserve">. Karlovarský kraj se také velmi úzce specializuje na export vlny a živočišných vláken (SITC 268), kde se dokonce podílí 97 % na celkovém vývozu této skupiny z ČR. Struktura exportních regionů i celkové objemy vyváženého zboží jsou v čase velmi stabilní. Export této zbožové třídy směřuje především do Itálie (zhruba 25 %), Turecka (19 %), Bulharska, Rumunska a Polska (podíly kolem 10 %). Velmi pravděpodobně se jedná o dodávky primárních surovin pro textilní a módní průmysl. To potvrzuje i velmi malý podíl vývozu do Německa, který tvoří pouze necelých 6 %. Jedná se však o aktivity, které i přes svůj velký podíl na exportu a stále vysokou zaměstnanost přináší kraji jen malou přidanou hodnotu, neboť jak potvrzují další analýzy, celé odvětví textilního průmyslu se v kraji potýká s klesající úrovní produktivity a tržeb. </w:t>
      </w:r>
    </w:p>
    <w:p w:rsidR="00151586" w:rsidRDefault="00151586" w:rsidP="002C40B2">
      <w:r>
        <w:t>Naopak negativní trend je zaznamenán u exportu hrnčířského zboží, kde se propad započatý krizí nezastavil ani v roce 2010. Nejvýznamněji ovlivnil trend u této skupiny zboží pokles vývozu do Německa (více než 50% pokles) a také Panamy, kam v roce 2007 směřovalo hrnčířské zboží v hodnotě 1 mld. Kč (1/3 celkového vývozu v daném roce), ovšem v následujících letech klesl export do této země skokově téměř na nulu. Obdobně špatný trend se týká rovněž dalších skup</w:t>
      </w:r>
      <w:r w:rsidR="00387C57">
        <w:t>in</w:t>
      </w:r>
      <w:r>
        <w:t xml:space="preserve"> tradičních výrobků v kraji – textilních výrobků (pokles podílu na celkovém exportu o 70 %) a také hudebních nástrojů (pokles dokonce o 80 %). Přes špatný trend mezi lety 2006 a 2008 se znovu k růstovým hodnotám vrátil export kyseliny karbonové a jejích sloučenin. </w:t>
      </w:r>
    </w:p>
    <w:p w:rsidR="00151586" w:rsidRDefault="00151586" w:rsidP="002C40B2">
      <w:r w:rsidRPr="00387C57">
        <w:rPr>
          <w:b/>
        </w:rPr>
        <w:t>Pro ekonomiku kraje jsou tedy z pohledu jeho exportní výkonnosti stěžejními odvětví</w:t>
      </w:r>
      <w:r w:rsidR="00387C57" w:rsidRPr="00387C57">
        <w:rPr>
          <w:b/>
        </w:rPr>
        <w:t xml:space="preserve">mi především kovodělný průmysl, </w:t>
      </w:r>
      <w:r w:rsidRPr="00387C57">
        <w:rPr>
          <w:b/>
        </w:rPr>
        <w:t>jeho</w:t>
      </w:r>
      <w:r w:rsidR="00387C57" w:rsidRPr="00387C57">
        <w:rPr>
          <w:b/>
        </w:rPr>
        <w:t>ž</w:t>
      </w:r>
      <w:r w:rsidRPr="00387C57">
        <w:rPr>
          <w:b/>
        </w:rPr>
        <w:t xml:space="preserve"> důležitost klesá, </w:t>
      </w:r>
      <w:r w:rsidR="00387C57" w:rsidRPr="00387C57">
        <w:rPr>
          <w:b/>
        </w:rPr>
        <w:t xml:space="preserve">a </w:t>
      </w:r>
      <w:r w:rsidRPr="00387C57">
        <w:rPr>
          <w:b/>
        </w:rPr>
        <w:t>elektrický a elektrotechnický průmysl</w:t>
      </w:r>
      <w:r w:rsidR="00387C57" w:rsidRPr="00387C57">
        <w:rPr>
          <w:b/>
        </w:rPr>
        <w:t xml:space="preserve">, </w:t>
      </w:r>
      <w:r w:rsidRPr="00387C57">
        <w:rPr>
          <w:b/>
        </w:rPr>
        <w:t>jehož význam naopak stoupá. Export produktů dalších tradičních odvětví v kraji, jako je výroba skla, keramiky a porcelánu, má také negativní trend.</w:t>
      </w:r>
      <w:r>
        <w:t xml:space="preserve"> V porovnání s ostatními regiony ČR jsou v exportní struktuře málo zastoupeny produkty strojírensk</w:t>
      </w:r>
      <w:r w:rsidR="00387C57">
        <w:t xml:space="preserve">ého a automobilového průmyslu. </w:t>
      </w:r>
    </w:p>
    <w:p w:rsidR="00151586" w:rsidRDefault="00151586" w:rsidP="002C40B2">
      <w:r>
        <w:t xml:space="preserve">Karlovarský kraj se také podílí významnou měrou na vývozu některých položek i na národní úrovni – např. více než 97 % na vývozu SITC 268 – vlna, ostatní živočišná vlákna (vč. vlněných česanců), 66 % na vývozu hrnčířského zboží (SITC 666), 60 % kyseliny karbonové a jejích anhydridů (SITC 513) a 59 % na vývozu pletených a háčkovaných látek (SITC 655). Kraj se tedy v exportu orientuje především na obory a výrobky spíše s nižší přidanou hodnotou, v jejichž prosazení na trzích hraje roli především cena. Trendem posledních let je, že firmy v těchto odvětvích mají tendenci přesouvat svou výrobu </w:t>
      </w:r>
      <w:r>
        <w:lastRenderedPageBreak/>
        <w:t xml:space="preserve">dále na východ do zemí s nižšími náklady na pracovní sílu a to může představovat pro Karlovarský kraj výraznou hrozbu do budoucna. </w:t>
      </w:r>
    </w:p>
    <w:p w:rsidR="00151586" w:rsidRPr="00387C57" w:rsidRDefault="00151586" w:rsidP="002C40B2">
      <w:pPr>
        <w:pStyle w:val="Nadpis2"/>
      </w:pPr>
      <w:r w:rsidRPr="00387C57">
        <w:t>Shift share analýza exportní výkonnosti Karlovarského kraje dle zbožové struktury SITC mezi roky 2004</w:t>
      </w:r>
      <w:r w:rsidR="00387C57">
        <w:t xml:space="preserve"> </w:t>
      </w:r>
      <w:r w:rsidRPr="00387C57">
        <w:t>-</w:t>
      </w:r>
      <w:r w:rsidR="00387C57">
        <w:t xml:space="preserve"> </w:t>
      </w:r>
      <w:r w:rsidRPr="00387C57">
        <w:t xml:space="preserve">2010 </w:t>
      </w:r>
    </w:p>
    <w:p w:rsidR="00151586" w:rsidRDefault="00151586" w:rsidP="002C40B2">
      <w:r>
        <w:t xml:space="preserve">Tato analýza má za úkol identifikovat klíčová odvětví pro export kraje a zejména odpovědět, proč exportní výkonnost kraje stagnuje, a která odvětví (třídy zboží SITC) na tomto stavu mají největší podíl. </w:t>
      </w:r>
      <w:r w:rsidRPr="00387C57">
        <w:t>Celková hodnota vývozu v Karlovarském kraji mezi roky 2004 a 2010 stoupla pouze nepatrně z 50,3 na 51,7 mld. Kč, zatímco v ČR se výkon exportu zvýšil za stejné období z 1 772 mld. Kč. na 2 515 mld. Kč.</w:t>
      </w:r>
      <w:r>
        <w:t xml:space="preserve"> To samozřejmě souvisí kromě jiných faktorů především z výše uvedeným nízkým přílivem PZI do ekonomiky kraje v posledním období a tím, že se kraj specializuje na odvětví, která v posledních letech postihl značný útlum (kovodělný průmysl, sklo, keramika, porcelán). </w:t>
      </w:r>
    </w:p>
    <w:p w:rsidR="00151586" w:rsidRPr="00DC7CC8" w:rsidRDefault="00151586" w:rsidP="000B3B9C">
      <w:pPr>
        <w:pStyle w:val="Titulek"/>
      </w:pPr>
      <w:bookmarkStart w:id="74" w:name="_Ref465339274"/>
      <w:bookmarkStart w:id="75" w:name="_Toc488234344"/>
      <w:r w:rsidRPr="00DC7CC8">
        <w:t xml:space="preserve">Graf </w:t>
      </w:r>
      <w:r w:rsidR="004F2330">
        <w:fldChar w:fldCharType="begin"/>
      </w:r>
      <w:r w:rsidR="004F2330">
        <w:instrText xml:space="preserve"> STYLEREF 1 \s </w:instrText>
      </w:r>
      <w:r w:rsidR="004F2330">
        <w:fldChar w:fldCharType="separate"/>
      </w:r>
      <w:r w:rsidR="00CB29BD">
        <w:t>4</w:t>
      </w:r>
      <w:r w:rsidR="004F2330">
        <w:fldChar w:fldCharType="end"/>
      </w:r>
      <w:r w:rsidR="00FD378B">
        <w:t>.</w:t>
      </w:r>
      <w:r w:rsidR="004F2330">
        <w:fldChar w:fldCharType="begin"/>
      </w:r>
      <w:r w:rsidR="004F2330">
        <w:instrText xml:space="preserve"> SEQ Graf \* ARABIC \s 1 </w:instrText>
      </w:r>
      <w:r w:rsidR="004F2330">
        <w:fldChar w:fldCharType="separate"/>
      </w:r>
      <w:r w:rsidR="00CB29BD">
        <w:t>5</w:t>
      </w:r>
      <w:r w:rsidR="004F2330">
        <w:fldChar w:fldCharType="end"/>
      </w:r>
      <w:bookmarkEnd w:id="74"/>
      <w:r w:rsidRPr="00DC7CC8">
        <w:t>: Hodnocení změn v úrovni exportu v KK mezi roky 2004 a 2010 podle tříd SITC, růst zastoupení zbožových tříd a podíl lokální složky (v %)</w:t>
      </w:r>
      <w:bookmarkEnd w:id="75"/>
    </w:p>
    <w:p w:rsidR="00151586" w:rsidRPr="00AF1407" w:rsidRDefault="00151586" w:rsidP="002C40B2">
      <w:pPr>
        <w:spacing w:after="120"/>
        <w:jc w:val="left"/>
        <w:rPr>
          <w:b/>
        </w:rPr>
      </w:pPr>
      <w:r>
        <w:rPr>
          <w:noProof/>
        </w:rPr>
        <w:drawing>
          <wp:inline distT="0" distB="0" distL="0" distR="0">
            <wp:extent cx="5760720" cy="2479675"/>
            <wp:effectExtent l="0" t="0" r="11430" b="1587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1586" w:rsidRPr="0096334E" w:rsidRDefault="00151586" w:rsidP="002C40B2">
      <w:pPr>
        <w:spacing w:before="120"/>
        <w:rPr>
          <w:rStyle w:val="Zdraznnjemn"/>
          <w:rFonts w:eastAsiaTheme="minorHAnsi"/>
        </w:rPr>
      </w:pPr>
      <w:r w:rsidRPr="0096334E">
        <w:rPr>
          <w:rStyle w:val="Zdraznnjemn"/>
          <w:rFonts w:eastAsiaTheme="minorHAnsi"/>
        </w:rPr>
        <w:t>Zdroj: ČSÚ – Statistická ročenka Karlovarského kraje</w:t>
      </w:r>
      <w:r w:rsidR="0096334E">
        <w:rPr>
          <w:rStyle w:val="Zdraznnjemn"/>
          <w:rFonts w:eastAsiaTheme="minorHAnsi"/>
        </w:rPr>
        <w:t xml:space="preserve"> 2005 a 2011</w:t>
      </w:r>
      <w:r w:rsidRPr="0096334E">
        <w:rPr>
          <w:rStyle w:val="Zdraznnjemn"/>
          <w:rFonts w:eastAsiaTheme="minorHAnsi"/>
        </w:rPr>
        <w:t xml:space="preserve">, vlastní výpočty </w:t>
      </w:r>
    </w:p>
    <w:p w:rsidR="00151586" w:rsidRDefault="004F2330" w:rsidP="002C40B2">
      <w:r>
        <w:fldChar w:fldCharType="begin"/>
      </w:r>
      <w:r>
        <w:instrText xml:space="preserve"> REF _Ref465339274 \h  \* MERGEFORMAT </w:instrText>
      </w:r>
      <w:r>
        <w:fldChar w:fldCharType="separate"/>
      </w:r>
      <w:r w:rsidR="00CB29BD" w:rsidRPr="00DC7CC8">
        <w:t xml:space="preserve">Graf </w:t>
      </w:r>
      <w:r w:rsidR="00CB29BD">
        <w:t>4.5</w:t>
      </w:r>
      <w:r>
        <w:fldChar w:fldCharType="end"/>
      </w:r>
      <w:r w:rsidR="00151586">
        <w:t xml:space="preserve"> znázorňuje zbožové třídy, které dosahovaly za sledované období nadprůměrných exportních výkonů </w:t>
      </w:r>
      <w:r w:rsidR="00151586" w:rsidRPr="00F5764D">
        <w:t>(SITC 2, SITC 3) a které</w:t>
      </w:r>
      <w:r w:rsidR="00151586">
        <w:rPr>
          <w:b/>
        </w:rPr>
        <w:t xml:space="preserve"> </w:t>
      </w:r>
      <w:r w:rsidR="00151586">
        <w:t>se nejvíce podílely na stagnaci vývozu z kraje, tzn. nejvíce oslabovaly vývoz kraje</w:t>
      </w:r>
      <w:r w:rsidR="002D50D7">
        <w:t>,</w:t>
      </w:r>
      <w:r w:rsidR="00151586">
        <w:t xml:space="preserve"> v porovnání s ČR (SITC 6, SITC 7 a SITC 8). U tříd SITC 7 a 9 došlo ve sledovaném období </w:t>
      </w:r>
      <w:r w:rsidR="002D50D7">
        <w:br/>
      </w:r>
      <w:r w:rsidR="00151586">
        <w:t xml:space="preserve">i k poklesu v absolutních číslech, u SITC 8 pak pouze k nepatrnému nárůstu. Právě tyto poslední tři zbožové skupiny zahrnují náročnější výrobky a produkty s vyšší přidanou hodnotou. Jejich klesající hodnoty exportu naznačují, že </w:t>
      </w:r>
      <w:r w:rsidR="00151586" w:rsidRPr="00387C57">
        <w:rPr>
          <w:b/>
        </w:rPr>
        <w:t>ekonomika Karlovarského kraje se z pohledu vývozu orientuje stále více na jednodušší a méně sofistikované výrobky</w:t>
      </w:r>
      <w:r w:rsidR="00151586">
        <w:t xml:space="preserve">. To pouze potvrzuje již výše zmíněnou skutečnost, že firmy v kraji jsou zapojeny do globálních hodnotových řetězců na nízké pozici, která s sebou přináší mnohá rizika, jako je např. velká závislost na dodavatelích, odříznutí od informací a trzích a konečných zákaznících, malá autonomie v řízení podniku a strategických rozhodnutích. </w:t>
      </w:r>
    </w:p>
    <w:p w:rsidR="00151586" w:rsidRPr="00387C57" w:rsidRDefault="00151586" w:rsidP="002C40B2">
      <w:pPr>
        <w:pStyle w:val="Nadpis2"/>
      </w:pPr>
      <w:r w:rsidRPr="00387C57">
        <w:lastRenderedPageBreak/>
        <w:t>Průmyslové zóny</w:t>
      </w:r>
    </w:p>
    <w:p w:rsidR="00387C57" w:rsidRDefault="00151586" w:rsidP="002C40B2">
      <w:r>
        <w:t>Pro rozvoj hospodářství a především průmyslu v Karlovarském kraji je nutné zajistit dostatečně kvalitní a kapacitní podnikatelskou infrastrukturu, především průmyslové zóny. Jejich existence a volná kapacita je často klíčovým faktorem pro přilákání investora, zejména zahraničního</w:t>
      </w:r>
      <w:r w:rsidR="00387C57">
        <w:t>. V Karlovarském</w:t>
      </w:r>
      <w:r w:rsidRPr="0067789E">
        <w:t xml:space="preserve"> kraj</w:t>
      </w:r>
      <w:r w:rsidR="00342B98">
        <w:t xml:space="preserve">i se momentálně </w:t>
      </w:r>
      <w:r w:rsidR="00387C57">
        <w:t xml:space="preserve">nachází 14 průmyslových zón. Přehled zón včetně jejich rozlohy uvádí </w:t>
      </w:r>
      <w:r w:rsidR="00640712">
        <w:t>tabulka níže</w:t>
      </w:r>
      <w:r w:rsidRPr="00046D59">
        <w:t>.</w:t>
      </w:r>
      <w:r w:rsidR="00387C57">
        <w:t xml:space="preserve"> </w:t>
      </w:r>
    </w:p>
    <w:p w:rsidR="00151586" w:rsidRPr="00DC7CC8" w:rsidRDefault="00151586" w:rsidP="000B3B9C">
      <w:pPr>
        <w:pStyle w:val="Titulek"/>
      </w:pPr>
      <w:bookmarkStart w:id="76" w:name="_Toc488233473"/>
      <w:r w:rsidRPr="00F5764D">
        <w:t xml:space="preserve">Tabulka </w:t>
      </w:r>
      <w:r w:rsidR="008965FE">
        <w:fldChar w:fldCharType="begin"/>
      </w:r>
      <w:r w:rsidR="00B33DFE">
        <w:instrText xml:space="preserve"> STYLEREF 1 \s </w:instrText>
      </w:r>
      <w:r w:rsidR="008965FE">
        <w:fldChar w:fldCharType="separate"/>
      </w:r>
      <w:r w:rsidR="00CB29BD">
        <w:t>4</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6</w:t>
      </w:r>
      <w:r w:rsidR="004F2330">
        <w:fldChar w:fldCharType="end"/>
      </w:r>
      <w:r w:rsidRPr="00F5764D">
        <w:t>: Průmyslové zóny v Karlovarském kraji</w:t>
      </w:r>
      <w:r>
        <w:t xml:space="preserve"> v roce 2016</w:t>
      </w:r>
      <w:r w:rsidRPr="00F5764D">
        <w:t xml:space="preserve"> </w:t>
      </w:r>
      <w:r>
        <w:t>a jejich rozloha (v ha)</w:t>
      </w:r>
      <w:bookmarkEnd w:id="76"/>
    </w:p>
    <w:tbl>
      <w:tblPr>
        <w:tblW w:w="5000" w:type="pct"/>
        <w:tblCellMar>
          <w:left w:w="70" w:type="dxa"/>
          <w:right w:w="70" w:type="dxa"/>
        </w:tblCellMar>
        <w:tblLook w:val="04A0" w:firstRow="1" w:lastRow="0" w:firstColumn="1" w:lastColumn="0" w:noHBand="0" w:noVBand="1"/>
      </w:tblPr>
      <w:tblGrid>
        <w:gridCol w:w="5599"/>
        <w:gridCol w:w="3613"/>
      </w:tblGrid>
      <w:tr w:rsidR="00151586" w:rsidRPr="00D41569" w:rsidTr="004B0C8E">
        <w:trPr>
          <w:trHeight w:val="300"/>
        </w:trPr>
        <w:tc>
          <w:tcPr>
            <w:tcW w:w="30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26" w:history="1">
              <w:r w:rsidR="00151586" w:rsidRPr="00D41569">
                <w:rPr>
                  <w:rFonts w:cs="Times New Roman"/>
                  <w:sz w:val="20"/>
                  <w:szCs w:val="20"/>
                </w:rPr>
                <w:t>Hospodářský park Aš</w:t>
              </w:r>
            </w:hyperlink>
          </w:p>
        </w:tc>
        <w:tc>
          <w:tcPr>
            <w:tcW w:w="1961" w:type="pct"/>
            <w:tcBorders>
              <w:top w:val="single" w:sz="4" w:space="0" w:color="auto"/>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32,5</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27" w:history="1">
              <w:r w:rsidR="00151586" w:rsidRPr="00D41569">
                <w:rPr>
                  <w:rFonts w:cs="Times New Roman"/>
                  <w:sz w:val="20"/>
                  <w:szCs w:val="20"/>
                </w:rPr>
                <w:t>Panattoni Park Aš</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3,96</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28" w:history="1">
              <w:r w:rsidR="00151586" w:rsidRPr="00D41569">
                <w:rPr>
                  <w:rFonts w:cs="Times New Roman"/>
                  <w:sz w:val="20"/>
                  <w:szCs w:val="20"/>
                </w:rPr>
                <w:t>Průmyslová plocha Skalná</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2,6</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29" w:history="1">
              <w:r w:rsidR="00151586" w:rsidRPr="00D41569">
                <w:rPr>
                  <w:rFonts w:cs="Times New Roman"/>
                  <w:sz w:val="20"/>
                  <w:szCs w:val="20"/>
                </w:rPr>
                <w:t>Průmyslový park Cheb (I.)</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106</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0" w:history="1">
              <w:r w:rsidR="00151586" w:rsidRPr="00D41569">
                <w:rPr>
                  <w:rFonts w:cs="Times New Roman"/>
                  <w:sz w:val="20"/>
                  <w:szCs w:val="20"/>
                </w:rPr>
                <w:t>Panattoni Park Cheb (v rámci Průmyslového parku Cheb I.)</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6,2</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1" w:history="1">
              <w:r w:rsidR="00151586" w:rsidRPr="00D41569">
                <w:rPr>
                  <w:rFonts w:cs="Times New Roman"/>
                  <w:sz w:val="20"/>
                  <w:szCs w:val="20"/>
                </w:rPr>
                <w:t>Průmyslová plocha Kraslice</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1,6</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2" w:history="1">
              <w:r w:rsidR="00151586" w:rsidRPr="00D41569">
                <w:rPr>
                  <w:rFonts w:cs="Times New Roman"/>
                  <w:sz w:val="20"/>
                  <w:szCs w:val="20"/>
                </w:rPr>
                <w:t>Průmyslová zóna - BÁŇSKÁ STAVEBNÍ SPOLEČNOST s. r. o.</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15,1</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3" w:history="1">
              <w:r w:rsidR="00151586" w:rsidRPr="00D41569">
                <w:rPr>
                  <w:rFonts w:cs="Times New Roman"/>
                  <w:sz w:val="20"/>
                  <w:szCs w:val="20"/>
                </w:rPr>
                <w:t>Průmyslová zóna Přátelství - Silvestr</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31,5</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4" w:history="1">
              <w:r w:rsidR="00151586" w:rsidRPr="00D41569">
                <w:rPr>
                  <w:rFonts w:cs="Times New Roman"/>
                  <w:sz w:val="20"/>
                  <w:szCs w:val="20"/>
                </w:rPr>
                <w:t>Průmyslová zóna Sokolov - Staré Sedlo</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124</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5" w:history="1">
              <w:r w:rsidR="00151586" w:rsidRPr="00D41569">
                <w:rPr>
                  <w:rFonts w:cs="Times New Roman"/>
                  <w:sz w:val="20"/>
                  <w:szCs w:val="20"/>
                </w:rPr>
                <w:t>Průmyslová zóna Nové Sedlo</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7,93</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6" w:history="1">
              <w:r w:rsidR="00151586" w:rsidRPr="00D41569">
                <w:rPr>
                  <w:rFonts w:cs="Times New Roman"/>
                  <w:sz w:val="20"/>
                  <w:szCs w:val="20"/>
                </w:rPr>
                <w:t>Průmyslová zóna Nová Role</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4,3</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7" w:history="1">
              <w:r w:rsidR="00151586" w:rsidRPr="00D41569">
                <w:rPr>
                  <w:rFonts w:cs="Times New Roman"/>
                  <w:sz w:val="20"/>
                  <w:szCs w:val="20"/>
                </w:rPr>
                <w:t>Průmyslová plocha Otovice</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9,48</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8" w:history="1">
              <w:r w:rsidR="00151586" w:rsidRPr="00D41569">
                <w:rPr>
                  <w:rFonts w:cs="Times New Roman"/>
                  <w:sz w:val="20"/>
                  <w:szCs w:val="20"/>
                </w:rPr>
                <w:t>Průmyslová zóna Ostrov</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30,5</w:t>
            </w:r>
          </w:p>
        </w:tc>
      </w:tr>
      <w:tr w:rsidR="00151586" w:rsidRPr="00D41569" w:rsidTr="004B0C8E">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rsidR="00151586" w:rsidRPr="00D41569" w:rsidRDefault="00D05E50" w:rsidP="002C40B2">
            <w:pPr>
              <w:spacing w:after="0"/>
              <w:jc w:val="left"/>
              <w:rPr>
                <w:rFonts w:cs="Times New Roman"/>
                <w:sz w:val="20"/>
                <w:szCs w:val="20"/>
              </w:rPr>
            </w:pPr>
            <w:hyperlink r:id="rId39" w:history="1">
              <w:r w:rsidR="003B6A4F" w:rsidRPr="00D41569">
                <w:rPr>
                  <w:rFonts w:cs="Times New Roman"/>
                  <w:sz w:val="20"/>
                  <w:szCs w:val="20"/>
                </w:rPr>
                <w:t>areál v</w:t>
              </w:r>
              <w:r w:rsidR="00151586" w:rsidRPr="00D41569">
                <w:rPr>
                  <w:rFonts w:cs="Times New Roman"/>
                  <w:sz w:val="20"/>
                  <w:szCs w:val="20"/>
                </w:rPr>
                <w:t>ěznice Horní Slavkov</w:t>
              </w:r>
            </w:hyperlink>
          </w:p>
        </w:tc>
        <w:tc>
          <w:tcPr>
            <w:tcW w:w="1961" w:type="pct"/>
            <w:tcBorders>
              <w:top w:val="nil"/>
              <w:left w:val="nil"/>
              <w:bottom w:val="single" w:sz="4" w:space="0" w:color="auto"/>
              <w:right w:val="single" w:sz="4" w:space="0" w:color="auto"/>
            </w:tcBorders>
            <w:shd w:val="clear" w:color="auto" w:fill="auto"/>
            <w:noWrap/>
            <w:vAlign w:val="bottom"/>
            <w:hideMark/>
          </w:tcPr>
          <w:p w:rsidR="00151586" w:rsidRPr="00D41569" w:rsidRDefault="00151586" w:rsidP="002C40B2">
            <w:pPr>
              <w:spacing w:after="0"/>
              <w:jc w:val="right"/>
              <w:rPr>
                <w:rFonts w:cs="Times New Roman"/>
                <w:sz w:val="20"/>
                <w:szCs w:val="20"/>
              </w:rPr>
            </w:pPr>
            <w:r w:rsidRPr="00D41569">
              <w:rPr>
                <w:rFonts w:cs="Times New Roman"/>
                <w:sz w:val="20"/>
                <w:szCs w:val="20"/>
              </w:rPr>
              <w:t>12</w:t>
            </w:r>
          </w:p>
        </w:tc>
      </w:tr>
    </w:tbl>
    <w:p w:rsidR="00151586" w:rsidRPr="0096334E" w:rsidRDefault="00151586" w:rsidP="002C40B2">
      <w:pPr>
        <w:spacing w:before="120" w:after="120"/>
        <w:ind w:left="11" w:hanging="11"/>
        <w:rPr>
          <w:rStyle w:val="Zdraznnjemn"/>
          <w:rFonts w:eastAsiaTheme="minorHAnsi"/>
          <w:b/>
        </w:rPr>
      </w:pPr>
      <w:r w:rsidRPr="00387C57">
        <w:rPr>
          <w:rStyle w:val="Zdraznnjemn"/>
          <w:rFonts w:eastAsiaTheme="minorHAnsi"/>
        </w:rPr>
        <w:t xml:space="preserve">Zdroj: </w:t>
      </w:r>
      <w:hyperlink r:id="rId40" w:history="1">
        <w:r w:rsidRPr="00387C57">
          <w:rPr>
            <w:rStyle w:val="Zdraznnjemn"/>
            <w:rFonts w:eastAsiaTheme="minorHAnsi"/>
          </w:rPr>
          <w:t>http://www.karlovyvary-region.eu/cz/investicni-prilezitosti</w:t>
        </w:r>
      </w:hyperlink>
      <w:r w:rsidRPr="0096334E">
        <w:rPr>
          <w:rStyle w:val="Zdraznnjemn"/>
          <w:rFonts w:eastAsiaTheme="minorHAnsi"/>
          <w:b/>
        </w:rPr>
        <w:t>.</w:t>
      </w:r>
    </w:p>
    <w:p w:rsidR="00151586" w:rsidRPr="00342B98" w:rsidRDefault="00151586" w:rsidP="002C40B2">
      <w:pPr>
        <w:pStyle w:val="Nadpis2"/>
      </w:pPr>
      <w:r w:rsidRPr="00342B98">
        <w:t xml:space="preserve">Klíčové výzvy/problémy </w:t>
      </w:r>
    </w:p>
    <w:p w:rsidR="00151586" w:rsidRPr="004B7DCB" w:rsidRDefault="00151586" w:rsidP="002C40B2">
      <w:pPr>
        <w:rPr>
          <w:b/>
        </w:rPr>
      </w:pPr>
      <w:r w:rsidRPr="004B7DCB">
        <w:rPr>
          <w:b/>
        </w:rPr>
        <w:t xml:space="preserve">Nízká úroveň přímých zahraničních investic </w:t>
      </w:r>
    </w:p>
    <w:p w:rsidR="00151586" w:rsidRDefault="00151586" w:rsidP="002C40B2">
      <w:r>
        <w:t>Karlovarský kraj patří dlouhodobě k regionům s nejnižší absolutní i relativní výší PZI.</w:t>
      </w:r>
    </w:p>
    <w:p w:rsidR="00151586" w:rsidRPr="004B7DCB" w:rsidRDefault="00151586" w:rsidP="002C40B2">
      <w:pPr>
        <w:rPr>
          <w:i/>
        </w:rPr>
      </w:pPr>
      <w:r w:rsidRPr="004B7DCB">
        <w:rPr>
          <w:b/>
          <w:i/>
        </w:rPr>
        <w:t>Příčiny</w:t>
      </w:r>
    </w:p>
    <w:p w:rsidR="007309C1" w:rsidRDefault="00151586" w:rsidP="002C40B2">
      <w:r>
        <w:t xml:space="preserve">Kraj je i přes svou výhodnou makropolohu na hranicích s Německem málo atraktivní pro PZI. Důvodem je absence silného ekonomického centra regionu se specializovanými podpůrnými službami, které PZI využívají. Příčinou je i malá tradice technických oborů v kraji a absence výzkumného a vývojového zázemí (VaV instituce či VŠ), což kraj znevýhodňuje při soutěži o PZI v průmyslových odvětvích. </w:t>
      </w:r>
    </w:p>
    <w:p w:rsidR="00151586" w:rsidRPr="004B7DCB" w:rsidRDefault="00151586" w:rsidP="002C40B2">
      <w:pPr>
        <w:rPr>
          <w:i/>
        </w:rPr>
      </w:pPr>
      <w:r w:rsidRPr="004B7DCB">
        <w:rPr>
          <w:b/>
          <w:i/>
        </w:rPr>
        <w:t>Důsledky</w:t>
      </w:r>
    </w:p>
    <w:p w:rsidR="00151586" w:rsidRDefault="00151586" w:rsidP="002C40B2">
      <w:r>
        <w:t xml:space="preserve">Podle mnoha empirických studií mají podniky v zahraničním vlastnictví vyšší produktivitu práce. Její nízká úroveň je právě jednou z příčin ekonomického zaostávání Karlovarského kraje (důvodem je i malý objem zahraničních </w:t>
      </w:r>
      <w:r w:rsidR="00342B98">
        <w:t>investic).</w:t>
      </w:r>
    </w:p>
    <w:p w:rsidR="00344062" w:rsidRDefault="00344062">
      <w:pPr>
        <w:spacing w:after="160" w:line="259" w:lineRule="auto"/>
        <w:jc w:val="left"/>
      </w:pPr>
      <w:r>
        <w:br w:type="page"/>
      </w:r>
    </w:p>
    <w:p w:rsidR="00151586" w:rsidRPr="004B7DCB" w:rsidRDefault="00151586" w:rsidP="002C40B2">
      <w:pPr>
        <w:rPr>
          <w:b/>
        </w:rPr>
      </w:pPr>
      <w:r w:rsidRPr="004B7DCB">
        <w:rPr>
          <w:b/>
        </w:rPr>
        <w:lastRenderedPageBreak/>
        <w:t xml:space="preserve">Stagnace vývozní výkonnosti kraje </w:t>
      </w:r>
    </w:p>
    <w:p w:rsidR="00151586" w:rsidRDefault="00151586" w:rsidP="002C40B2">
      <w:r>
        <w:t xml:space="preserve">Podíl kraje na celkovém vývozu z ČR dlouhodobě klesá a samotná relativní úroveň exportní výkonnosti kraje stagnuje. Pro kraj s významnými ekonomickými vazbami na sousední Německo je export stěžejní součástí ekonomiky. </w:t>
      </w:r>
    </w:p>
    <w:p w:rsidR="00151586" w:rsidRPr="004B7DCB" w:rsidRDefault="00151586" w:rsidP="002C40B2">
      <w:pPr>
        <w:rPr>
          <w:i/>
        </w:rPr>
      </w:pPr>
      <w:r w:rsidRPr="004B7DCB">
        <w:rPr>
          <w:b/>
          <w:i/>
        </w:rPr>
        <w:t>Příčiny</w:t>
      </w:r>
    </w:p>
    <w:p w:rsidR="00151586" w:rsidRDefault="00151586" w:rsidP="002C40B2">
      <w:r>
        <w:t xml:space="preserve">Malá konkurenceschopnost výrobců z kraje a jejich nízké ambice prosadit se na zahraničních trzích jsou hlavní příčinou tohoto stavu. Za stagnující úrovní exportu stojí také častá specializace firem na zakázkovou výrobu jednodušších produktů a jejich nízká pozice v hodnotových řetězcích. Z toho plyne neznalost koncových zákazníků a trhů a malá autonomie při rozhodování o dalším směřování podniku. To vše ztěžuje firmám šanci inovovat své produkty a nabízet je úspěšně na globálních trzích. </w:t>
      </w:r>
    </w:p>
    <w:p w:rsidR="00151586" w:rsidRPr="004B7DCB" w:rsidRDefault="00151586" w:rsidP="002C40B2">
      <w:pPr>
        <w:rPr>
          <w:i/>
        </w:rPr>
      </w:pPr>
      <w:r w:rsidRPr="004B7DCB">
        <w:rPr>
          <w:b/>
          <w:i/>
        </w:rPr>
        <w:t xml:space="preserve">Důsledky </w:t>
      </w:r>
    </w:p>
    <w:p w:rsidR="00151586" w:rsidRDefault="00151586" w:rsidP="002C40B2">
      <w:r>
        <w:t>Karlovarský kraj je výrazně exportně orientován (tak jako celá česká ekonomika), a proto stagnace v úrovni exportu vede nutně k osl</w:t>
      </w:r>
      <w:r w:rsidR="00342B98">
        <w:t xml:space="preserve">abení jeho ekonomického růstu. </w:t>
      </w:r>
    </w:p>
    <w:p w:rsidR="00151586" w:rsidRPr="004B7DCB" w:rsidRDefault="00151586" w:rsidP="002C40B2">
      <w:pPr>
        <w:rPr>
          <w:b/>
        </w:rPr>
      </w:pPr>
      <w:r w:rsidRPr="004B7DCB">
        <w:rPr>
          <w:b/>
        </w:rPr>
        <w:t xml:space="preserve">Diverzifikace portfolia vývozních destinací </w:t>
      </w:r>
    </w:p>
    <w:p w:rsidR="00151586" w:rsidRDefault="00151586" w:rsidP="002C40B2">
      <w:r>
        <w:t xml:space="preserve">Karlovarský kraj je ze všech regionů ČR nejvýrazněji exportně navázán na Německo. Do této země směřuje téměř 57 % celkové hodnoty vývozu. Přílišná závislost na některém exportním partnerovi </w:t>
      </w:r>
      <w:r w:rsidR="008234D7">
        <w:br/>
      </w:r>
      <w:r>
        <w:t xml:space="preserve">s sebou nese potenciální riziko v případě jeho ekonomických problémů. </w:t>
      </w:r>
    </w:p>
    <w:p w:rsidR="00151586" w:rsidRDefault="00151586" w:rsidP="002C40B2">
      <w:pPr>
        <w:rPr>
          <w:i/>
        </w:rPr>
      </w:pPr>
      <w:r w:rsidRPr="003B6A4F">
        <w:rPr>
          <w:b/>
          <w:i/>
        </w:rPr>
        <w:t>Příčiny</w:t>
      </w:r>
      <w:r w:rsidRPr="004B7DCB">
        <w:rPr>
          <w:i/>
        </w:rPr>
        <w:t xml:space="preserve"> </w:t>
      </w:r>
    </w:p>
    <w:p w:rsidR="00D153C6" w:rsidRDefault="00D153C6" w:rsidP="002C40B2">
      <w:r>
        <w:t xml:space="preserve">V </w:t>
      </w:r>
      <w:r w:rsidRPr="00302B38">
        <w:t>90. let</w:t>
      </w:r>
      <w:r>
        <w:t xml:space="preserve">ech přišla do kraje řada menších a středních firem </w:t>
      </w:r>
      <w:r w:rsidR="003B6A4F">
        <w:t xml:space="preserve">zejména </w:t>
      </w:r>
      <w:r>
        <w:t xml:space="preserve">z Německa, pro něž byl KK atraktivní blízkostí, průmyslovou tradicí a nízkou cenou pracovní síly. Přenesly sem však aktivity s nízkou přidanou hodnotou a malou inovační a technologickou náročností. </w:t>
      </w:r>
    </w:p>
    <w:p w:rsidR="00151586" w:rsidRPr="004B7DCB" w:rsidRDefault="00151586" w:rsidP="002C40B2">
      <w:pPr>
        <w:rPr>
          <w:i/>
        </w:rPr>
      </w:pPr>
      <w:r w:rsidRPr="004B7DCB">
        <w:rPr>
          <w:b/>
          <w:i/>
        </w:rPr>
        <w:t>Důsledky</w:t>
      </w:r>
    </w:p>
    <w:p w:rsidR="00151586" w:rsidRDefault="00342B98" w:rsidP="002C40B2">
      <w:r>
        <w:t xml:space="preserve">Velká exportní závislost na Německu a obecně na zemích EU bude oproti minulosti pravděpodobně spíše přítěží než výhodou. </w:t>
      </w:r>
      <w:r w:rsidR="00D153C6">
        <w:t xml:space="preserve">Kraj a zde usídlené firmy by se měly snažit hledat nové exportní partnery mimo EU (např. asijské trhy, Rusko). </w:t>
      </w:r>
      <w:r>
        <w:t xml:space="preserve">Zásadním problémem je však malá ambice většiny firem v kraji aktivně vytvářet nové produkty a snažit se pro ně hledat nové trhy, které mohou být zpětně pro firmy zdrojem inovací. </w:t>
      </w:r>
      <w:r w:rsidR="00151586">
        <w:t>Pokud by se podařilo nastartovat a dále rozvíjet nové růstové exportní trhy, bude to mít značný pozitivní vliv na ekonomiku kraje. Noví odběratelé a jejich zakázky by přispěly nejen k růstu exportních firem, ale také jejich regionálních partnerů a subdodavatelů. Prosazení se na růstových trzích, které zatím nebyly tolik postiženy krizí, by znamenalo pro kraj značnou konkurenční vý</w:t>
      </w:r>
      <w:r>
        <w:t xml:space="preserve">hodu oproti ostatním regionům. </w:t>
      </w:r>
    </w:p>
    <w:p w:rsidR="00151586" w:rsidRPr="006D0BE8" w:rsidRDefault="00151586" w:rsidP="002C40B2">
      <w:pPr>
        <w:pStyle w:val="Nadpis3"/>
        <w:spacing w:line="276" w:lineRule="auto"/>
      </w:pPr>
      <w:r w:rsidRPr="006D0BE8">
        <w:t xml:space="preserve">Literatura: </w:t>
      </w:r>
    </w:p>
    <w:p w:rsidR="00F13AB3" w:rsidRDefault="00F13AB3" w:rsidP="00C1787D">
      <w:pPr>
        <w:spacing w:after="120"/>
      </w:pPr>
      <w:r>
        <w:t xml:space="preserve">Berman Group. </w:t>
      </w:r>
      <w:r w:rsidRPr="00F22BDB">
        <w:rPr>
          <w:i/>
        </w:rPr>
        <w:t>Mapování hodnotových řetězců firem Karlovarského kraje</w:t>
      </w:r>
      <w:r>
        <w:t xml:space="preserve">. Praha, 2010. </w:t>
      </w:r>
    </w:p>
    <w:p w:rsidR="00F13AB3" w:rsidRDefault="00F13AB3" w:rsidP="00C1787D">
      <w:pPr>
        <w:spacing w:after="120"/>
      </w:pPr>
      <w:r w:rsidRPr="001305BB">
        <w:t xml:space="preserve">Berman Group. </w:t>
      </w:r>
      <w:r w:rsidRPr="005E5675">
        <w:rPr>
          <w:i/>
        </w:rPr>
        <w:t>Vstupní analýza</w:t>
      </w:r>
      <w:r>
        <w:t xml:space="preserve"> </w:t>
      </w:r>
      <w:r w:rsidRPr="001305BB">
        <w:rPr>
          <w:i/>
        </w:rPr>
        <w:t>Strategie hospodářské restrukturalizace Ústeckého, Moravskoslezského a Karlovarského kraje</w:t>
      </w:r>
      <w:r w:rsidRPr="001305BB">
        <w:rPr>
          <w:color w:val="000000"/>
        </w:rPr>
        <w:t xml:space="preserve"> [online].</w:t>
      </w:r>
      <w:r w:rsidRPr="001305BB">
        <w:t xml:space="preserve"> 2016. Dostupné z: </w:t>
      </w:r>
      <w:hyperlink r:id="rId41" w:history="1">
        <w:r w:rsidRPr="001305BB">
          <w:rPr>
            <w:rStyle w:val="Hypertextovodkaz"/>
          </w:rPr>
          <w:t>http://rskuk.cz/files/Zapis-</w:t>
        </w:r>
        <w:r w:rsidRPr="001305BB">
          <w:rPr>
            <w:rStyle w:val="Hypertextovodkaz"/>
          </w:rPr>
          <w:lastRenderedPageBreak/>
          <w:t>20160331/prilohy/20160316_Vstupni-analyza-Strategie-hospodarske-restrukturalizace-ULK-MS....pdf</w:t>
        </w:r>
      </w:hyperlink>
      <w:r w:rsidRPr="001305BB">
        <w:t>.</w:t>
      </w:r>
    </w:p>
    <w:p w:rsidR="00F13AB3" w:rsidRDefault="00F13AB3" w:rsidP="00C1787D">
      <w:pPr>
        <w:spacing w:after="120"/>
      </w:pPr>
      <w:r w:rsidRPr="00F13AB3">
        <w:t xml:space="preserve">Česká národní banka. </w:t>
      </w:r>
      <w:r w:rsidRPr="00F13AB3">
        <w:rPr>
          <w:i/>
        </w:rPr>
        <w:t xml:space="preserve">Přímé zahraniční investice 2009 – 2014 </w:t>
      </w:r>
      <w:r w:rsidRPr="00F13AB3">
        <w:rPr>
          <w:color w:val="000000"/>
        </w:rPr>
        <w:t>[online].</w:t>
      </w:r>
      <w:r w:rsidRPr="00F13AB3">
        <w:t xml:space="preserve"> Dostupné z: </w:t>
      </w:r>
      <w:hyperlink r:id="rId42" w:history="1">
        <w:r w:rsidRPr="00F13AB3">
          <w:rPr>
            <w:rStyle w:val="Hypertextovodkaz"/>
            <w:rFonts w:eastAsia="Calibri"/>
          </w:rPr>
          <w:t>http://www.cnb.cz/cs/statistika/platebni_bilance_stat/publikace_pb/pzi/index.html</w:t>
        </w:r>
      </w:hyperlink>
      <w:r w:rsidRPr="00F13AB3">
        <w:t>.</w:t>
      </w:r>
    </w:p>
    <w:p w:rsidR="00F13AB3" w:rsidRDefault="00F13AB3" w:rsidP="00C1787D">
      <w:pPr>
        <w:spacing w:after="120"/>
      </w:pPr>
      <w:r>
        <w:t>Golfer s.r.o.</w:t>
      </w:r>
      <w:r w:rsidRPr="00957C97">
        <w:t xml:space="preserve"> </w:t>
      </w:r>
      <w:r w:rsidRPr="00F22BDB">
        <w:rPr>
          <w:i/>
        </w:rPr>
        <w:t>Potenciál výrobních areálů a jejich přínos pro hospodářství Karlovarského kraje</w:t>
      </w:r>
      <w:r>
        <w:rPr>
          <w:i/>
        </w:rPr>
        <w:t xml:space="preserve"> </w:t>
      </w:r>
      <w:r>
        <w:rPr>
          <w:color w:val="000000"/>
        </w:rPr>
        <w:t>[online].</w:t>
      </w:r>
      <w:r>
        <w:t xml:space="preserve"> Karlovy Vary, 2009. Dostupné z:</w:t>
      </w:r>
      <w:r w:rsidRPr="004B7DCB">
        <w:t xml:space="preserve"> </w:t>
      </w:r>
      <w:hyperlink r:id="rId43" w:history="1">
        <w:r w:rsidRPr="00DE3AD2">
          <w:rPr>
            <w:rStyle w:val="Hypertextovodkaz"/>
          </w:rPr>
          <w:t>http://docplayer.cz/6276359-Potencial-vyrobnich-arealu-a-jejich-prinos-pro-hospodarstvi-karlovarskeho-kraje.html</w:t>
        </w:r>
      </w:hyperlink>
      <w:r>
        <w:t>.</w:t>
      </w:r>
    </w:p>
    <w:p w:rsidR="00131A3A" w:rsidRDefault="00F13AB3" w:rsidP="00C1787D">
      <w:pPr>
        <w:spacing w:after="120"/>
      </w:pPr>
      <w:r>
        <w:rPr>
          <w:szCs w:val="20"/>
        </w:rPr>
        <w:t xml:space="preserve">KÚKK. </w:t>
      </w:r>
      <w:r w:rsidRPr="00F22BDB">
        <w:rPr>
          <w:i/>
        </w:rPr>
        <w:t>Strategie rozvoje zaměstnanosti Karlovarského kraje</w:t>
      </w:r>
      <w:r>
        <w:rPr>
          <w:i/>
        </w:rPr>
        <w:t xml:space="preserve"> </w:t>
      </w:r>
      <w:r>
        <w:rPr>
          <w:color w:val="000000"/>
        </w:rPr>
        <w:t>[online].</w:t>
      </w:r>
      <w:r w:rsidRPr="00957C97">
        <w:t xml:space="preserve"> </w:t>
      </w:r>
      <w:r>
        <w:t>2015. Dostupné z:</w:t>
      </w:r>
      <w:r w:rsidRPr="00957C97">
        <w:t xml:space="preserve"> </w:t>
      </w:r>
      <w:hyperlink r:id="rId44" w:history="1">
        <w:r w:rsidRPr="00DE3AD2">
          <w:rPr>
            <w:rStyle w:val="Hypertextovodkaz"/>
          </w:rPr>
          <w:t>http://www.karp-kv.cz/cz/Documents/SRZKK_final_09_2015.pdf</w:t>
        </w:r>
      </w:hyperlink>
      <w:r>
        <w:t>.</w:t>
      </w:r>
    </w:p>
    <w:p w:rsidR="00131A3A" w:rsidRDefault="00131A3A" w:rsidP="002C40B2">
      <w:pPr>
        <w:spacing w:after="160"/>
        <w:jc w:val="left"/>
      </w:pPr>
      <w:r>
        <w:br w:type="page"/>
      </w:r>
    </w:p>
    <w:p w:rsidR="00D153C6" w:rsidRPr="00AE46CF" w:rsidRDefault="00D153C6" w:rsidP="00094A5B">
      <w:pPr>
        <w:pStyle w:val="Nadpis1"/>
      </w:pPr>
      <w:bookmarkStart w:id="77" w:name="_Toc321405928"/>
      <w:bookmarkStart w:id="78" w:name="_Toc488233390"/>
      <w:r w:rsidRPr="00AE46CF">
        <w:lastRenderedPageBreak/>
        <w:t>Odvětvová specializace kraje – strukturální charakteristiky hospodářství</w:t>
      </w:r>
      <w:bookmarkEnd w:id="77"/>
      <w:bookmarkEnd w:id="78"/>
    </w:p>
    <w:p w:rsidR="00D153C6" w:rsidRPr="00AE46CF" w:rsidRDefault="00D153C6" w:rsidP="002C40B2">
      <w:r w:rsidRPr="00AE46CF">
        <w:t xml:space="preserve">Regionální ekonomika Karlovarského kraje se vyznačuje </w:t>
      </w:r>
      <w:r w:rsidRPr="00AE46CF">
        <w:rPr>
          <w:b/>
        </w:rPr>
        <w:t>velkým podílem sekto</w:t>
      </w:r>
      <w:r w:rsidR="00370E46">
        <w:rPr>
          <w:b/>
        </w:rPr>
        <w:t>r</w:t>
      </w:r>
      <w:r w:rsidRPr="00AE46CF">
        <w:rPr>
          <w:b/>
        </w:rPr>
        <w:t xml:space="preserve">u služeb (terciér) na tvorbě </w:t>
      </w:r>
      <w:r w:rsidR="00370E46">
        <w:rPr>
          <w:b/>
        </w:rPr>
        <w:t>hrubé přidané hodnoty</w:t>
      </w:r>
      <w:r w:rsidR="00370E46" w:rsidRPr="00AE46CF">
        <w:rPr>
          <w:b/>
        </w:rPr>
        <w:t xml:space="preserve"> </w:t>
      </w:r>
      <w:r w:rsidR="00370E46">
        <w:rPr>
          <w:b/>
        </w:rPr>
        <w:t>(</w:t>
      </w:r>
      <w:r w:rsidRPr="00AE46CF">
        <w:rPr>
          <w:b/>
        </w:rPr>
        <w:t>HPH</w:t>
      </w:r>
      <w:r w:rsidR="00370E46">
        <w:rPr>
          <w:b/>
        </w:rPr>
        <w:t>)</w:t>
      </w:r>
      <w:r w:rsidRPr="00AE46CF">
        <w:rPr>
          <w:b/>
        </w:rPr>
        <w:t>, který má navíc rostoucí tendenci</w:t>
      </w:r>
      <w:r w:rsidRPr="00AE46CF">
        <w:t xml:space="preserve"> (</w:t>
      </w:r>
      <w:r>
        <w:t>z 56,3</w:t>
      </w:r>
      <w:r w:rsidRPr="00AE46CF">
        <w:t xml:space="preserve"> % v roce 200</w:t>
      </w:r>
      <w:r>
        <w:t xml:space="preserve">0 na </w:t>
      </w:r>
      <w:r w:rsidR="00370E46">
        <w:br/>
        <w:t>5</w:t>
      </w:r>
      <w:r w:rsidR="00C34587">
        <w:t>8,6</w:t>
      </w:r>
      <w:r>
        <w:t xml:space="preserve"> % v roce 201</w:t>
      </w:r>
      <w:r w:rsidR="00C34587">
        <w:t>4 – viz graf níže</w:t>
      </w:r>
      <w:r w:rsidRPr="00AE46CF">
        <w:t>). Významný podíl tvoří také primární sektor (zemědělství a lesní hospodářství, rybolov a dobývání nerostných surovin)</w:t>
      </w:r>
      <w:r w:rsidR="004142CF">
        <w:t>, který</w:t>
      </w:r>
      <w:r w:rsidRPr="00AE46CF">
        <w:t xml:space="preserve"> se </w:t>
      </w:r>
      <w:r w:rsidR="00C34587">
        <w:t>podílel v roce 2014 na</w:t>
      </w:r>
      <w:r w:rsidRPr="00AE46CF">
        <w:t xml:space="preserve"> tvorbě HPH </w:t>
      </w:r>
      <w:r>
        <w:t>v Karlovarském kraji zhruba ze 4</w:t>
      </w:r>
      <w:r w:rsidR="00C34587">
        <w:t>,6</w:t>
      </w:r>
      <w:r>
        <w:t xml:space="preserve"> %</w:t>
      </w:r>
      <w:r w:rsidRPr="00AE46CF">
        <w:t xml:space="preserve">. Příčinou je těžba hnědého uhlí a lehkých stavebních materiálů </w:t>
      </w:r>
      <w:r w:rsidR="00C1787D">
        <w:br/>
      </w:r>
      <w:r w:rsidRPr="00AE46CF">
        <w:t>v kraji.</w:t>
      </w:r>
      <w:r w:rsidR="00C34587" w:rsidRPr="00C34587">
        <w:t xml:space="preserve"> </w:t>
      </w:r>
      <w:r w:rsidR="00C34587" w:rsidRPr="00AE46CF">
        <w:t>Sektor průmyslu (sekundér)</w:t>
      </w:r>
      <w:r w:rsidR="00C34587">
        <w:t xml:space="preserve"> se podílí na tvorbě HPH kraje o něco méně, než je tomu v průměru v</w:t>
      </w:r>
      <w:r w:rsidR="00370E46">
        <w:t> </w:t>
      </w:r>
      <w:r w:rsidR="00C34587">
        <w:t>ČR</w:t>
      </w:r>
      <w:r w:rsidR="00370E46">
        <w:t xml:space="preserve"> (36,8% podíl oproti 38% podílu v ČR)</w:t>
      </w:r>
      <w:r w:rsidR="00C34587">
        <w:t>.</w:t>
      </w:r>
    </w:p>
    <w:p w:rsidR="00D153C6" w:rsidRDefault="00D153C6" w:rsidP="000B3B9C">
      <w:pPr>
        <w:pStyle w:val="Titulek"/>
      </w:pPr>
      <w:bookmarkStart w:id="79" w:name="_Ref466967232"/>
      <w:bookmarkStart w:id="80" w:name="_Toc310603997"/>
      <w:bookmarkStart w:id="81" w:name="_Toc310604063"/>
      <w:bookmarkStart w:id="82" w:name="_Toc321406368"/>
      <w:bookmarkStart w:id="83" w:name="_Toc488234345"/>
      <w:r w:rsidRPr="00AE46CF">
        <w:t xml:space="preserve">Graf </w:t>
      </w:r>
      <w:r w:rsidR="004F2330">
        <w:fldChar w:fldCharType="begin"/>
      </w:r>
      <w:r w:rsidR="004F2330">
        <w:instrText xml:space="preserve"> STYLEREF 1 \s </w:instrText>
      </w:r>
      <w:r w:rsidR="004F2330">
        <w:fldChar w:fldCharType="separate"/>
      </w:r>
      <w:r w:rsidR="00CB29BD">
        <w:t>5</w:t>
      </w:r>
      <w:r w:rsidR="004F2330">
        <w:fldChar w:fldCharType="end"/>
      </w:r>
      <w:r w:rsidR="00FD378B">
        <w:t>.</w:t>
      </w:r>
      <w:r w:rsidR="004F2330">
        <w:fldChar w:fldCharType="begin"/>
      </w:r>
      <w:r w:rsidR="004F2330">
        <w:instrText xml:space="preserve"> SEQ Graf \* ARABIC \s 1 </w:instrText>
      </w:r>
      <w:r w:rsidR="004F2330">
        <w:fldChar w:fldCharType="separate"/>
      </w:r>
      <w:r w:rsidR="00CB29BD">
        <w:t>1</w:t>
      </w:r>
      <w:r w:rsidR="004F2330">
        <w:fldChar w:fldCharType="end"/>
      </w:r>
      <w:bookmarkEnd w:id="79"/>
      <w:r w:rsidRPr="00AE46CF">
        <w:t>: Vývoj podílů ekonomických sektorů na tvorbě HPH</w:t>
      </w:r>
      <w:r>
        <w:t xml:space="preserve"> v KK a ČR v roce</w:t>
      </w:r>
      <w:r w:rsidRPr="00AE46CF">
        <w:t xml:space="preserve"> 200</w:t>
      </w:r>
      <w:r>
        <w:t>0 a</w:t>
      </w:r>
      <w:r w:rsidRPr="00AE46CF">
        <w:t xml:space="preserve"> 20</w:t>
      </w:r>
      <w:r>
        <w:t>14</w:t>
      </w:r>
      <w:bookmarkEnd w:id="80"/>
      <w:bookmarkEnd w:id="81"/>
      <w:bookmarkEnd w:id="82"/>
      <w:bookmarkEnd w:id="83"/>
    </w:p>
    <w:p w:rsidR="00D153C6" w:rsidRPr="005762F0" w:rsidRDefault="00D153C6" w:rsidP="002C40B2">
      <w:pPr>
        <w:spacing w:before="120"/>
        <w:rPr>
          <w:rStyle w:val="Siln"/>
          <w:rFonts w:eastAsiaTheme="majorEastAsia" w:cs="Calibri"/>
          <w:b w:val="0"/>
          <w:i/>
          <w:sz w:val="20"/>
          <w:szCs w:val="20"/>
        </w:rPr>
      </w:pPr>
      <w:r>
        <w:rPr>
          <w:noProof/>
        </w:rPr>
        <w:drawing>
          <wp:inline distT="0" distB="0" distL="0" distR="0">
            <wp:extent cx="5724525" cy="27432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762F0">
        <w:rPr>
          <w:rStyle w:val="Siln"/>
          <w:rFonts w:eastAsiaTheme="majorEastAsia" w:cs="Calibri"/>
          <w:b w:val="0"/>
          <w:i/>
          <w:sz w:val="20"/>
          <w:szCs w:val="20"/>
        </w:rPr>
        <w:t>Zdroj: ČSÚ – Regionální účty, Národní účty</w:t>
      </w:r>
    </w:p>
    <w:p w:rsidR="00D153C6" w:rsidRPr="00AE46CF" w:rsidRDefault="00D153C6" w:rsidP="002C40B2">
      <w:r w:rsidRPr="00AE46CF">
        <w:t xml:space="preserve">Toto porovnání nabízí nutně pouze velmi hrubý obraz o odvětvové specializaci hospodářství kraje, ovšem poskytuje informace o některých základních tendencích vývoje. </w:t>
      </w:r>
      <w:r w:rsidRPr="00C34587">
        <w:rPr>
          <w:b/>
        </w:rPr>
        <w:t xml:space="preserve">V ekonomice kraje dominují služby, významnou roli má rovněž primární sektor, naopak v porovnání se zbytkem ČR dosahuje slabší výkonnosti průmysl. </w:t>
      </w:r>
      <w:r w:rsidRPr="00AE46CF">
        <w:t>Pro hlubší analýzu je však nutné jít na nižší úroveň odvětvového členění.</w:t>
      </w:r>
    </w:p>
    <w:p w:rsidR="00721CA4" w:rsidRDefault="00D153C6" w:rsidP="002C40B2">
      <w:r w:rsidRPr="00AE46CF">
        <w:t>Při pohledu na podrobnější členění hospodářství Karlovarského kraje dle odvětví NACE jsou patrné některé výraznější odlišnosti</w:t>
      </w:r>
      <w:r w:rsidR="00721CA4">
        <w:t xml:space="preserve"> </w:t>
      </w:r>
      <w:r w:rsidR="001B6290">
        <w:t>(</w:t>
      </w:r>
      <w:r w:rsidR="004F2330">
        <w:fldChar w:fldCharType="begin"/>
      </w:r>
      <w:r w:rsidR="004F2330">
        <w:instrText xml:space="preserve"> REF _Ref468366057 \h  \* MERGEFORMAT </w:instrText>
      </w:r>
      <w:r w:rsidR="004F2330">
        <w:fldChar w:fldCharType="separate"/>
      </w:r>
      <w:r w:rsidR="00DA707D">
        <w:t>g</w:t>
      </w:r>
      <w:r w:rsidR="00CB29BD" w:rsidRPr="007112E7">
        <w:t xml:space="preserve">raf </w:t>
      </w:r>
      <w:r w:rsidR="00CB29BD">
        <w:rPr>
          <w:noProof/>
        </w:rPr>
        <w:t>5</w:t>
      </w:r>
      <w:r w:rsidR="00CB29BD">
        <w:t>.2</w:t>
      </w:r>
      <w:r w:rsidR="004F2330">
        <w:fldChar w:fldCharType="end"/>
      </w:r>
      <w:r w:rsidR="00721CA4" w:rsidRPr="00721CA4">
        <w:t>)</w:t>
      </w:r>
      <w:r w:rsidRPr="00AE46CF">
        <w:t xml:space="preserve">. Především je to </w:t>
      </w:r>
      <w:r w:rsidRPr="00AE46CF">
        <w:rPr>
          <w:b/>
        </w:rPr>
        <w:t>nižší výkonnost zpracovatelského průmyslu v kraji oproti situaci v Č</w:t>
      </w:r>
      <w:r>
        <w:rPr>
          <w:b/>
        </w:rPr>
        <w:t>R</w:t>
      </w:r>
      <w:r w:rsidRPr="00AE46CF">
        <w:t xml:space="preserve"> – v Karlovarském kraji se podílel zpracovatelský průmysl v roce </w:t>
      </w:r>
      <w:r>
        <w:t xml:space="preserve">2014 </w:t>
      </w:r>
      <w:r w:rsidRPr="00AE46CF">
        <w:t xml:space="preserve">pouze </w:t>
      </w:r>
      <w:r>
        <w:t>21,3</w:t>
      </w:r>
      <w:r w:rsidRPr="00AE46CF">
        <w:t> % na tvorbě HPH, zatímco v ČR je to 2</w:t>
      </w:r>
      <w:r>
        <w:t>6</w:t>
      </w:r>
      <w:r w:rsidRPr="00AE46CF">
        <w:t xml:space="preserve">,6 % a tuto hodnotu navíc snižuje efekt Prahy. Zatímco úroveň zaměstnanosti ve zpracovatelském průmyslu je v ČR </w:t>
      </w:r>
      <w:r>
        <w:t xml:space="preserve">(26 %) </w:t>
      </w:r>
      <w:r w:rsidRPr="00AE46CF">
        <w:t>a kraji</w:t>
      </w:r>
      <w:r>
        <w:t xml:space="preserve"> (25,3 %)</w:t>
      </w:r>
      <w:r w:rsidRPr="00AE46CF">
        <w:t xml:space="preserve"> téměř shodná, Karlovarský kraj zaostává v produktivitě v tomto odvětví. Výrazně vyšší podíl </w:t>
      </w:r>
      <w:r>
        <w:t>skupiny p</w:t>
      </w:r>
      <w:r w:rsidRPr="00D46E67">
        <w:t xml:space="preserve">růmysl, těžba a dobývání </w:t>
      </w:r>
      <w:r>
        <w:t>v kraji oproti ČR (10 % vůči 5,8</w:t>
      </w:r>
      <w:r w:rsidR="00733FD1">
        <w:t xml:space="preserve"> </w:t>
      </w:r>
      <w:r>
        <w:t xml:space="preserve">%) </w:t>
      </w:r>
      <w:r w:rsidRPr="00AE46CF">
        <w:t>souvisí s tradičními odvětvími (těžba hnědého uhlí a stavebních materiálů, jílů a břidlic)</w:t>
      </w:r>
      <w:r w:rsidR="00733FD1">
        <w:t xml:space="preserve">, které stále představují </w:t>
      </w:r>
      <w:r w:rsidRPr="00AE46CF">
        <w:t xml:space="preserve">důležité hospodářské aktivity v kraji. Těžba surovin bude v regionu zaujímat vždy poměrně důležitou pozici, je však nutné rozvíjet především odvětví navazující na těžbu, která mohou zvýšit celkový ekonomický přínos těžebního průmyslu pro kraj. </w:t>
      </w:r>
      <w:r w:rsidR="00733FD1">
        <w:t>Dle grafu níže vykazují z</w:t>
      </w:r>
      <w:r w:rsidRPr="00AE46CF">
        <w:t xml:space="preserve">vyšující </w:t>
      </w:r>
      <w:r w:rsidR="00733FD1">
        <w:t xml:space="preserve">se </w:t>
      </w:r>
      <w:r w:rsidRPr="00AE46CF">
        <w:t xml:space="preserve">podíl </w:t>
      </w:r>
      <w:r w:rsidR="00721CA4">
        <w:t xml:space="preserve">na tvorbě HPH kraje </w:t>
      </w:r>
      <w:r w:rsidR="00733FD1">
        <w:t>tato</w:t>
      </w:r>
      <w:r w:rsidRPr="00AE46CF">
        <w:t xml:space="preserve"> odvětví</w:t>
      </w:r>
      <w:r w:rsidR="00733FD1">
        <w:t>:</w:t>
      </w:r>
      <w:r w:rsidRPr="00AE46CF">
        <w:t xml:space="preserve"> </w:t>
      </w:r>
      <w:r>
        <w:t>zemědělství, lesnictví a rybolov</w:t>
      </w:r>
      <w:r w:rsidR="00733FD1">
        <w:t>,</w:t>
      </w:r>
      <w:r>
        <w:t xml:space="preserve"> </w:t>
      </w:r>
      <w:r w:rsidR="00733FD1">
        <w:t xml:space="preserve">průmysl, těžba a dobývání, zpracovatelský průmysl </w:t>
      </w:r>
      <w:r>
        <w:t>a o</w:t>
      </w:r>
      <w:r w:rsidRPr="00C37E83">
        <w:t>bchod, doprava, ubytování a pohostinství</w:t>
      </w:r>
      <w:r w:rsidRPr="00AE46CF">
        <w:t xml:space="preserve">. V poměrně heterogenní skupině služeb </w:t>
      </w:r>
      <w:r>
        <w:t xml:space="preserve">hrají </w:t>
      </w:r>
      <w:r w:rsidRPr="00AE46CF">
        <w:t>v Karlovarském kraji významnější roli pohostin</w:t>
      </w:r>
      <w:r w:rsidR="00721CA4">
        <w:t>ství a ubytování, což souvisí s</w:t>
      </w:r>
      <w:r w:rsidRPr="00AE46CF">
        <w:t xml:space="preserve"> lázeňstvím. </w:t>
      </w:r>
      <w:r>
        <w:t>N</w:t>
      </w:r>
      <w:r w:rsidRPr="00AE46CF">
        <w:t>a tvorbě HPH</w:t>
      </w:r>
      <w:r>
        <w:t xml:space="preserve"> kraje</w:t>
      </w:r>
      <w:r w:rsidRPr="00AE46CF">
        <w:t xml:space="preserve"> </w:t>
      </w:r>
      <w:r>
        <w:t xml:space="preserve">se vedle zpracovatelského </w:t>
      </w:r>
      <w:r>
        <w:lastRenderedPageBreak/>
        <w:t>průmyslu (21,3 %) a o</w:t>
      </w:r>
      <w:r w:rsidRPr="00C37E83">
        <w:t>bchod</w:t>
      </w:r>
      <w:r>
        <w:t>u</w:t>
      </w:r>
      <w:r w:rsidRPr="00C37E83">
        <w:t>, doprav</w:t>
      </w:r>
      <w:r>
        <w:t>y</w:t>
      </w:r>
      <w:r w:rsidRPr="00C37E83">
        <w:t>, ubytování a pohostinství</w:t>
      </w:r>
      <w:r w:rsidRPr="00AE46CF" w:rsidDel="00A80224">
        <w:t xml:space="preserve"> </w:t>
      </w:r>
      <w:r>
        <w:t xml:space="preserve">(20,1%) velkou měrou podílí </w:t>
      </w:r>
      <w:r w:rsidRPr="00AE46CF">
        <w:t xml:space="preserve">také skupina </w:t>
      </w:r>
      <w:r>
        <w:t>v</w:t>
      </w:r>
      <w:r w:rsidRPr="00C37E83">
        <w:t>eřejná správa a obrana, vzdělávání, zdravotní a sociální péče</w:t>
      </w:r>
      <w:r w:rsidR="00733FD1">
        <w:t>, jejichž podíl je oproti průměru ČR vyšší téměř o 5 p. b.</w:t>
      </w:r>
      <w:r w:rsidRPr="00C37E83" w:rsidDel="00C37E83">
        <w:t xml:space="preserve"> </w:t>
      </w:r>
      <w:r w:rsidRPr="00AE46CF">
        <w:t>(</w:t>
      </w:r>
      <w:r>
        <w:t>1</w:t>
      </w:r>
      <w:r w:rsidRPr="00AE46CF">
        <w:t>9,</w:t>
      </w:r>
      <w:r>
        <w:t>5</w:t>
      </w:r>
      <w:r w:rsidRPr="00AE46CF">
        <w:t xml:space="preserve"> % oproti </w:t>
      </w:r>
      <w:r>
        <w:t>1</w:t>
      </w:r>
      <w:r w:rsidRPr="00AE46CF">
        <w:t>4,</w:t>
      </w:r>
      <w:r>
        <w:t>8</w:t>
      </w:r>
      <w:r w:rsidRPr="00AE46CF">
        <w:t xml:space="preserve"> % v Č</w:t>
      </w:r>
      <w:r>
        <w:t>R</w:t>
      </w:r>
      <w:r w:rsidRPr="00AE46CF">
        <w:t xml:space="preserve"> v roce 20</w:t>
      </w:r>
      <w:r>
        <w:t>14</w:t>
      </w:r>
      <w:r w:rsidRPr="00AE46CF">
        <w:t xml:space="preserve">). </w:t>
      </w:r>
      <w:r w:rsidR="00721CA4">
        <w:t xml:space="preserve">Naproti tomu </w:t>
      </w:r>
      <w:r w:rsidR="00721CA4" w:rsidRPr="00AE46CF">
        <w:t>Karlovarský kraj zaostává proti průměru Č</w:t>
      </w:r>
      <w:r w:rsidR="00721CA4">
        <w:t>R</w:t>
      </w:r>
      <w:r w:rsidR="00721CA4" w:rsidRPr="00AE46CF">
        <w:t xml:space="preserve"> ve výkonnosti </w:t>
      </w:r>
      <w:r w:rsidR="00721CA4">
        <w:t>v odvětví: i</w:t>
      </w:r>
      <w:r w:rsidR="00721CA4" w:rsidRPr="00D46E67">
        <w:t>nformační a komunikační činnosti</w:t>
      </w:r>
      <w:r w:rsidR="00721CA4">
        <w:t>, p</w:t>
      </w:r>
      <w:r w:rsidR="00721CA4" w:rsidRPr="00D46E67">
        <w:t xml:space="preserve">eněžnictví a pojišťovnictví </w:t>
      </w:r>
      <w:r w:rsidR="00721CA4">
        <w:t>a p</w:t>
      </w:r>
      <w:r w:rsidR="00721CA4" w:rsidRPr="00D46E67">
        <w:t>rofesní, vědecké, technické a administrativní činnosti</w:t>
      </w:r>
      <w:r w:rsidR="00721CA4">
        <w:t>, tedy v odvětvích s vyšší přidanou hodnotou</w:t>
      </w:r>
      <w:r w:rsidR="00721CA4" w:rsidRPr="00D46E67">
        <w:t xml:space="preserve"> </w:t>
      </w:r>
      <w:r w:rsidR="00721CA4" w:rsidRPr="00AE46CF">
        <w:t xml:space="preserve">(podíl na HPH </w:t>
      </w:r>
      <w:r w:rsidR="00721CA4">
        <w:t>kraje činil v roce 2014 za všechny 3 skupiny 5,</w:t>
      </w:r>
      <w:r w:rsidR="00721CA4" w:rsidRPr="00AE46CF">
        <w:t>7 % oproti 1</w:t>
      </w:r>
      <w:r w:rsidR="00721CA4">
        <w:t>6,2</w:t>
      </w:r>
      <w:r w:rsidR="00721CA4" w:rsidRPr="00AE46CF">
        <w:t> % v Č</w:t>
      </w:r>
      <w:r w:rsidR="00721CA4">
        <w:t>R</w:t>
      </w:r>
      <w:r w:rsidR="00721CA4" w:rsidRPr="00AE46CF">
        <w:t>).</w:t>
      </w:r>
      <w:r w:rsidR="00721CA4">
        <w:t xml:space="preserve"> </w:t>
      </w:r>
      <w:r w:rsidR="00721CA4" w:rsidRPr="00AE46CF">
        <w:t>Obecně je tedy ekonomika kraje zaměřena spíše na méně sofistikované a jednodušší aktivity s nižší přidanou hodnotou.</w:t>
      </w:r>
    </w:p>
    <w:p w:rsidR="00285F3B" w:rsidRPr="00E93B5D" w:rsidRDefault="00D153C6" w:rsidP="000B3B9C">
      <w:pPr>
        <w:pStyle w:val="Titulek"/>
      </w:pPr>
      <w:bookmarkStart w:id="84" w:name="_Ref468366057"/>
      <w:bookmarkStart w:id="85" w:name="_Toc310603998"/>
      <w:bookmarkStart w:id="86" w:name="_Toc310604064"/>
      <w:bookmarkStart w:id="87" w:name="_Toc321406369"/>
      <w:bookmarkStart w:id="88" w:name="_Toc488234346"/>
      <w:r w:rsidRPr="007112E7">
        <w:t xml:space="preserve">Graf </w:t>
      </w:r>
      <w:r w:rsidR="004F2330">
        <w:fldChar w:fldCharType="begin"/>
      </w:r>
      <w:r w:rsidR="004F2330">
        <w:instrText xml:space="preserve"> STYLEREF 1 \s </w:instrText>
      </w:r>
      <w:r w:rsidR="004F2330">
        <w:fldChar w:fldCharType="separate"/>
      </w:r>
      <w:r w:rsidR="00CB29BD">
        <w:t>5</w:t>
      </w:r>
      <w:r w:rsidR="004F2330">
        <w:fldChar w:fldCharType="end"/>
      </w:r>
      <w:r w:rsidR="00FD378B">
        <w:t>.</w:t>
      </w:r>
      <w:r w:rsidR="004F2330">
        <w:fldChar w:fldCharType="begin"/>
      </w:r>
      <w:r w:rsidR="004F2330">
        <w:instrText xml:space="preserve"> SEQ Graf \* ARABIC \s 1 </w:instrText>
      </w:r>
      <w:r w:rsidR="004F2330">
        <w:fldChar w:fldCharType="separate"/>
      </w:r>
      <w:r w:rsidR="00CB29BD">
        <w:t>2</w:t>
      </w:r>
      <w:r w:rsidR="004F2330">
        <w:fldChar w:fldCharType="end"/>
      </w:r>
      <w:bookmarkEnd w:id="84"/>
      <w:r w:rsidRPr="007112E7">
        <w:t xml:space="preserve">: </w:t>
      </w:r>
      <w:r>
        <w:t>Podíl</w:t>
      </w:r>
      <w:r w:rsidRPr="007112E7">
        <w:t xml:space="preserve"> jednotlivých </w:t>
      </w:r>
      <w:r>
        <w:t>odvětví</w:t>
      </w:r>
      <w:r w:rsidRPr="007112E7">
        <w:t xml:space="preserve"> </w:t>
      </w:r>
      <w:bookmarkEnd w:id="85"/>
      <w:bookmarkEnd w:id="86"/>
      <w:bookmarkEnd w:id="87"/>
      <w:r w:rsidR="00733FD1">
        <w:t>hospodářství na tvorbě HPH v KK a ČR v letech 2009 a 2014</w:t>
      </w:r>
      <w:bookmarkEnd w:id="88"/>
    </w:p>
    <w:p w:rsidR="008D05B1" w:rsidRDefault="008D05B1" w:rsidP="002C40B2">
      <w:pPr>
        <w:jc w:val="left"/>
        <w:rPr>
          <w:rStyle w:val="Siln"/>
          <w:rFonts w:eastAsiaTheme="majorEastAsia" w:cs="Calibri"/>
          <w:b w:val="0"/>
          <w:i/>
          <w:sz w:val="20"/>
          <w:szCs w:val="20"/>
        </w:rPr>
      </w:pPr>
      <w:r>
        <w:rPr>
          <w:noProof/>
        </w:rPr>
        <w:drawing>
          <wp:inline distT="0" distB="0" distL="0" distR="0">
            <wp:extent cx="5762625" cy="3810000"/>
            <wp:effectExtent l="0" t="0" r="9525"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153C6" w:rsidRPr="007112E7" w:rsidRDefault="00D153C6" w:rsidP="002C40B2">
      <w:pPr>
        <w:spacing w:before="120"/>
        <w:jc w:val="left"/>
        <w:rPr>
          <w:rStyle w:val="Siln"/>
          <w:rFonts w:eastAsiaTheme="majorEastAsia" w:cs="Calibri"/>
          <w:b w:val="0"/>
          <w:i/>
          <w:sz w:val="20"/>
          <w:szCs w:val="20"/>
        </w:rPr>
      </w:pPr>
      <w:r>
        <w:rPr>
          <w:rStyle w:val="Siln"/>
          <w:rFonts w:eastAsiaTheme="majorEastAsia" w:cs="Calibri"/>
          <w:b w:val="0"/>
          <w:i/>
          <w:sz w:val="20"/>
          <w:szCs w:val="20"/>
        </w:rPr>
        <w:t xml:space="preserve">Zdroj: </w:t>
      </w:r>
      <w:r w:rsidR="00744509">
        <w:rPr>
          <w:rStyle w:val="Siln"/>
          <w:rFonts w:eastAsiaTheme="majorEastAsia" w:cs="Calibri"/>
          <w:b w:val="0"/>
          <w:i/>
          <w:sz w:val="20"/>
          <w:szCs w:val="20"/>
        </w:rPr>
        <w:t>ČSÚ -</w:t>
      </w:r>
      <w:r>
        <w:rPr>
          <w:rStyle w:val="Siln"/>
          <w:rFonts w:eastAsiaTheme="majorEastAsia" w:cs="Calibri"/>
          <w:b w:val="0"/>
          <w:i/>
          <w:sz w:val="20"/>
          <w:szCs w:val="20"/>
        </w:rPr>
        <w:t xml:space="preserve"> Regionální účty, </w:t>
      </w:r>
      <w:r w:rsidRPr="007112E7">
        <w:rPr>
          <w:rStyle w:val="Siln"/>
          <w:rFonts w:eastAsiaTheme="majorEastAsia" w:cs="Calibri"/>
          <w:b w:val="0"/>
          <w:i/>
          <w:sz w:val="20"/>
          <w:szCs w:val="20"/>
        </w:rPr>
        <w:t>Vybrané ukazatele v odvětvovém členění</w:t>
      </w:r>
    </w:p>
    <w:p w:rsidR="00D153C6" w:rsidRDefault="00D153C6" w:rsidP="002C40B2">
      <w:pPr>
        <w:rPr>
          <w:sz w:val="18"/>
          <w:szCs w:val="18"/>
        </w:rPr>
      </w:pPr>
      <w:r w:rsidRPr="00224A2D">
        <w:t>Z kapitoly o makroekonomickém vývoji a rozkladu HDP na dílčí faktory vyplývá, že příčinou hospodářské stagnace Karlovarského kraje je nízká produktivita práce</w:t>
      </w:r>
      <w:r w:rsidR="00B10A66">
        <w:t xml:space="preserve"> (viz </w:t>
      </w:r>
      <w:r w:rsidR="004F2330">
        <w:fldChar w:fldCharType="begin"/>
      </w:r>
      <w:r w:rsidR="004F2330">
        <w:instrText xml:space="preserve"> REF _Ref468693872 \h  \* MERGEFORMAT </w:instrText>
      </w:r>
      <w:r w:rsidR="004F2330">
        <w:fldChar w:fldCharType="separate"/>
      </w:r>
      <w:r w:rsidR="00EB0944">
        <w:t>t</w:t>
      </w:r>
      <w:r w:rsidR="00CB29BD">
        <w:t>abulka 3.1</w:t>
      </w:r>
      <w:r w:rsidR="004F2330">
        <w:fldChar w:fldCharType="end"/>
      </w:r>
      <w:r w:rsidR="00B10A66">
        <w:t>)</w:t>
      </w:r>
      <w:r w:rsidRPr="00224A2D">
        <w:t xml:space="preserve">. </w:t>
      </w:r>
      <w:r w:rsidR="004F2330">
        <w:fldChar w:fldCharType="begin"/>
      </w:r>
      <w:r w:rsidR="004F2330">
        <w:instrText xml:space="preserve"> REF _Ref468366057 \h  \* MERGEFORMAT </w:instrText>
      </w:r>
      <w:r w:rsidR="004F2330">
        <w:fldChar w:fldCharType="separate"/>
      </w:r>
      <w:r w:rsidR="00CB29BD" w:rsidRPr="007112E7">
        <w:t xml:space="preserve">Graf </w:t>
      </w:r>
      <w:r w:rsidR="00CB29BD">
        <w:rPr>
          <w:noProof/>
        </w:rPr>
        <w:t>5</w:t>
      </w:r>
      <w:r w:rsidR="00CB29BD">
        <w:t>.2</w:t>
      </w:r>
      <w:r w:rsidR="004F2330">
        <w:fldChar w:fldCharType="end"/>
      </w:r>
      <w:r w:rsidR="00744509" w:rsidRPr="00224A2D">
        <w:t xml:space="preserve"> ukazuje, že v</w:t>
      </w:r>
      <w:r w:rsidRPr="00224A2D">
        <w:t xml:space="preserve"> ekonomice kraje jsou více zastoupeny obory, které mají spíše nižší produktivitu práce </w:t>
      </w:r>
      <w:r w:rsidR="00B10A66">
        <w:br/>
      </w:r>
      <w:r w:rsidRPr="00224A2D">
        <w:t xml:space="preserve">a méně přispívají k tvorbě přidané hodnoty. </w:t>
      </w:r>
      <w:r w:rsidRPr="00224A2D">
        <w:rPr>
          <w:b/>
        </w:rPr>
        <w:t xml:space="preserve">Sektorová struktura hospodářství kraje je tedy jednou z příčin jeho relativního zaostávání oproti ostatním oblastem ČR. </w:t>
      </w:r>
      <w:r w:rsidRPr="00B10A66">
        <w:rPr>
          <w:b/>
        </w:rPr>
        <w:t>Druhou, neméně významnou příčinou slabých hospodářských výsledků, je především velmi nízká úroveň samotné produktivity práce napříč téměř všemi odvětvími ekonomiky Karlovarského kraje</w:t>
      </w:r>
      <w:r w:rsidR="0013526D" w:rsidRPr="00B10A66">
        <w:rPr>
          <w:b/>
        </w:rPr>
        <w:t xml:space="preserve"> </w:t>
      </w:r>
      <w:r w:rsidR="0013526D" w:rsidRPr="00B10A66">
        <w:t xml:space="preserve">(viz </w:t>
      </w:r>
      <w:r w:rsidR="004F2330">
        <w:fldChar w:fldCharType="begin"/>
      </w:r>
      <w:r w:rsidR="004F2330">
        <w:instrText xml:space="preserve"> REF _Ref468694134 \h  \* MERGEFORMAT </w:instrText>
      </w:r>
      <w:r w:rsidR="004F2330">
        <w:fldChar w:fldCharType="separate"/>
      </w:r>
      <w:r w:rsidR="00EB0944">
        <w:t>p</w:t>
      </w:r>
      <w:r w:rsidR="00CB29BD">
        <w:t>říloha 1</w:t>
      </w:r>
      <w:r w:rsidR="004F2330">
        <w:fldChar w:fldCharType="end"/>
      </w:r>
      <w:r w:rsidR="0013526D" w:rsidRPr="00B10A66">
        <w:t>)</w:t>
      </w:r>
      <w:r w:rsidRPr="00B10A66">
        <w:rPr>
          <w:b/>
        </w:rPr>
        <w:t>.</w:t>
      </w:r>
      <w:r w:rsidRPr="00B10A66">
        <w:t xml:space="preserve"> Příčinou toho může být především orientace na jednodušší výrobu s nižší přidanou hodnotou, která souvisí s pozicí firem na nízkém stupni hodnotového výrobního řetězce.</w:t>
      </w:r>
      <w:r w:rsidRPr="00AE46CF">
        <w:t xml:space="preserve"> </w:t>
      </w:r>
    </w:p>
    <w:p w:rsidR="00D153C6" w:rsidRDefault="00D153C6" w:rsidP="002C40B2">
      <w:r w:rsidRPr="005A785D">
        <w:rPr>
          <w:b/>
        </w:rPr>
        <w:t>Pro zjištění, která odvětví či aktivity jsou klíčové pro hospodářství kraje a jaká je jejich pozice v národní ekonomice, je nutné se podívat na zaměstnanost v jednotlivých dílčích odvětvích NACE</w:t>
      </w:r>
      <w:r>
        <w:t xml:space="preserve">. </w:t>
      </w:r>
    </w:p>
    <w:p w:rsidR="00D153C6" w:rsidRDefault="00D153C6" w:rsidP="000B3B9C">
      <w:pPr>
        <w:pStyle w:val="Titulek"/>
      </w:pPr>
      <w:bookmarkStart w:id="89" w:name="_Toc310604000"/>
      <w:bookmarkStart w:id="90" w:name="_Toc310604066"/>
      <w:bookmarkStart w:id="91" w:name="_Toc321406371"/>
      <w:bookmarkStart w:id="92" w:name="_Toc488233474"/>
      <w:r>
        <w:lastRenderedPageBreak/>
        <w:t xml:space="preserve">Tabulka </w:t>
      </w:r>
      <w:r w:rsidR="008965FE">
        <w:fldChar w:fldCharType="begin"/>
      </w:r>
      <w:r w:rsidR="00B33DFE">
        <w:instrText xml:space="preserve"> STYLEREF 1 \s </w:instrText>
      </w:r>
      <w:r w:rsidR="008965FE">
        <w:fldChar w:fldCharType="separate"/>
      </w:r>
      <w:r w:rsidR="00CB29BD">
        <w:t>5</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r w:rsidRPr="00AE46CF">
        <w:t xml:space="preserve">: </w:t>
      </w:r>
      <w:r>
        <w:t>Zaměstnanost dle hlavních sekcí NACE</w:t>
      </w:r>
      <w:r w:rsidRPr="00AE46CF">
        <w:t xml:space="preserve"> v</w:t>
      </w:r>
      <w:r>
        <w:t> </w:t>
      </w:r>
      <w:r w:rsidR="00FF058F">
        <w:t>KK</w:t>
      </w:r>
      <w:r w:rsidRPr="00AE46CF">
        <w:t xml:space="preserve"> a Č</w:t>
      </w:r>
      <w:r>
        <w:t>R v roce 2010 a 2015</w:t>
      </w:r>
      <w:bookmarkEnd w:id="89"/>
      <w:bookmarkEnd w:id="90"/>
      <w:bookmarkEnd w:id="91"/>
      <w:bookmarkEnd w:id="92"/>
    </w:p>
    <w:tbl>
      <w:tblPr>
        <w:tblW w:w="5000" w:type="pct"/>
        <w:tblLayout w:type="fixed"/>
        <w:tblCellMar>
          <w:left w:w="70" w:type="dxa"/>
          <w:right w:w="70" w:type="dxa"/>
        </w:tblCellMar>
        <w:tblLook w:val="04A0" w:firstRow="1" w:lastRow="0" w:firstColumn="1" w:lastColumn="0" w:noHBand="0" w:noVBand="1"/>
      </w:tblPr>
      <w:tblGrid>
        <w:gridCol w:w="4896"/>
        <w:gridCol w:w="720"/>
        <w:gridCol w:w="720"/>
        <w:gridCol w:w="722"/>
        <w:gridCol w:w="720"/>
        <w:gridCol w:w="719"/>
        <w:gridCol w:w="715"/>
      </w:tblGrid>
      <w:tr w:rsidR="00D153C6" w:rsidRPr="005A785D" w:rsidTr="00831C88">
        <w:trPr>
          <w:trHeight w:val="270"/>
        </w:trPr>
        <w:tc>
          <w:tcPr>
            <w:tcW w:w="265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153C6" w:rsidRPr="005A785D" w:rsidRDefault="00D153C6" w:rsidP="002C40B2">
            <w:pPr>
              <w:spacing w:after="0"/>
              <w:jc w:val="left"/>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 xml:space="preserve">Odvětví NACE </w:t>
            </w:r>
          </w:p>
        </w:tc>
        <w:tc>
          <w:tcPr>
            <w:tcW w:w="117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Karlovarský kraj</w:t>
            </w:r>
          </w:p>
        </w:tc>
        <w:tc>
          <w:tcPr>
            <w:tcW w:w="1169"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ČR</w:t>
            </w:r>
          </w:p>
        </w:tc>
      </w:tr>
      <w:tr w:rsidR="00D153C6" w:rsidRPr="005A785D" w:rsidTr="00831C88">
        <w:trPr>
          <w:trHeight w:val="270"/>
        </w:trPr>
        <w:tc>
          <w:tcPr>
            <w:tcW w:w="2657" w:type="pct"/>
            <w:vMerge/>
            <w:tcBorders>
              <w:top w:val="single" w:sz="4" w:space="0" w:color="auto"/>
              <w:left w:val="single" w:sz="4" w:space="0" w:color="auto"/>
              <w:bottom w:val="single" w:sz="4" w:space="0" w:color="000000"/>
              <w:right w:val="single" w:sz="4" w:space="0" w:color="auto"/>
            </w:tcBorders>
            <w:vAlign w:val="center"/>
            <w:hideMark/>
          </w:tcPr>
          <w:p w:rsidR="00D153C6" w:rsidRPr="005A785D" w:rsidRDefault="00D153C6" w:rsidP="002C40B2">
            <w:pPr>
              <w:spacing w:after="0"/>
              <w:jc w:val="left"/>
              <w:rPr>
                <w:rFonts w:asciiTheme="minorHAnsi" w:hAnsiTheme="minorHAnsi" w:cs="Times New Roman"/>
                <w:b/>
                <w:bCs/>
                <w:color w:val="000000"/>
                <w:sz w:val="20"/>
                <w:szCs w:val="20"/>
              </w:rPr>
            </w:pP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2000</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2015</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15/00</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2000</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2015</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b/>
                <w:bCs/>
                <w:color w:val="000000"/>
                <w:sz w:val="20"/>
                <w:szCs w:val="20"/>
              </w:rPr>
            </w:pPr>
            <w:r w:rsidRPr="005A785D">
              <w:rPr>
                <w:rFonts w:asciiTheme="minorHAnsi" w:hAnsiTheme="minorHAnsi" w:cs="Times New Roman"/>
                <w:b/>
                <w:bCs/>
                <w:color w:val="000000"/>
                <w:sz w:val="20"/>
                <w:szCs w:val="20"/>
              </w:rPr>
              <w:t>15/00</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A - Zemědělství, lesnictví, rybářství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2,2</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2,1</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-0,2</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4,9</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2,9</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-2,0</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B - Těžba a dobývání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4,6</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3,3</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-1,3</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1,5</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0,8</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-0,7</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C - Zpracovatelský průmysl</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25,3</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27,1</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1,8</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26,2</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27,3</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1,1</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D - Výroba a rozvod elektřiny, plynu, tepla a klimatizovaného vzduchu</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0,8</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1,2</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0,4</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1,3</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1,0</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-0,3</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E - Zásobování vodou; činnosti související s odpadními vodami, odpady a sanacemi</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1,5</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1,6</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0,2</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0,9</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1,1</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0,3</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F - Stavebnictví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8,3</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7,2</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-1,1</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9,7</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7,9</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-1,8</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G - Velkoobchod a maloobchod; opravy a údržba motorových vozidel</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11,3</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10,1</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-1,1</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12,7</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12,2</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-0,5</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H - Doprava a skladování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6,8</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5,9</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-0,9</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6,9</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5,9</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-1,0</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I - Ubytování, stravování a pohostinství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5,2</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4,8</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-0,4</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3,3</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3,9</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0,6</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J - Informační a komunikační činnosti</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1,6</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0,6</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-1,0</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2,1</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2,8</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0,7</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K - Peněžnictví a pojišťovnictví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1,8</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1,0</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-0,9</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2,1</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2,3</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0,2</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L - Činnosti v oblasti nemovitostí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0,7</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0,5</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-0,2</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0,6</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0,9</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0,3</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M - Profesní, vědecké a technické činnosti</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2,4</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3,4</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1,0</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3,0</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4,7</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1,7</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N - Administrativní a podpůrné činnosti</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1,8</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2,9</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1,2</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2,1</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2,6</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0,5</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O - Veřejná správa a obrana; povinné sociální zabezpečení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8,1</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7,9</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-0,1</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7,0</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6,3</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-0,8</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P - Vzdělávání</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6,9</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6,0</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-0,9</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6,4</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6,4</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0,0</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Q - Zdravotní a sociální péče</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7,6</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9,8</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2,1</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6,0</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7,0</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0,9</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R - Kulturní, zábavní a rekreační činnosti</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1,6</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2,1</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0,4</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1,5</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1,6</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0,1</w:t>
            </w:r>
          </w:p>
        </w:tc>
      </w:tr>
      <w:tr w:rsidR="00D153C6" w:rsidRPr="005A785D" w:rsidTr="00831C88">
        <w:trPr>
          <w:trHeight w:val="300"/>
        </w:trPr>
        <w:tc>
          <w:tcPr>
            <w:tcW w:w="2657" w:type="pct"/>
            <w:tcBorders>
              <w:top w:val="nil"/>
              <w:left w:val="single" w:sz="4" w:space="0" w:color="auto"/>
              <w:bottom w:val="single" w:sz="4" w:space="0" w:color="auto"/>
              <w:right w:val="single" w:sz="4" w:space="0" w:color="auto"/>
            </w:tcBorders>
            <w:shd w:val="clear" w:color="auto" w:fill="auto"/>
            <w:noWrap/>
            <w:vAlign w:val="bottom"/>
            <w:hideMark/>
          </w:tcPr>
          <w:p w:rsidR="00D153C6" w:rsidRPr="005A785D" w:rsidRDefault="00D153C6" w:rsidP="002C40B2">
            <w:pPr>
              <w:spacing w:after="0"/>
              <w:jc w:val="left"/>
              <w:rPr>
                <w:rFonts w:asciiTheme="minorHAnsi" w:hAnsiTheme="minorHAnsi" w:cs="Times New Roman"/>
                <w:color w:val="000000"/>
                <w:sz w:val="20"/>
                <w:szCs w:val="20"/>
              </w:rPr>
            </w:pPr>
            <w:r w:rsidRPr="005A785D">
              <w:rPr>
                <w:rFonts w:asciiTheme="minorHAnsi" w:hAnsiTheme="minorHAnsi" w:cs="Times New Roman"/>
                <w:color w:val="000000"/>
                <w:sz w:val="20"/>
                <w:szCs w:val="20"/>
              </w:rPr>
              <w:t>S - Ostatní činnosti</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1,6</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1,6</w:t>
            </w:r>
          </w:p>
        </w:tc>
        <w:tc>
          <w:tcPr>
            <w:tcW w:w="392"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0,1</w:t>
            </w:r>
          </w:p>
        </w:tc>
        <w:tc>
          <w:tcPr>
            <w:tcW w:w="391"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1,9</w:t>
            </w:r>
          </w:p>
        </w:tc>
        <w:tc>
          <w:tcPr>
            <w:tcW w:w="390"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1,8</w:t>
            </w:r>
          </w:p>
        </w:tc>
        <w:tc>
          <w:tcPr>
            <w:tcW w:w="388" w:type="pct"/>
            <w:tcBorders>
              <w:top w:val="nil"/>
              <w:left w:val="nil"/>
              <w:bottom w:val="single" w:sz="4" w:space="0" w:color="auto"/>
              <w:right w:val="single" w:sz="4" w:space="0" w:color="auto"/>
            </w:tcBorders>
            <w:shd w:val="clear" w:color="auto" w:fill="auto"/>
            <w:noWrap/>
            <w:vAlign w:val="bottom"/>
            <w:hideMark/>
          </w:tcPr>
          <w:p w:rsidR="00D153C6" w:rsidRPr="005A785D" w:rsidRDefault="00D153C6" w:rsidP="002C40B2">
            <w:pPr>
              <w:spacing w:after="0"/>
              <w:jc w:val="center"/>
              <w:rPr>
                <w:rFonts w:asciiTheme="minorHAnsi" w:hAnsiTheme="minorHAnsi" w:cs="Times New Roman"/>
                <w:color w:val="000000"/>
                <w:sz w:val="20"/>
                <w:szCs w:val="20"/>
              </w:rPr>
            </w:pPr>
            <w:r w:rsidRPr="005A785D">
              <w:rPr>
                <w:rFonts w:asciiTheme="minorHAnsi" w:hAnsiTheme="minorHAnsi" w:cs="Times New Roman"/>
                <w:color w:val="000000"/>
                <w:sz w:val="20"/>
                <w:szCs w:val="20"/>
              </w:rPr>
              <w:t>-0,1</w:t>
            </w:r>
          </w:p>
        </w:tc>
      </w:tr>
    </w:tbl>
    <w:p w:rsidR="00D153C6" w:rsidRPr="000818D9" w:rsidRDefault="00D153C6" w:rsidP="002C40B2">
      <w:pPr>
        <w:spacing w:before="120"/>
        <w:rPr>
          <w:rStyle w:val="Zdraznnjemn"/>
          <w:rFonts w:eastAsiaTheme="majorEastAsia"/>
        </w:rPr>
      </w:pPr>
      <w:r w:rsidRPr="000818D9">
        <w:rPr>
          <w:rStyle w:val="Zdraznnjemn"/>
          <w:rFonts w:eastAsiaTheme="majorEastAsia"/>
        </w:rPr>
        <w:t>Zdroj: ČSÚ</w:t>
      </w:r>
      <w:r w:rsidR="00FF058F" w:rsidRPr="000818D9">
        <w:rPr>
          <w:rStyle w:val="Zdraznnjemn"/>
          <w:rFonts w:eastAsiaTheme="majorEastAsia"/>
        </w:rPr>
        <w:t xml:space="preserve"> -</w:t>
      </w:r>
      <w:r w:rsidRPr="000818D9">
        <w:rPr>
          <w:rStyle w:val="Zdraznnjemn"/>
          <w:rFonts w:eastAsiaTheme="majorEastAsia"/>
        </w:rPr>
        <w:t xml:space="preserve"> Veřejná databáze, vlastní výpočty  </w:t>
      </w:r>
    </w:p>
    <w:p w:rsidR="00D153C6" w:rsidRDefault="00D153C6" w:rsidP="002C40B2">
      <w:pPr>
        <w:rPr>
          <w:rStyle w:val="Siln"/>
          <w:rFonts w:eastAsiaTheme="majorEastAsia"/>
          <w:b w:val="0"/>
        </w:rPr>
      </w:pPr>
      <w:r w:rsidRPr="00A02893">
        <w:rPr>
          <w:rStyle w:val="Siln"/>
          <w:rFonts w:eastAsiaTheme="majorEastAsia"/>
          <w:b w:val="0"/>
        </w:rPr>
        <w:t xml:space="preserve">Z tabulky vyplývá, že v Karlovarském kraji </w:t>
      </w:r>
      <w:r>
        <w:rPr>
          <w:rStyle w:val="Siln"/>
          <w:rFonts w:eastAsiaTheme="majorEastAsia"/>
          <w:b w:val="0"/>
        </w:rPr>
        <w:t xml:space="preserve">je </w:t>
      </w:r>
      <w:r w:rsidRPr="00A02893">
        <w:rPr>
          <w:rStyle w:val="Siln"/>
          <w:rFonts w:eastAsiaTheme="majorEastAsia"/>
          <w:b w:val="0"/>
        </w:rPr>
        <w:t>nejvýznamnější</w:t>
      </w:r>
      <w:r>
        <w:rPr>
          <w:rStyle w:val="Siln"/>
          <w:rFonts w:eastAsiaTheme="majorEastAsia"/>
          <w:b w:val="0"/>
        </w:rPr>
        <w:t>m</w:t>
      </w:r>
      <w:r w:rsidRPr="00A02893">
        <w:rPr>
          <w:rStyle w:val="Siln"/>
          <w:rFonts w:eastAsiaTheme="majorEastAsia"/>
          <w:b w:val="0"/>
        </w:rPr>
        <w:t xml:space="preserve"> </w:t>
      </w:r>
      <w:r>
        <w:rPr>
          <w:rStyle w:val="Siln"/>
          <w:rFonts w:eastAsiaTheme="majorEastAsia"/>
          <w:b w:val="0"/>
        </w:rPr>
        <w:t>odvětvím</w:t>
      </w:r>
      <w:r w:rsidRPr="00A02893">
        <w:rPr>
          <w:rStyle w:val="Siln"/>
          <w:rFonts w:eastAsiaTheme="majorEastAsia"/>
          <w:b w:val="0"/>
        </w:rPr>
        <w:t xml:space="preserve"> </w:t>
      </w:r>
      <w:r w:rsidRPr="00373521">
        <w:rPr>
          <w:rStyle w:val="Siln"/>
          <w:rFonts w:eastAsiaTheme="majorEastAsia"/>
        </w:rPr>
        <w:t>zpracovatelský průmysl</w:t>
      </w:r>
      <w:r w:rsidRPr="00A02893">
        <w:rPr>
          <w:rStyle w:val="Siln"/>
          <w:rFonts w:eastAsiaTheme="majorEastAsia"/>
          <w:b w:val="0"/>
        </w:rPr>
        <w:t xml:space="preserve">, jenž </w:t>
      </w:r>
      <w:r w:rsidRPr="00373521">
        <w:rPr>
          <w:rStyle w:val="Siln"/>
          <w:rFonts w:eastAsiaTheme="majorEastAsia"/>
        </w:rPr>
        <w:t>poskytuje v kraji práci více než čtvrtině všech zaměstnanců</w:t>
      </w:r>
      <w:r w:rsidRPr="00A02893">
        <w:rPr>
          <w:rStyle w:val="Siln"/>
          <w:rFonts w:eastAsiaTheme="majorEastAsia"/>
          <w:b w:val="0"/>
        </w:rPr>
        <w:t xml:space="preserve">, což je obdobný podíl jako v ČR. </w:t>
      </w:r>
      <w:r>
        <w:rPr>
          <w:rStyle w:val="Siln"/>
          <w:rFonts w:eastAsiaTheme="majorEastAsia"/>
          <w:b w:val="0"/>
        </w:rPr>
        <w:t>Oproti roku 2000</w:t>
      </w:r>
      <w:r w:rsidRPr="00A02893">
        <w:rPr>
          <w:rStyle w:val="Siln"/>
          <w:rFonts w:eastAsiaTheme="majorEastAsia"/>
          <w:b w:val="0"/>
        </w:rPr>
        <w:t xml:space="preserve"> došlo k</w:t>
      </w:r>
      <w:r>
        <w:rPr>
          <w:rStyle w:val="Siln"/>
          <w:rFonts w:eastAsiaTheme="majorEastAsia"/>
          <w:b w:val="0"/>
        </w:rPr>
        <w:t> </w:t>
      </w:r>
      <w:r w:rsidRPr="00A02893">
        <w:rPr>
          <w:rStyle w:val="Siln"/>
          <w:rFonts w:eastAsiaTheme="majorEastAsia"/>
          <w:b w:val="0"/>
        </w:rPr>
        <w:t>největší</w:t>
      </w:r>
      <w:r>
        <w:rPr>
          <w:rStyle w:val="Siln"/>
          <w:rFonts w:eastAsiaTheme="majorEastAsia"/>
          <w:b w:val="0"/>
        </w:rPr>
        <w:t>mu nárůstu zaměstnanosti ve zpracovatelském průmyslu a v</w:t>
      </w:r>
      <w:r w:rsidR="000818D9">
        <w:rPr>
          <w:rStyle w:val="Siln"/>
          <w:rFonts w:eastAsiaTheme="majorEastAsia"/>
          <w:b w:val="0"/>
        </w:rPr>
        <w:t xml:space="preserve"> oblasti</w:t>
      </w:r>
      <w:r>
        <w:rPr>
          <w:rStyle w:val="Siln"/>
          <w:rFonts w:eastAsiaTheme="majorEastAsia"/>
          <w:b w:val="0"/>
        </w:rPr>
        <w:t xml:space="preserve"> </w:t>
      </w:r>
      <w:r w:rsidRPr="00A02893">
        <w:rPr>
          <w:rStyle w:val="Siln"/>
          <w:rFonts w:eastAsiaTheme="majorEastAsia"/>
          <w:b w:val="0"/>
        </w:rPr>
        <w:t>zdravotní a sociální péč</w:t>
      </w:r>
      <w:r w:rsidR="000818D9">
        <w:rPr>
          <w:rStyle w:val="Siln"/>
          <w:rFonts w:eastAsiaTheme="majorEastAsia"/>
          <w:b w:val="0"/>
        </w:rPr>
        <w:t>e</w:t>
      </w:r>
      <w:r>
        <w:rPr>
          <w:rStyle w:val="Siln"/>
          <w:rFonts w:eastAsiaTheme="majorEastAsia"/>
          <w:b w:val="0"/>
        </w:rPr>
        <w:t>,</w:t>
      </w:r>
      <w:r w:rsidRPr="00A02893">
        <w:rPr>
          <w:rStyle w:val="Siln"/>
          <w:rFonts w:eastAsiaTheme="majorEastAsia"/>
          <w:b w:val="0"/>
        </w:rPr>
        <w:t xml:space="preserve"> </w:t>
      </w:r>
      <w:r>
        <w:rPr>
          <w:rStyle w:val="Siln"/>
          <w:rFonts w:eastAsiaTheme="majorEastAsia"/>
          <w:b w:val="0"/>
        </w:rPr>
        <w:t xml:space="preserve">což souvisí se </w:t>
      </w:r>
      <w:r w:rsidRPr="00A02893">
        <w:rPr>
          <w:rStyle w:val="Siln"/>
          <w:rFonts w:eastAsiaTheme="majorEastAsia"/>
          <w:b w:val="0"/>
        </w:rPr>
        <w:t xml:space="preserve">stárnutím populace, které </w:t>
      </w:r>
      <w:r w:rsidR="000818D9">
        <w:rPr>
          <w:rStyle w:val="Siln"/>
          <w:rFonts w:eastAsiaTheme="majorEastAsia"/>
          <w:b w:val="0"/>
        </w:rPr>
        <w:t>klade</w:t>
      </w:r>
      <w:r w:rsidRPr="00A02893">
        <w:rPr>
          <w:rStyle w:val="Siln"/>
          <w:rFonts w:eastAsiaTheme="majorEastAsia"/>
          <w:b w:val="0"/>
        </w:rPr>
        <w:t xml:space="preserve"> stále větší nároky na sociální a zdravotní služby</w:t>
      </w:r>
      <w:r>
        <w:rPr>
          <w:rStyle w:val="Siln"/>
          <w:rFonts w:eastAsiaTheme="majorEastAsia"/>
          <w:b w:val="0"/>
        </w:rPr>
        <w:t>.</w:t>
      </w:r>
    </w:p>
    <w:p w:rsidR="000818D9" w:rsidRPr="00FA0E2E" w:rsidRDefault="00D153C6" w:rsidP="002C40B2">
      <w:r>
        <w:t>Vnitřní strukturu zpracovatelského průmyslu, který je v</w:t>
      </w:r>
      <w:r w:rsidR="000818D9">
        <w:t> </w:t>
      </w:r>
      <w:r>
        <w:t>K</w:t>
      </w:r>
      <w:r w:rsidR="000818D9">
        <w:t>arlovarském kraji nejdůležitějším</w:t>
      </w:r>
      <w:r>
        <w:t xml:space="preserve"> z hlediska zaměstnanosti, ukazuje </w:t>
      </w:r>
      <w:r w:rsidR="004F2330">
        <w:fldChar w:fldCharType="begin"/>
      </w:r>
      <w:r w:rsidR="004F2330">
        <w:instrText xml:space="preserve"> REF _Ref466880804 \h  \* MERGEFORMAT </w:instrText>
      </w:r>
      <w:r w:rsidR="004F2330">
        <w:fldChar w:fldCharType="separate"/>
      </w:r>
      <w:r w:rsidR="00EB0944">
        <w:t>t</w:t>
      </w:r>
      <w:r w:rsidR="00CB29BD">
        <w:t xml:space="preserve">abulka </w:t>
      </w:r>
      <w:r w:rsidR="00CB29BD">
        <w:rPr>
          <w:noProof/>
        </w:rPr>
        <w:t>5</w:t>
      </w:r>
      <w:r w:rsidR="00CB29BD">
        <w:t>.2</w:t>
      </w:r>
      <w:r w:rsidR="004F2330">
        <w:fldChar w:fldCharType="end"/>
      </w:r>
      <w:r>
        <w:t>.</w:t>
      </w:r>
      <w:r w:rsidR="000818D9">
        <w:t xml:space="preserve"> </w:t>
      </w:r>
      <w:r w:rsidR="000818D9" w:rsidRPr="000818D9">
        <w:t>Při pohledu na strukturu zaměstnanosti ve zpracovatelském průmyslu v KK vidíme poměrně nízkou vnitřní míru specializace tohoto odvětví. Význam specializace navíc v čase klesá, a to zejména ve výrobě ostatních nekovových minerálních výrobků (skla, porcelánu, keramiky a stavebních hmot)</w:t>
      </w:r>
      <w:r w:rsidR="00373521">
        <w:t>. Ta</w:t>
      </w:r>
      <w:r w:rsidR="000818D9" w:rsidRPr="000818D9">
        <w:t xml:space="preserve"> ještě v roce 2003 tvořila téměř čtvrtinu všech pracovních míst, v současnosti už to je pouze 16 %. I přes pokles podílu na celkové zaměstnanosti stále patří toto odvětví k důležitým oborům krajské ekonomiky a řadě podniků působících v tomto oboru se podařilo úspěšně restrukturalizovat, což se projevilo příznivě na jejich ekonomické výkonnosti</w:t>
      </w:r>
      <w:r w:rsidR="000818D9" w:rsidRPr="00FA0E2E">
        <w:t xml:space="preserve">. </w:t>
      </w:r>
      <w:r w:rsidR="00373521">
        <w:t>V</w:t>
      </w:r>
      <w:r w:rsidR="00373521" w:rsidRPr="00E47EA0">
        <w:t xml:space="preserve"> uplynulých 15 letech </w:t>
      </w:r>
      <w:r w:rsidR="00373521">
        <w:t xml:space="preserve">se </w:t>
      </w:r>
      <w:r w:rsidR="00373521" w:rsidRPr="00E47EA0">
        <w:t xml:space="preserve">rozvíjely </w:t>
      </w:r>
      <w:r w:rsidR="00373521">
        <w:t xml:space="preserve">naopak </w:t>
      </w:r>
      <w:r w:rsidR="00373521" w:rsidRPr="00E47EA0">
        <w:t>nové průmyslové obory jako výroba automobilových dílů a součástek</w:t>
      </w:r>
      <w:r w:rsidR="004142CF">
        <w:t>,</w:t>
      </w:r>
      <w:r w:rsidR="00373521" w:rsidRPr="00E47EA0">
        <w:t xml:space="preserve"> případně kovodělný průmysl</w:t>
      </w:r>
      <w:r w:rsidR="00373521">
        <w:t>.</w:t>
      </w:r>
    </w:p>
    <w:p w:rsidR="000818D9" w:rsidRDefault="000818D9" w:rsidP="002C40B2">
      <w:pPr>
        <w:spacing w:after="160"/>
        <w:jc w:val="left"/>
      </w:pPr>
      <w:r>
        <w:br w:type="page"/>
      </w:r>
    </w:p>
    <w:p w:rsidR="00D153C6" w:rsidRDefault="00D153C6" w:rsidP="000B3B9C">
      <w:pPr>
        <w:pStyle w:val="Titulek"/>
      </w:pPr>
      <w:bookmarkStart w:id="93" w:name="_Ref466880804"/>
      <w:bookmarkStart w:id="94" w:name="_Toc444526778"/>
      <w:bookmarkStart w:id="95" w:name="_Toc488233475"/>
      <w:r>
        <w:lastRenderedPageBreak/>
        <w:t xml:space="preserve">Tabulka </w:t>
      </w:r>
      <w:r w:rsidR="008965FE">
        <w:fldChar w:fldCharType="begin"/>
      </w:r>
      <w:r w:rsidR="00B33DFE">
        <w:instrText xml:space="preserve"> STYLEREF 1 \s </w:instrText>
      </w:r>
      <w:r w:rsidR="008965FE">
        <w:fldChar w:fldCharType="separate"/>
      </w:r>
      <w:r w:rsidR="00CB29BD">
        <w:t>5</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93"/>
      <w:r>
        <w:t>: Nejvýznamnější odvětví zpracovatelského průmyslu v Karlovarském kraji dle podílu na celkové zaměstnanosti ve zpracovatelském průmyslu v letech 2002</w:t>
      </w:r>
      <w:r w:rsidR="005A785D">
        <w:t xml:space="preserve"> </w:t>
      </w:r>
      <w:r w:rsidRPr="005D371B">
        <w:t>–</w:t>
      </w:r>
      <w:r w:rsidR="005A785D">
        <w:t xml:space="preserve"> </w:t>
      </w:r>
      <w:r>
        <w:t>2003 a 2013</w:t>
      </w:r>
      <w:r w:rsidR="005A785D">
        <w:t xml:space="preserve"> </w:t>
      </w:r>
      <w:r w:rsidRPr="005D371B">
        <w:t>–</w:t>
      </w:r>
      <w:r w:rsidR="005A785D">
        <w:t xml:space="preserve"> </w:t>
      </w:r>
      <w:r>
        <w:t>2014</w:t>
      </w:r>
      <w:bookmarkEnd w:id="94"/>
      <w:bookmarkEnd w:id="95"/>
    </w:p>
    <w:tbl>
      <w:tblPr>
        <w:tblW w:w="5000" w:type="pct"/>
        <w:tblCellMar>
          <w:left w:w="70" w:type="dxa"/>
          <w:right w:w="70" w:type="dxa"/>
        </w:tblCellMar>
        <w:tblLook w:val="04A0" w:firstRow="1" w:lastRow="0" w:firstColumn="1" w:lastColumn="0" w:noHBand="0" w:noVBand="1"/>
      </w:tblPr>
      <w:tblGrid>
        <w:gridCol w:w="3853"/>
        <w:gridCol w:w="965"/>
        <w:gridCol w:w="3429"/>
        <w:gridCol w:w="965"/>
      </w:tblGrid>
      <w:tr w:rsidR="00D153C6" w:rsidRPr="000818D9" w:rsidTr="00831C88">
        <w:trPr>
          <w:trHeight w:val="405"/>
        </w:trPr>
        <w:tc>
          <w:tcPr>
            <w:tcW w:w="2091" w:type="pct"/>
            <w:tcBorders>
              <w:top w:val="single" w:sz="4" w:space="0" w:color="auto"/>
              <w:left w:val="single" w:sz="4" w:space="0" w:color="auto"/>
              <w:bottom w:val="single" w:sz="4" w:space="0" w:color="auto"/>
              <w:right w:val="single" w:sz="4" w:space="0" w:color="auto"/>
            </w:tcBorders>
            <w:shd w:val="clear" w:color="auto" w:fill="auto"/>
            <w:noWrap/>
            <w:hideMark/>
          </w:tcPr>
          <w:p w:rsidR="00D153C6" w:rsidRPr="000818D9" w:rsidRDefault="00D153C6" w:rsidP="002C40B2">
            <w:pPr>
              <w:spacing w:after="0"/>
              <w:jc w:val="left"/>
              <w:rPr>
                <w:rFonts w:cs="Times New Roman"/>
                <w:b/>
                <w:bCs/>
                <w:color w:val="000000"/>
                <w:sz w:val="20"/>
                <w:szCs w:val="20"/>
              </w:rPr>
            </w:pPr>
            <w:r w:rsidRPr="000818D9">
              <w:rPr>
                <w:rFonts w:cs="Arial"/>
                <w:b/>
                <w:bCs/>
                <w:color w:val="000000"/>
                <w:sz w:val="20"/>
                <w:szCs w:val="20"/>
              </w:rPr>
              <w:t>OKEČ</w:t>
            </w:r>
          </w:p>
        </w:tc>
        <w:tc>
          <w:tcPr>
            <w:tcW w:w="524" w:type="pct"/>
            <w:tcBorders>
              <w:top w:val="single" w:sz="4" w:space="0" w:color="auto"/>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b/>
                <w:bCs/>
                <w:color w:val="000000"/>
                <w:sz w:val="20"/>
                <w:szCs w:val="20"/>
              </w:rPr>
            </w:pPr>
            <w:r w:rsidRPr="000818D9">
              <w:rPr>
                <w:rFonts w:cs="Arial"/>
                <w:b/>
                <w:bCs/>
                <w:color w:val="000000"/>
                <w:sz w:val="20"/>
                <w:szCs w:val="20"/>
              </w:rPr>
              <w:t>2002</w:t>
            </w:r>
            <w:r w:rsidR="000818D9" w:rsidRPr="000818D9">
              <w:rPr>
                <w:rFonts w:cs="Arial"/>
                <w:b/>
                <w:bCs/>
                <w:color w:val="000000"/>
                <w:sz w:val="20"/>
                <w:szCs w:val="20"/>
              </w:rPr>
              <w:t xml:space="preserve"> </w:t>
            </w:r>
            <w:r w:rsidRPr="000818D9">
              <w:rPr>
                <w:rFonts w:cs="Arial"/>
                <w:b/>
                <w:bCs/>
                <w:color w:val="000000"/>
                <w:sz w:val="20"/>
                <w:szCs w:val="20"/>
              </w:rPr>
              <w:t>-</w:t>
            </w:r>
            <w:r w:rsidR="000818D9" w:rsidRPr="000818D9">
              <w:rPr>
                <w:rFonts w:cs="Arial"/>
                <w:b/>
                <w:bCs/>
                <w:color w:val="000000"/>
                <w:sz w:val="20"/>
                <w:szCs w:val="20"/>
              </w:rPr>
              <w:t xml:space="preserve"> </w:t>
            </w:r>
            <w:r w:rsidRPr="000818D9">
              <w:rPr>
                <w:rFonts w:cs="Arial"/>
                <w:b/>
                <w:bCs/>
                <w:color w:val="000000"/>
                <w:sz w:val="20"/>
                <w:szCs w:val="20"/>
              </w:rPr>
              <w:t>03</w:t>
            </w:r>
          </w:p>
        </w:tc>
        <w:tc>
          <w:tcPr>
            <w:tcW w:w="1861" w:type="pct"/>
            <w:tcBorders>
              <w:top w:val="single" w:sz="4" w:space="0" w:color="auto"/>
              <w:left w:val="nil"/>
              <w:bottom w:val="single" w:sz="4" w:space="0" w:color="auto"/>
              <w:right w:val="single" w:sz="4" w:space="0" w:color="auto"/>
            </w:tcBorders>
            <w:shd w:val="clear" w:color="auto" w:fill="auto"/>
            <w:noWrap/>
            <w:hideMark/>
          </w:tcPr>
          <w:p w:rsidR="00D153C6" w:rsidRPr="000818D9" w:rsidRDefault="00D153C6" w:rsidP="002C40B2">
            <w:pPr>
              <w:spacing w:after="0"/>
              <w:jc w:val="left"/>
              <w:rPr>
                <w:rFonts w:cs="Times New Roman"/>
                <w:b/>
                <w:bCs/>
                <w:color w:val="000000"/>
                <w:sz w:val="20"/>
                <w:szCs w:val="20"/>
              </w:rPr>
            </w:pPr>
            <w:r w:rsidRPr="000818D9">
              <w:rPr>
                <w:rFonts w:cs="Times New Roman"/>
                <w:b/>
                <w:bCs/>
                <w:color w:val="000000"/>
                <w:sz w:val="20"/>
                <w:szCs w:val="20"/>
              </w:rPr>
              <w:t>Oddíly NACE</w:t>
            </w:r>
          </w:p>
        </w:tc>
        <w:tc>
          <w:tcPr>
            <w:tcW w:w="524" w:type="pct"/>
            <w:tcBorders>
              <w:top w:val="single" w:sz="4" w:space="0" w:color="auto"/>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b/>
                <w:bCs/>
                <w:color w:val="000000"/>
                <w:sz w:val="20"/>
                <w:szCs w:val="20"/>
              </w:rPr>
            </w:pPr>
            <w:r w:rsidRPr="000818D9">
              <w:rPr>
                <w:rFonts w:cs="Arial"/>
                <w:b/>
                <w:bCs/>
                <w:color w:val="000000"/>
                <w:sz w:val="20"/>
                <w:szCs w:val="20"/>
              </w:rPr>
              <w:t>2013</w:t>
            </w:r>
            <w:r w:rsidR="000818D9" w:rsidRPr="000818D9">
              <w:rPr>
                <w:rFonts w:cs="Arial"/>
                <w:b/>
                <w:bCs/>
                <w:color w:val="000000"/>
                <w:sz w:val="20"/>
                <w:szCs w:val="20"/>
              </w:rPr>
              <w:t xml:space="preserve"> </w:t>
            </w:r>
            <w:r w:rsidRPr="000818D9">
              <w:rPr>
                <w:rFonts w:cs="Arial"/>
                <w:b/>
                <w:bCs/>
                <w:color w:val="000000"/>
                <w:sz w:val="20"/>
                <w:szCs w:val="20"/>
              </w:rPr>
              <w:t>-</w:t>
            </w:r>
            <w:r w:rsidR="000818D9" w:rsidRPr="000818D9">
              <w:rPr>
                <w:rFonts w:cs="Arial"/>
                <w:b/>
                <w:bCs/>
                <w:color w:val="000000"/>
                <w:sz w:val="20"/>
                <w:szCs w:val="20"/>
              </w:rPr>
              <w:t xml:space="preserve"> </w:t>
            </w:r>
            <w:r w:rsidRPr="000818D9">
              <w:rPr>
                <w:rFonts w:cs="Arial"/>
                <w:b/>
                <w:bCs/>
                <w:color w:val="000000"/>
                <w:sz w:val="20"/>
                <w:szCs w:val="20"/>
              </w:rPr>
              <w:t>14</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DI Výroba ostatních nekovových minerálních výrobků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24%</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25 Výroba kovových konstrukcí a kovodělných výrobků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17%</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DJ Výroba základních kovů, hutních a kovodělných výrobků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14%</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23 Výroba ostatních nekovových minerálních výrobků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16%</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 xml:space="preserve">DL Výroba elektrických optických přístrojů a zařízení </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11%</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29 Výroba motorových vozidel, přívěsů a návěsů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13%</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DB Výroba textilií, textilních a oděvních výrobků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11%</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27 Výroba elektrických zařízení</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11%</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DA Výroba potravinářských výrobků a nápojů, tabákových výrobků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8%</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13 Výroba textilií</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8%</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DK Výroba a opravy strojů a zařízení jinde neuvedených</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6%</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22 Výroba pryžových a plastových výrobků</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6%</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DM Výroba dopravních prostředků a zařízení</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6%</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28 Výroba strojů a zařízení</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5%</w:t>
            </w:r>
          </w:p>
        </w:tc>
      </w:tr>
      <w:tr w:rsidR="00D153C6" w:rsidRPr="000818D9" w:rsidTr="00831C88">
        <w:trPr>
          <w:trHeight w:val="405"/>
        </w:trPr>
        <w:tc>
          <w:tcPr>
            <w:tcW w:w="2091" w:type="pct"/>
            <w:tcBorders>
              <w:top w:val="nil"/>
              <w:left w:val="single" w:sz="4" w:space="0" w:color="auto"/>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Ostatní zpracovatelský průmysl</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13%</w:t>
            </w:r>
          </w:p>
        </w:tc>
        <w:tc>
          <w:tcPr>
            <w:tcW w:w="1861" w:type="pct"/>
            <w:tcBorders>
              <w:top w:val="nil"/>
              <w:left w:val="nil"/>
              <w:bottom w:val="single" w:sz="4" w:space="0" w:color="auto"/>
              <w:right w:val="single" w:sz="4" w:space="0" w:color="auto"/>
            </w:tcBorders>
            <w:shd w:val="clear" w:color="auto" w:fill="auto"/>
            <w:hideMark/>
          </w:tcPr>
          <w:p w:rsidR="00D153C6" w:rsidRPr="000818D9" w:rsidRDefault="00D153C6" w:rsidP="002C40B2">
            <w:pPr>
              <w:spacing w:after="0"/>
              <w:jc w:val="left"/>
              <w:rPr>
                <w:rFonts w:cs="Times New Roman"/>
                <w:color w:val="000000"/>
                <w:sz w:val="20"/>
                <w:szCs w:val="20"/>
              </w:rPr>
            </w:pPr>
            <w:r w:rsidRPr="000818D9">
              <w:rPr>
                <w:rFonts w:cs="Times New Roman"/>
                <w:color w:val="000000"/>
                <w:sz w:val="20"/>
                <w:szCs w:val="20"/>
              </w:rPr>
              <w:t>Ostatní zpracovatelský průmysl</w:t>
            </w:r>
          </w:p>
        </w:tc>
        <w:tc>
          <w:tcPr>
            <w:tcW w:w="524" w:type="pct"/>
            <w:tcBorders>
              <w:top w:val="nil"/>
              <w:left w:val="nil"/>
              <w:bottom w:val="single" w:sz="4" w:space="0" w:color="auto"/>
              <w:right w:val="single" w:sz="4" w:space="0" w:color="auto"/>
            </w:tcBorders>
            <w:shd w:val="clear" w:color="auto" w:fill="auto"/>
            <w:noWrap/>
            <w:hideMark/>
          </w:tcPr>
          <w:p w:rsidR="00D153C6" w:rsidRPr="000818D9" w:rsidRDefault="00D153C6" w:rsidP="002C40B2">
            <w:pPr>
              <w:spacing w:after="0"/>
              <w:jc w:val="center"/>
              <w:rPr>
                <w:rFonts w:cs="Times New Roman"/>
                <w:color w:val="000000"/>
                <w:sz w:val="20"/>
                <w:szCs w:val="20"/>
              </w:rPr>
            </w:pPr>
            <w:r w:rsidRPr="000818D9">
              <w:rPr>
                <w:rFonts w:cs="Times New Roman"/>
                <w:color w:val="000000"/>
                <w:sz w:val="20"/>
                <w:szCs w:val="20"/>
              </w:rPr>
              <w:t>24%</w:t>
            </w:r>
          </w:p>
        </w:tc>
      </w:tr>
    </w:tbl>
    <w:p w:rsidR="00D153C6" w:rsidRPr="000818D9" w:rsidRDefault="00373521" w:rsidP="002C40B2">
      <w:pPr>
        <w:spacing w:before="120" w:after="0"/>
        <w:rPr>
          <w:rStyle w:val="Zdraznnjemn"/>
          <w:rFonts w:eastAsiaTheme="majorEastAsia"/>
        </w:rPr>
      </w:pPr>
      <w:r>
        <w:rPr>
          <w:rStyle w:val="Zdraznnjemn"/>
          <w:rFonts w:eastAsiaTheme="majorEastAsia"/>
        </w:rPr>
        <w:t>Poznámka</w:t>
      </w:r>
      <w:r w:rsidR="00D153C6" w:rsidRPr="000818D9">
        <w:rPr>
          <w:rStyle w:val="Zdraznnjemn"/>
          <w:rFonts w:eastAsiaTheme="majorEastAsia"/>
        </w:rPr>
        <w:t xml:space="preserve">: </w:t>
      </w:r>
      <w:r w:rsidR="00B174B8">
        <w:rPr>
          <w:rStyle w:val="Zdraznnjemn"/>
          <w:rFonts w:eastAsiaTheme="majorEastAsia"/>
        </w:rPr>
        <w:t>S</w:t>
      </w:r>
      <w:r w:rsidR="00D153C6" w:rsidRPr="000818D9">
        <w:rPr>
          <w:rStyle w:val="Zdraznnjemn"/>
          <w:rFonts w:eastAsiaTheme="majorEastAsia"/>
        </w:rPr>
        <w:t>tatistika zahrnuje údaje pouze za podniky se 100 a více</w:t>
      </w:r>
      <w:r>
        <w:rPr>
          <w:rStyle w:val="Zdraznnjemn"/>
          <w:rFonts w:eastAsiaTheme="majorEastAsia"/>
        </w:rPr>
        <w:t xml:space="preserve"> zaměstnanci se sídlem v</w:t>
      </w:r>
      <w:r w:rsidR="00B174B8">
        <w:rPr>
          <w:rStyle w:val="Zdraznnjemn"/>
          <w:rFonts w:eastAsiaTheme="majorEastAsia"/>
        </w:rPr>
        <w:t> </w:t>
      </w:r>
      <w:r>
        <w:rPr>
          <w:rStyle w:val="Zdraznnjemn"/>
          <w:rFonts w:eastAsiaTheme="majorEastAsia"/>
        </w:rPr>
        <w:t>kraji</w:t>
      </w:r>
      <w:r w:rsidR="00B174B8">
        <w:rPr>
          <w:rStyle w:val="Zdraznnjemn"/>
          <w:rFonts w:eastAsiaTheme="majorEastAsia"/>
        </w:rPr>
        <w:t>.</w:t>
      </w:r>
    </w:p>
    <w:p w:rsidR="000818D9" w:rsidRPr="000818D9" w:rsidRDefault="00373521" w:rsidP="002C40B2">
      <w:pPr>
        <w:rPr>
          <w:rStyle w:val="Zdraznnjemn"/>
          <w:rFonts w:eastAsiaTheme="majorEastAsia"/>
        </w:rPr>
      </w:pPr>
      <w:r>
        <w:rPr>
          <w:rStyle w:val="Zdraznnjemn"/>
          <w:rFonts w:eastAsiaTheme="majorEastAsia"/>
        </w:rPr>
        <w:t>Zdroj: ČSÚ – Statistické ročenky</w:t>
      </w:r>
      <w:r w:rsidR="000818D9" w:rsidRPr="000818D9">
        <w:rPr>
          <w:rStyle w:val="Zdraznnjemn"/>
          <w:rFonts w:eastAsiaTheme="majorEastAsia"/>
        </w:rPr>
        <w:t xml:space="preserve"> Karlovarského kraje </w:t>
      </w:r>
      <w:r>
        <w:rPr>
          <w:rStyle w:val="Zdraznnjemn"/>
          <w:rFonts w:eastAsiaTheme="majorEastAsia"/>
        </w:rPr>
        <w:t>2003 - 2015</w:t>
      </w:r>
      <w:r w:rsidR="000818D9" w:rsidRPr="000818D9">
        <w:rPr>
          <w:rStyle w:val="Zdraznnjemn"/>
          <w:rFonts w:eastAsiaTheme="majorEastAsia"/>
        </w:rPr>
        <w:t>, vlastní úpravy</w:t>
      </w:r>
    </w:p>
    <w:p w:rsidR="00D153C6" w:rsidRDefault="00D153C6" w:rsidP="002C40B2">
      <w:r w:rsidRPr="00E47EA0">
        <w:t>V některých tradičních oborech (textilní průmysl, výroba porcelánu a keramiky) dochází k restrukturalizaci a rozvoji nových specializací a forem výroby</w:t>
      </w:r>
      <w:r>
        <w:t xml:space="preserve"> (např. v textilním průmyslu je to přechod od tradičních výrob k výrobě potahů a čalounění do aut). Krajské hospodářství se také stále silněji integruje do tzv. globálních hodnotových řetězců (nejen pobočky zahraničních firem</w:t>
      </w:r>
      <w:r w:rsidR="000818D9">
        <w:t>,</w:t>
      </w:r>
      <w:r>
        <w:t xml:space="preserve"> ale i domácí firmy z </w:t>
      </w:r>
      <w:r w:rsidR="000818D9">
        <w:t>KK). P</w:t>
      </w:r>
      <w:r>
        <w:t xml:space="preserve">řevládající způsob zapojení v kraji působících firem je však jako subdodavatelé méně sofistikované produkce, která má převážně zakázkovou povahu. To posiluje závislost krajské ekonomiky (a zpracovatelského průmyslu zvlášť) na zahraničních odběratelích a jejich rozhodnutích a má značné implikace pro budoucí fungování místních podniků a zejména jejich autonomii ve strategických oblastech řízení firem </w:t>
      </w:r>
      <w:r w:rsidRPr="00373521">
        <w:t>(</w:t>
      </w:r>
      <w:r w:rsidR="000818D9" w:rsidRPr="00373521">
        <w:t xml:space="preserve">blíže viz </w:t>
      </w:r>
      <w:r w:rsidR="00F4564D" w:rsidRPr="00373521">
        <w:t xml:space="preserve">Berman Group. </w:t>
      </w:r>
      <w:r w:rsidRPr="00373521">
        <w:rPr>
          <w:i/>
        </w:rPr>
        <w:t>Strategie rozvoje konkurenceschopnosti Karlovarského kraje</w:t>
      </w:r>
      <w:r w:rsidR="00F4564D" w:rsidRPr="00373521">
        <w:rPr>
          <w:i/>
        </w:rPr>
        <w:t xml:space="preserve">. </w:t>
      </w:r>
      <w:r w:rsidRPr="00373521">
        <w:t>2012</w:t>
      </w:r>
      <w:r w:rsidRPr="00373521">
        <w:rPr>
          <w:i/>
        </w:rPr>
        <w:t xml:space="preserve">; </w:t>
      </w:r>
      <w:r w:rsidR="00F4564D" w:rsidRPr="00373521">
        <w:t>Berman Group.</w:t>
      </w:r>
      <w:r w:rsidR="00F4564D" w:rsidRPr="00373521">
        <w:rPr>
          <w:i/>
        </w:rPr>
        <w:t xml:space="preserve"> </w:t>
      </w:r>
      <w:r w:rsidRPr="00373521">
        <w:rPr>
          <w:i/>
        </w:rPr>
        <w:t>Analýza inovačního potenciálu firem Karlovarského kraje</w:t>
      </w:r>
      <w:r w:rsidR="00F4564D" w:rsidRPr="00373521">
        <w:rPr>
          <w:i/>
        </w:rPr>
        <w:t>.</w:t>
      </w:r>
      <w:r w:rsidRPr="00373521">
        <w:rPr>
          <w:i/>
        </w:rPr>
        <w:t xml:space="preserve"> </w:t>
      </w:r>
      <w:r w:rsidRPr="00373521">
        <w:t>2010</w:t>
      </w:r>
      <w:r w:rsidRPr="00373521">
        <w:rPr>
          <w:sz w:val="18"/>
          <w:szCs w:val="18"/>
        </w:rPr>
        <w:t>).</w:t>
      </w:r>
      <w:r w:rsidRPr="00C66DA9" w:rsidDel="0039586D">
        <w:t xml:space="preserve"> </w:t>
      </w:r>
    </w:p>
    <w:p w:rsidR="00D153C6" w:rsidRDefault="004142CF" w:rsidP="002C40B2">
      <w:r>
        <w:t>I</w:t>
      </w:r>
      <w:r w:rsidR="00D153C6" w:rsidRPr="00C66DA9">
        <w:t>dentifikaci odvětví zpracovatelského průmyslu, která jsou pro krajskou ekonomiku klíčová,</w:t>
      </w:r>
      <w:r w:rsidR="00D153C6" w:rsidRPr="00782BBA">
        <w:t xml:space="preserve"> nám umožní srovnání tržeb z prodeje vlastních výrobků a služeb. To nám rovněž poskytne informaci o odvětvích, která dynamicky rost</w:t>
      </w:r>
      <w:r>
        <w:t>l</w:t>
      </w:r>
      <w:r w:rsidR="00D153C6" w:rsidRPr="00782BBA">
        <w:t>a</w:t>
      </w:r>
      <w:r w:rsidR="00C54BB3">
        <w:t>,</w:t>
      </w:r>
      <w:r w:rsidR="00D153C6" w:rsidRPr="00782BBA">
        <w:t xml:space="preserve"> nebo naopak jejich význam v regionálním hospodářství poklesl. </w:t>
      </w:r>
      <w:r w:rsidR="00D153C6">
        <w:t>V</w:t>
      </w:r>
      <w:r w:rsidR="00D153C6" w:rsidRPr="00C66DA9">
        <w:t xml:space="preserve">hledem ke změně klasifikace ekonomických činností zavedené ČSÚ </w:t>
      </w:r>
      <w:r w:rsidR="00D153C6" w:rsidRPr="00C94F87">
        <w:t xml:space="preserve">v roce 2008 lze údaje za jednotlivé kategorie odvětví srovnávat pouze nepřímo dle přibližné shody jednotlivých kategorií </w:t>
      </w:r>
      <w:r w:rsidR="00D153C6">
        <w:t>(</w:t>
      </w:r>
      <w:r w:rsidR="00D153C6" w:rsidRPr="00C94F87">
        <w:t>viz</w:t>
      </w:r>
      <w:r w:rsidR="00D153C6">
        <w:t xml:space="preserve"> </w:t>
      </w:r>
      <w:r w:rsidR="004F2330">
        <w:fldChar w:fldCharType="begin"/>
      </w:r>
      <w:r w:rsidR="004F2330">
        <w:instrText xml:space="preserve"> REF _Ref466885948 \h  \* MERGEFORMAT </w:instrText>
      </w:r>
      <w:r w:rsidR="004F2330">
        <w:fldChar w:fldCharType="separate"/>
      </w:r>
      <w:r w:rsidR="00EB0944">
        <w:t>t</w:t>
      </w:r>
      <w:r w:rsidR="00CB29BD">
        <w:t xml:space="preserve">abulka </w:t>
      </w:r>
      <w:r w:rsidR="00CB29BD">
        <w:rPr>
          <w:noProof/>
        </w:rPr>
        <w:t>5</w:t>
      </w:r>
      <w:r w:rsidR="00CB29BD">
        <w:t>.3</w:t>
      </w:r>
      <w:r w:rsidR="004F2330">
        <w:fldChar w:fldCharType="end"/>
      </w:r>
      <w:r w:rsidR="00D153C6">
        <w:t>)</w:t>
      </w:r>
      <w:r w:rsidR="00D153C6" w:rsidRPr="00C66DA9">
        <w:t xml:space="preserve">. </w:t>
      </w:r>
    </w:p>
    <w:p w:rsidR="00267549" w:rsidRPr="00B877CA" w:rsidRDefault="00267549" w:rsidP="002C40B2">
      <w:pPr>
        <w:spacing w:after="160"/>
      </w:pPr>
      <w:r w:rsidRPr="00E47EA0">
        <w:rPr>
          <w:b/>
        </w:rPr>
        <w:t xml:space="preserve">V Karlovarském kraji lze identifikovat dvě klíčová odvětví, jež dlouhodobě </w:t>
      </w:r>
      <w:r>
        <w:rPr>
          <w:b/>
        </w:rPr>
        <w:t>mají</w:t>
      </w:r>
      <w:r w:rsidRPr="00E47EA0">
        <w:rPr>
          <w:b/>
        </w:rPr>
        <w:t xml:space="preserve"> </w:t>
      </w:r>
      <w:r>
        <w:rPr>
          <w:b/>
        </w:rPr>
        <w:t xml:space="preserve">ve </w:t>
      </w:r>
      <w:r w:rsidRPr="00E47EA0">
        <w:rPr>
          <w:b/>
        </w:rPr>
        <w:t>zpracovatelské</w:t>
      </w:r>
      <w:r>
        <w:rPr>
          <w:b/>
        </w:rPr>
        <w:t xml:space="preserve">m </w:t>
      </w:r>
      <w:r w:rsidRPr="00E47EA0">
        <w:rPr>
          <w:b/>
        </w:rPr>
        <w:t>průmyslu</w:t>
      </w:r>
      <w:r w:rsidRPr="00C94F87">
        <w:rPr>
          <w:b/>
        </w:rPr>
        <w:t xml:space="preserve"> </w:t>
      </w:r>
      <w:r>
        <w:rPr>
          <w:b/>
        </w:rPr>
        <w:t>největší podíl</w:t>
      </w:r>
      <w:r w:rsidRPr="00E47EA0">
        <w:rPr>
          <w:b/>
        </w:rPr>
        <w:t xml:space="preserve"> tržeb. Jedná se o výrobu </w:t>
      </w:r>
      <w:r w:rsidRPr="002152B6">
        <w:rPr>
          <w:b/>
        </w:rPr>
        <w:t>kovových konstrukcí a kovodělných výrobků</w:t>
      </w:r>
      <w:r w:rsidRPr="00E47EA0" w:rsidDel="002152B6">
        <w:rPr>
          <w:b/>
        </w:rPr>
        <w:t xml:space="preserve"> </w:t>
      </w:r>
      <w:r w:rsidRPr="00E47EA0">
        <w:rPr>
          <w:rStyle w:val="Znakapoznpodarou"/>
          <w:rFonts w:eastAsiaTheme="minorEastAsia"/>
        </w:rPr>
        <w:footnoteReference w:id="5"/>
      </w:r>
      <w:r w:rsidRPr="00E47EA0">
        <w:rPr>
          <w:b/>
        </w:rPr>
        <w:t xml:space="preserve"> a výrobu nápojů</w:t>
      </w:r>
      <w:r>
        <w:rPr>
          <w:rStyle w:val="Znakapoznpodarou"/>
          <w:rFonts w:eastAsiaTheme="minorEastAsia"/>
        </w:rPr>
        <w:footnoteReference w:id="6"/>
      </w:r>
      <w:r>
        <w:t>. Zatímco na významu nabývá odvětví v</w:t>
      </w:r>
      <w:r w:rsidRPr="00542DF1">
        <w:t>ýrob</w:t>
      </w:r>
      <w:r>
        <w:t xml:space="preserve">a </w:t>
      </w:r>
      <w:r w:rsidRPr="00542DF1">
        <w:t>kovových ko</w:t>
      </w:r>
      <w:r>
        <w:t xml:space="preserve">nstrukcí a kovodělných </w:t>
      </w:r>
      <w:r>
        <w:lastRenderedPageBreak/>
        <w:t xml:space="preserve">výrobků, odvětví nápojů zaznamenalo opačný trend, tedy oslabování významu </w:t>
      </w:r>
      <w:r w:rsidR="00C54BB3">
        <w:t xml:space="preserve">ve </w:t>
      </w:r>
      <w:r>
        <w:t xml:space="preserve">zpracovatelském průmyslu. V případě tohoto odvětví však pokles absolutní hodnoty i podílu není ve skutečnosti tak významný právě v důsledku změny klasifikace ekonomických činností. Kromě těchto dvou odvětví dosahuje vyšší růstové dynamiky také výroba automobilů a výroba plastů, která velmi často souvisí s výrobou komponent pro automobily. </w:t>
      </w:r>
    </w:p>
    <w:p w:rsidR="00D153C6" w:rsidRDefault="00D153C6" w:rsidP="000B3B9C">
      <w:pPr>
        <w:pStyle w:val="Titulek"/>
      </w:pPr>
      <w:bookmarkStart w:id="96" w:name="_Ref466885948"/>
      <w:bookmarkStart w:id="97" w:name="_Toc488233476"/>
      <w:r>
        <w:t xml:space="preserve">Tabulka </w:t>
      </w:r>
      <w:r w:rsidR="008965FE">
        <w:fldChar w:fldCharType="begin"/>
      </w:r>
      <w:r w:rsidR="00B33DFE">
        <w:instrText xml:space="preserve"> STYLEREF 1 \s </w:instrText>
      </w:r>
      <w:r w:rsidR="008965FE">
        <w:fldChar w:fldCharType="separate"/>
      </w:r>
      <w:r w:rsidR="00CB29BD">
        <w:t>5</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96"/>
      <w:r w:rsidRPr="00C66DA9">
        <w:t>: Tržby z prodeje vlastních výrobků a služeb průmyslové povahy v Karlovarském kraji</w:t>
      </w:r>
      <w:r w:rsidR="00B174B8">
        <w:t xml:space="preserve"> </w:t>
      </w:r>
      <w:r w:rsidRPr="00C66DA9">
        <w:t>v letech 2000</w:t>
      </w:r>
      <w:r>
        <w:t xml:space="preserve"> </w:t>
      </w:r>
      <w:r w:rsidRPr="00C66DA9">
        <w:t>–</w:t>
      </w:r>
      <w:r>
        <w:t xml:space="preserve"> </w:t>
      </w:r>
      <w:r w:rsidRPr="00C66DA9">
        <w:t>2014</w:t>
      </w:r>
      <w:bookmarkEnd w:id="97"/>
    </w:p>
    <w:tbl>
      <w:tblPr>
        <w:tblW w:w="5000" w:type="pct"/>
        <w:tblLayout w:type="fixed"/>
        <w:tblCellMar>
          <w:left w:w="70" w:type="dxa"/>
          <w:right w:w="70" w:type="dxa"/>
        </w:tblCellMar>
        <w:tblLook w:val="04A0" w:firstRow="1" w:lastRow="0" w:firstColumn="1" w:lastColumn="0" w:noHBand="0" w:noVBand="1"/>
      </w:tblPr>
      <w:tblGrid>
        <w:gridCol w:w="2989"/>
        <w:gridCol w:w="897"/>
        <w:gridCol w:w="1010"/>
        <w:gridCol w:w="3314"/>
        <w:gridCol w:w="1002"/>
      </w:tblGrid>
      <w:tr w:rsidR="00D153C6" w:rsidRPr="005A785D" w:rsidTr="00B7470F">
        <w:trPr>
          <w:trHeight w:val="360"/>
        </w:trPr>
        <w:tc>
          <w:tcPr>
            <w:tcW w:w="1622" w:type="pct"/>
            <w:tcBorders>
              <w:top w:val="single" w:sz="4" w:space="0" w:color="auto"/>
              <w:left w:val="single" w:sz="4" w:space="0" w:color="auto"/>
              <w:bottom w:val="single" w:sz="4" w:space="0" w:color="auto"/>
              <w:right w:val="single" w:sz="4" w:space="0" w:color="auto"/>
            </w:tcBorders>
            <w:shd w:val="clear" w:color="auto" w:fill="auto"/>
            <w:noWrap/>
            <w:hideMark/>
          </w:tcPr>
          <w:p w:rsidR="00D153C6" w:rsidRPr="005A785D" w:rsidRDefault="00B7470F" w:rsidP="002C40B2">
            <w:pPr>
              <w:spacing w:after="0"/>
              <w:jc w:val="left"/>
              <w:rPr>
                <w:rFonts w:asciiTheme="minorHAnsi" w:hAnsiTheme="minorHAnsi" w:cs="Arial"/>
                <w:b/>
                <w:bCs/>
                <w:color w:val="000000"/>
                <w:sz w:val="20"/>
                <w:szCs w:val="20"/>
              </w:rPr>
            </w:pPr>
            <w:r w:rsidRPr="005A785D">
              <w:rPr>
                <w:rFonts w:asciiTheme="minorHAnsi" w:hAnsiTheme="minorHAnsi" w:cs="Arial"/>
                <w:b/>
                <w:bCs/>
                <w:color w:val="000000"/>
                <w:sz w:val="20"/>
                <w:szCs w:val="20"/>
              </w:rPr>
              <w:t>OKEČ</w:t>
            </w:r>
          </w:p>
        </w:tc>
        <w:tc>
          <w:tcPr>
            <w:tcW w:w="487" w:type="pct"/>
            <w:tcBorders>
              <w:top w:val="single" w:sz="4" w:space="0" w:color="auto"/>
              <w:left w:val="nil"/>
              <w:bottom w:val="single" w:sz="4" w:space="0" w:color="auto"/>
              <w:right w:val="single" w:sz="4" w:space="0" w:color="auto"/>
            </w:tcBorders>
            <w:shd w:val="clear" w:color="auto" w:fill="auto"/>
            <w:noWrap/>
            <w:hideMark/>
          </w:tcPr>
          <w:p w:rsidR="00D153C6" w:rsidRPr="005A785D" w:rsidRDefault="00D153C6" w:rsidP="002C40B2">
            <w:pPr>
              <w:spacing w:after="0"/>
              <w:jc w:val="center"/>
              <w:rPr>
                <w:rFonts w:asciiTheme="minorHAnsi" w:hAnsiTheme="minorHAnsi" w:cs="Arial"/>
                <w:b/>
                <w:bCs/>
                <w:color w:val="000000"/>
                <w:sz w:val="20"/>
                <w:szCs w:val="20"/>
              </w:rPr>
            </w:pPr>
            <w:r w:rsidRPr="005A785D">
              <w:rPr>
                <w:rFonts w:asciiTheme="minorHAnsi" w:hAnsiTheme="minorHAnsi" w:cs="Arial"/>
                <w:b/>
                <w:bCs/>
                <w:color w:val="000000"/>
                <w:sz w:val="20"/>
                <w:szCs w:val="20"/>
              </w:rPr>
              <w:t>průměr 2000-02</w:t>
            </w:r>
          </w:p>
        </w:tc>
        <w:tc>
          <w:tcPr>
            <w:tcW w:w="548" w:type="pct"/>
            <w:tcBorders>
              <w:top w:val="single" w:sz="4" w:space="0" w:color="auto"/>
              <w:left w:val="nil"/>
              <w:bottom w:val="single" w:sz="4" w:space="0" w:color="auto"/>
              <w:right w:val="single" w:sz="4" w:space="0" w:color="auto"/>
            </w:tcBorders>
            <w:shd w:val="clear" w:color="auto" w:fill="auto"/>
            <w:noWrap/>
            <w:hideMark/>
          </w:tcPr>
          <w:p w:rsidR="00D153C6" w:rsidRPr="005A785D" w:rsidRDefault="00D153C6" w:rsidP="002C40B2">
            <w:pPr>
              <w:spacing w:after="0"/>
              <w:jc w:val="center"/>
              <w:rPr>
                <w:rFonts w:asciiTheme="minorHAnsi" w:hAnsiTheme="minorHAnsi" w:cs="Arial"/>
                <w:b/>
                <w:bCs/>
                <w:color w:val="000000"/>
                <w:sz w:val="20"/>
                <w:szCs w:val="20"/>
              </w:rPr>
            </w:pPr>
            <w:r w:rsidRPr="005A785D">
              <w:rPr>
                <w:rFonts w:asciiTheme="minorHAnsi" w:hAnsiTheme="minorHAnsi" w:cs="Arial"/>
                <w:b/>
                <w:bCs/>
                <w:color w:val="000000"/>
                <w:sz w:val="20"/>
                <w:szCs w:val="20"/>
              </w:rPr>
              <w:t>průměr 2006-08</w:t>
            </w:r>
          </w:p>
        </w:tc>
        <w:tc>
          <w:tcPr>
            <w:tcW w:w="1799" w:type="pct"/>
            <w:tcBorders>
              <w:top w:val="single" w:sz="4" w:space="0" w:color="auto"/>
              <w:left w:val="nil"/>
              <w:bottom w:val="single" w:sz="4" w:space="0" w:color="auto"/>
              <w:right w:val="single" w:sz="4" w:space="0" w:color="auto"/>
            </w:tcBorders>
            <w:shd w:val="clear" w:color="auto" w:fill="auto"/>
            <w:noWrap/>
            <w:hideMark/>
          </w:tcPr>
          <w:p w:rsidR="00D153C6" w:rsidRPr="005A785D" w:rsidRDefault="00D153C6" w:rsidP="002C40B2">
            <w:pPr>
              <w:spacing w:after="0"/>
              <w:jc w:val="left"/>
              <w:rPr>
                <w:rFonts w:asciiTheme="minorHAnsi" w:hAnsiTheme="minorHAnsi" w:cs="Arial"/>
                <w:b/>
                <w:bCs/>
                <w:color w:val="000000"/>
                <w:sz w:val="20"/>
                <w:szCs w:val="20"/>
              </w:rPr>
            </w:pPr>
            <w:r w:rsidRPr="005A785D">
              <w:rPr>
                <w:rFonts w:asciiTheme="minorHAnsi" w:hAnsiTheme="minorHAnsi" w:cs="Arial"/>
                <w:b/>
                <w:bCs/>
                <w:color w:val="000000"/>
                <w:sz w:val="20"/>
                <w:szCs w:val="20"/>
              </w:rPr>
              <w:t>NACE</w:t>
            </w:r>
          </w:p>
        </w:tc>
        <w:tc>
          <w:tcPr>
            <w:tcW w:w="545" w:type="pct"/>
            <w:tcBorders>
              <w:top w:val="single" w:sz="4" w:space="0" w:color="auto"/>
              <w:left w:val="nil"/>
              <w:bottom w:val="single" w:sz="4" w:space="0" w:color="auto"/>
              <w:right w:val="single" w:sz="4" w:space="0" w:color="auto"/>
            </w:tcBorders>
            <w:shd w:val="clear" w:color="auto" w:fill="auto"/>
            <w:noWrap/>
            <w:hideMark/>
          </w:tcPr>
          <w:p w:rsidR="00D153C6" w:rsidRPr="005A785D" w:rsidRDefault="00D153C6" w:rsidP="002C40B2">
            <w:pPr>
              <w:spacing w:after="0"/>
              <w:jc w:val="center"/>
              <w:rPr>
                <w:rFonts w:asciiTheme="minorHAnsi" w:hAnsiTheme="minorHAnsi" w:cs="Arial"/>
                <w:b/>
                <w:bCs/>
                <w:color w:val="000000"/>
                <w:sz w:val="20"/>
                <w:szCs w:val="20"/>
              </w:rPr>
            </w:pPr>
            <w:r w:rsidRPr="005A785D">
              <w:rPr>
                <w:rFonts w:asciiTheme="minorHAnsi" w:hAnsiTheme="minorHAnsi" w:cs="Times New Roman"/>
                <w:b/>
                <w:bCs/>
                <w:color w:val="000000"/>
                <w:sz w:val="20"/>
                <w:szCs w:val="20"/>
              </w:rPr>
              <w:t>průměr 2011-14</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základních kovů, hutních a kovodělných výrobků</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4 769</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7 499</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kovových konstrukcí a kovodělných výrobků, kromě strojů a zařízení</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7 971</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potravinářských výrobků a nápojů, tabákových výrobků</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4 690</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4 875</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nápojů</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3 849</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ostatních nekovových minerálních výrobků</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3 301</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3 859</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ostatních nekovových minerálních výrobků</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2 339</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 xml:space="preserve">Výroba pryžových a plastových výrobků </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788</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1 520</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pryžových a plastových výrobků</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2 878</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 xml:space="preserve">Výroba elektrických a optických přístrojů a zařízení </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874</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2 327</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elektrických zařízení</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775</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a opravy strojů a zařízení jinde neuvedených</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1 059</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2 044</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strojů a zařízení j. n.</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892</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textilií, textilních a oděvních výrobků</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1 259</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1 633</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textilií</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2 206</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dopravních prostředků a zařízení</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1 992</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776</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 xml:space="preserve">Výroba motorových vozidel (kromě motocyklů), přívěsů a návěsů </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2 125</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Zpracování dřeva, výroba dřevařských výrobků kromě nábytku</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332</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 </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nábytku</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345</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 xml:space="preserve">Výroba vlákniny, papíru a výrobků z papíru; vydavatelství a tisk    </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226</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 </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Ostatní zpracovatelský průmysl</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325</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Výroba chemických látek, přípravků, léčiv a chemických vláken</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2 747</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 </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 </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 </w:t>
            </w:r>
          </w:p>
        </w:tc>
      </w:tr>
      <w:tr w:rsidR="00D153C6" w:rsidRPr="005A785D" w:rsidTr="00831C88">
        <w:trPr>
          <w:trHeight w:val="360"/>
        </w:trPr>
        <w:tc>
          <w:tcPr>
            <w:tcW w:w="1622" w:type="pct"/>
            <w:tcBorders>
              <w:top w:val="nil"/>
              <w:left w:val="single" w:sz="4" w:space="0" w:color="auto"/>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Zpracovatelský průmysl jinde neuvedený</w:t>
            </w:r>
          </w:p>
        </w:tc>
        <w:tc>
          <w:tcPr>
            <w:tcW w:w="487"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922</w:t>
            </w:r>
          </w:p>
        </w:tc>
        <w:tc>
          <w:tcPr>
            <w:tcW w:w="548"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777</w:t>
            </w:r>
          </w:p>
        </w:tc>
        <w:tc>
          <w:tcPr>
            <w:tcW w:w="1799"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left"/>
              <w:rPr>
                <w:rFonts w:asciiTheme="minorHAnsi" w:hAnsiTheme="minorHAnsi" w:cs="Arial"/>
                <w:color w:val="000000"/>
                <w:sz w:val="20"/>
                <w:szCs w:val="20"/>
              </w:rPr>
            </w:pPr>
            <w:r w:rsidRPr="005A785D">
              <w:rPr>
                <w:rFonts w:asciiTheme="minorHAnsi" w:hAnsiTheme="minorHAnsi" w:cs="Arial"/>
                <w:color w:val="000000"/>
                <w:sz w:val="20"/>
                <w:szCs w:val="20"/>
              </w:rPr>
              <w:t> </w:t>
            </w:r>
          </w:p>
        </w:tc>
        <w:tc>
          <w:tcPr>
            <w:tcW w:w="545" w:type="pct"/>
            <w:tcBorders>
              <w:top w:val="nil"/>
              <w:left w:val="nil"/>
              <w:bottom w:val="single" w:sz="4" w:space="0" w:color="auto"/>
              <w:right w:val="single" w:sz="4" w:space="0" w:color="auto"/>
            </w:tcBorders>
            <w:shd w:val="clear" w:color="auto" w:fill="auto"/>
            <w:noWrap/>
            <w:vAlign w:val="center"/>
            <w:hideMark/>
          </w:tcPr>
          <w:p w:rsidR="00D153C6" w:rsidRPr="005A785D" w:rsidRDefault="00D153C6" w:rsidP="002C40B2">
            <w:pPr>
              <w:spacing w:after="0"/>
              <w:jc w:val="center"/>
              <w:rPr>
                <w:rFonts w:asciiTheme="minorHAnsi" w:hAnsiTheme="minorHAnsi" w:cs="Arial"/>
                <w:color w:val="000000"/>
                <w:sz w:val="20"/>
                <w:szCs w:val="20"/>
              </w:rPr>
            </w:pPr>
            <w:r w:rsidRPr="005A785D">
              <w:rPr>
                <w:rFonts w:asciiTheme="minorHAnsi" w:hAnsiTheme="minorHAnsi" w:cs="Times New Roman"/>
                <w:color w:val="000000"/>
                <w:sz w:val="20"/>
                <w:szCs w:val="20"/>
              </w:rPr>
              <w:t> </w:t>
            </w:r>
          </w:p>
        </w:tc>
      </w:tr>
    </w:tbl>
    <w:p w:rsidR="00D153C6" w:rsidRDefault="00D153C6" w:rsidP="002C40B2">
      <w:pPr>
        <w:spacing w:before="120"/>
        <w:rPr>
          <w:rStyle w:val="Siln"/>
          <w:rFonts w:eastAsiaTheme="majorEastAsia" w:cs="Calibri"/>
          <w:b w:val="0"/>
          <w:i/>
          <w:sz w:val="20"/>
          <w:szCs w:val="20"/>
        </w:rPr>
      </w:pPr>
      <w:r w:rsidRPr="00DF184B">
        <w:rPr>
          <w:rStyle w:val="Siln"/>
          <w:rFonts w:eastAsiaTheme="majorEastAsia" w:cs="Calibri"/>
          <w:b w:val="0"/>
          <w:i/>
          <w:sz w:val="20"/>
          <w:szCs w:val="20"/>
        </w:rPr>
        <w:t>Zdroj: ČSÚ</w:t>
      </w:r>
      <w:r w:rsidR="00373521">
        <w:rPr>
          <w:rStyle w:val="Siln"/>
          <w:rFonts w:eastAsiaTheme="majorEastAsia" w:cs="Calibri"/>
          <w:b w:val="0"/>
          <w:i/>
          <w:sz w:val="20"/>
          <w:szCs w:val="20"/>
        </w:rPr>
        <w:t xml:space="preserve"> -</w:t>
      </w:r>
      <w:r w:rsidRPr="00DF184B">
        <w:rPr>
          <w:rStyle w:val="Siln"/>
          <w:rFonts w:eastAsiaTheme="majorEastAsia" w:cs="Calibri"/>
          <w:b w:val="0"/>
          <w:i/>
          <w:sz w:val="20"/>
          <w:szCs w:val="20"/>
        </w:rPr>
        <w:t xml:space="preserve"> Statistické ročenky Karlovarského kraje</w:t>
      </w:r>
      <w:r w:rsidR="00373521">
        <w:rPr>
          <w:rStyle w:val="Siln"/>
          <w:rFonts w:eastAsiaTheme="majorEastAsia" w:cs="Calibri"/>
          <w:b w:val="0"/>
          <w:i/>
          <w:sz w:val="20"/>
          <w:szCs w:val="20"/>
        </w:rPr>
        <w:t xml:space="preserve"> 2001 – 2015, vlastní výpočty</w:t>
      </w:r>
    </w:p>
    <w:p w:rsidR="00D153C6" w:rsidRDefault="00D153C6" w:rsidP="002C40B2">
      <w:pPr>
        <w:spacing w:after="120"/>
      </w:pPr>
      <w:r w:rsidRPr="00AE46CF">
        <w:rPr>
          <w:b/>
        </w:rPr>
        <w:t>Průmysl v regionu je tedy tvořen převážně tradičními odvětvími využívajícími místní zdroje, jako jsou kovodělný a hutnický průmysl, sklářský, keramický průmysl a průmysl stavebních hmot</w:t>
      </w:r>
      <w:r w:rsidRPr="00AE46CF">
        <w:t xml:space="preserve"> (</w:t>
      </w:r>
      <w:r>
        <w:t>v</w:t>
      </w:r>
      <w:r w:rsidRPr="00AE46CF">
        <w:t xml:space="preserve">ýroba nekovových minerálních výrobků) a </w:t>
      </w:r>
      <w:r w:rsidRPr="00AE46CF">
        <w:rPr>
          <w:b/>
        </w:rPr>
        <w:t>potravinářství</w:t>
      </w:r>
      <w:r w:rsidRPr="00AE46CF">
        <w:t xml:space="preserve">. </w:t>
      </w:r>
      <w:r w:rsidRPr="00AE46CF">
        <w:rPr>
          <w:b/>
        </w:rPr>
        <w:t>Stále více se začínají rozvíjet průmysl elektrických zařízení, který je velmi exportně orientovaný a plastikářský průmysl</w:t>
      </w:r>
      <w:r w:rsidRPr="00AE46CF">
        <w:t xml:space="preserve">. </w:t>
      </w:r>
    </w:p>
    <w:p w:rsidR="00D153C6" w:rsidRPr="00AE46CF" w:rsidRDefault="00D153C6" w:rsidP="002C40B2">
      <w:pPr>
        <w:spacing w:after="120"/>
      </w:pPr>
      <w:r w:rsidRPr="00AE46CF">
        <w:t>Jako klíčová, nosná, odvětví zpracovatelského průmyslu v Karlovarském kraji tedy</w:t>
      </w:r>
      <w:r>
        <w:t xml:space="preserve"> </w:t>
      </w:r>
      <w:r w:rsidRPr="00AE46CF">
        <w:t>můžeme označit</w:t>
      </w:r>
      <w:r>
        <w:t xml:space="preserve"> tato</w:t>
      </w:r>
      <w:r w:rsidRPr="00AE46CF">
        <w:t>:</w:t>
      </w:r>
    </w:p>
    <w:p w:rsidR="00D153C6" w:rsidRPr="00DE7645" w:rsidRDefault="00D153C6" w:rsidP="002C40B2">
      <w:pPr>
        <w:pStyle w:val="Odstavecseseznamem"/>
        <w:numPr>
          <w:ilvl w:val="0"/>
          <w:numId w:val="4"/>
        </w:numPr>
        <w:spacing w:after="120"/>
      </w:pPr>
      <w:r>
        <w:rPr>
          <w:b/>
          <w:lang w:eastAsia="en-US"/>
        </w:rPr>
        <w:lastRenderedPageBreak/>
        <w:t>v</w:t>
      </w:r>
      <w:r w:rsidRPr="00DE7645">
        <w:rPr>
          <w:b/>
          <w:lang w:eastAsia="en-US"/>
        </w:rPr>
        <w:t>ýroba kovových konstrukcí a kovodělných výrobků</w:t>
      </w:r>
      <w:r w:rsidRPr="00874A26" w:rsidDel="00874A26">
        <w:rPr>
          <w:b/>
        </w:rPr>
        <w:t xml:space="preserve"> </w:t>
      </w:r>
      <w:r>
        <w:rPr>
          <w:b/>
        </w:rPr>
        <w:t xml:space="preserve">- </w:t>
      </w:r>
      <w:r w:rsidRPr="0057106B">
        <w:t>j</w:t>
      </w:r>
      <w:r>
        <w:t>edná se o v</w:t>
      </w:r>
      <w:r w:rsidRPr="00AE46CF">
        <w:t> kraji tradiční odvětví, které se podílí nejvíce na tržbách ve z</w:t>
      </w:r>
      <w:r>
        <w:t>pracovatelském</w:t>
      </w:r>
      <w:r w:rsidRPr="00AE46CF">
        <w:t xml:space="preserve"> p</w:t>
      </w:r>
      <w:r>
        <w:t>růmyslu</w:t>
      </w:r>
      <w:r w:rsidRPr="00AE46CF">
        <w:t>. Je zde řada českých i</w:t>
      </w:r>
      <w:r>
        <w:t> zahraničních společností</w:t>
      </w:r>
      <w:r w:rsidRPr="00AE46CF">
        <w:t>, nejvýznamnější j</w:t>
      </w:r>
      <w:r>
        <w:t>sou</w:t>
      </w:r>
      <w:r w:rsidRPr="00AE46CF">
        <w:t xml:space="preserve"> Witte Nejdek, HF – Czechforge</w:t>
      </w:r>
      <w:r>
        <w:t xml:space="preserve"> či</w:t>
      </w:r>
      <w:r w:rsidRPr="00AE46CF">
        <w:t xml:space="preserve"> Metalis</w:t>
      </w:r>
      <w:r>
        <w:t xml:space="preserve"> Nejdek</w:t>
      </w:r>
      <w:r w:rsidRPr="00AE46CF">
        <w:t>. Řada firem má oborový přesah do strojírenství či automotive.</w:t>
      </w:r>
      <w:r w:rsidRPr="009337CF">
        <w:rPr>
          <w:b/>
        </w:rPr>
        <w:t xml:space="preserve"> </w:t>
      </w:r>
    </w:p>
    <w:p w:rsidR="00D153C6" w:rsidRPr="00AE46CF" w:rsidRDefault="00D153C6" w:rsidP="002C40B2">
      <w:pPr>
        <w:pStyle w:val="Odstavecseseznamem1"/>
        <w:numPr>
          <w:ilvl w:val="0"/>
          <w:numId w:val="4"/>
        </w:numPr>
        <w:spacing w:after="120"/>
        <w:ind w:left="709" w:hanging="357"/>
      </w:pPr>
      <w:r w:rsidRPr="009337CF">
        <w:rPr>
          <w:rFonts w:cs="Calibri"/>
          <w:b/>
        </w:rPr>
        <w:t>výroba nápojů -</w:t>
      </w:r>
      <w:r>
        <w:rPr>
          <w:rFonts w:cs="Calibri"/>
          <w:b/>
        </w:rPr>
        <w:t xml:space="preserve"> </w:t>
      </w:r>
      <w:r>
        <w:t>od</w:t>
      </w:r>
      <w:r w:rsidRPr="00AE46CF">
        <w:t>větví využívá v kraji dostupných zdrojů minerálních vod</w:t>
      </w:r>
      <w:r>
        <w:t>. H</w:t>
      </w:r>
      <w:r w:rsidRPr="00AE46CF">
        <w:t>lavní firmou v regionu j</w:t>
      </w:r>
      <w:r>
        <w:t>sou Karlovarské minerální vody, a. s.</w:t>
      </w:r>
    </w:p>
    <w:p w:rsidR="00D153C6" w:rsidRPr="0021229E" w:rsidRDefault="00D153C6" w:rsidP="002C40B2">
      <w:pPr>
        <w:pStyle w:val="Odstavecseseznamem1"/>
        <w:numPr>
          <w:ilvl w:val="0"/>
          <w:numId w:val="4"/>
        </w:numPr>
        <w:spacing w:after="120"/>
        <w:ind w:left="714" w:hanging="357"/>
      </w:pPr>
      <w:r>
        <w:rPr>
          <w:rFonts w:cs="Calibri"/>
          <w:b/>
        </w:rPr>
        <w:t>v</w:t>
      </w:r>
      <w:r w:rsidRPr="009337CF">
        <w:rPr>
          <w:rFonts w:cs="Calibri"/>
          <w:b/>
        </w:rPr>
        <w:t xml:space="preserve">ýroba pryžových a plastových výrobků - </w:t>
      </w:r>
      <w:r w:rsidRPr="00AE46CF">
        <w:t>v posledních letech</w:t>
      </w:r>
      <w:r w:rsidRPr="00AE46CF" w:rsidDel="009337CF">
        <w:t xml:space="preserve"> </w:t>
      </w:r>
      <w:r>
        <w:t>p</w:t>
      </w:r>
      <w:r w:rsidRPr="00AE46CF">
        <w:t xml:space="preserve">oměrně dynamicky se rozvíjející odvětví. </w:t>
      </w:r>
      <w:r>
        <w:t>Zástupci tohoto odvětví</w:t>
      </w:r>
      <w:r w:rsidRPr="00AE46CF">
        <w:t xml:space="preserve"> v</w:t>
      </w:r>
      <w:r>
        <w:t> </w:t>
      </w:r>
      <w:r w:rsidRPr="00AE46CF">
        <w:t>kraji</w:t>
      </w:r>
      <w:r>
        <w:t xml:space="preserve"> jsou české i zahraniční firmy např. JSP International, Speciální obaly Cheb či </w:t>
      </w:r>
      <w:r w:rsidRPr="00AE46CF">
        <w:t>VJB Partner.</w:t>
      </w:r>
      <w:r w:rsidRPr="009337CF">
        <w:rPr>
          <w:rFonts w:cs="Calibri"/>
          <w:b/>
        </w:rPr>
        <w:t xml:space="preserve"> </w:t>
      </w:r>
    </w:p>
    <w:p w:rsidR="00D153C6" w:rsidRDefault="00D153C6" w:rsidP="002C40B2">
      <w:pPr>
        <w:pStyle w:val="Odstavecseseznamem1"/>
        <w:numPr>
          <w:ilvl w:val="0"/>
          <w:numId w:val="4"/>
        </w:numPr>
        <w:spacing w:after="120"/>
        <w:ind w:left="714" w:hanging="357"/>
      </w:pPr>
      <w:r w:rsidRPr="0057106B">
        <w:rPr>
          <w:rFonts w:cs="Calibri"/>
          <w:b/>
        </w:rPr>
        <w:t xml:space="preserve">výroba ostatních nekovových minerálních výrobků - </w:t>
      </w:r>
      <w:r w:rsidRPr="00AE46CF">
        <w:t>výroba skla, porcelánu, keramiky a lehkých stavebních hmot. V kraji je několik velkých firem v tomto oboru</w:t>
      </w:r>
      <w:r>
        <w:t xml:space="preserve">, např. </w:t>
      </w:r>
      <w:r w:rsidRPr="00AE46CF">
        <w:t>Thun, Moser</w:t>
      </w:r>
      <w:r>
        <w:t>, EUTIT</w:t>
      </w:r>
      <w:r w:rsidRPr="00AE46CF">
        <w:t>. Některé z nich se zabývají průmyslovou keramikou a jsou svým zaměřením spíše na pomezí keramického průmyslu a strojírenství</w:t>
      </w:r>
      <w:r>
        <w:t>. V</w:t>
      </w:r>
      <w:r w:rsidRPr="00AE46CF">
        <w:t> kraji nalezneme také významného výrobce zdících materiálů</w:t>
      </w:r>
      <w:r>
        <w:t xml:space="preserve">, firmu </w:t>
      </w:r>
      <w:r w:rsidRPr="00AE46CF">
        <w:t>Lias Vintířov</w:t>
      </w:r>
      <w:r>
        <w:t>.</w:t>
      </w:r>
    </w:p>
    <w:p w:rsidR="00D153C6" w:rsidRDefault="00D153C6" w:rsidP="002C40B2">
      <w:pPr>
        <w:pStyle w:val="Odstavecseseznamem1"/>
        <w:numPr>
          <w:ilvl w:val="0"/>
          <w:numId w:val="4"/>
        </w:numPr>
        <w:spacing w:after="120"/>
        <w:ind w:left="709" w:hanging="357"/>
      </w:pPr>
      <w:r w:rsidRPr="00877D9E">
        <w:rPr>
          <w:rFonts w:cs="Calibri"/>
          <w:b/>
        </w:rPr>
        <w:t xml:space="preserve">výroba textilií - </w:t>
      </w:r>
      <w:r>
        <w:t>f</w:t>
      </w:r>
      <w:r w:rsidRPr="00AE46CF">
        <w:t xml:space="preserve">irmy se soustředí na rozličné portfolio produktů od dodávek potahů pro automobilový průmysl přes výrobu funkčních textilií až po výrobu vlny a přízí. Největšími firmami jsou CarTrim, TUP Bohemia, Vlnap. </w:t>
      </w:r>
    </w:p>
    <w:p w:rsidR="00D153C6" w:rsidRDefault="00D153C6" w:rsidP="002C40B2">
      <w:pPr>
        <w:pStyle w:val="Odstavecseseznamem1"/>
        <w:numPr>
          <w:ilvl w:val="0"/>
          <w:numId w:val="4"/>
        </w:numPr>
        <w:spacing w:after="120"/>
        <w:ind w:left="709" w:hanging="357"/>
      </w:pPr>
      <w:r>
        <w:rPr>
          <w:rFonts w:cs="Calibri"/>
          <w:b/>
        </w:rPr>
        <w:t>v</w:t>
      </w:r>
      <w:r w:rsidRPr="00877D9E">
        <w:rPr>
          <w:rFonts w:cs="Calibri"/>
          <w:b/>
        </w:rPr>
        <w:t xml:space="preserve">ýroba strojů a zařízení </w:t>
      </w:r>
      <w:r>
        <w:t>- t</w:t>
      </w:r>
      <w:r w:rsidRPr="00AE46CF">
        <w:t>oto odvětví zahrnuje především strojírenské podniky s velmi rozličnou strukturou produktů, která sahá od strojů pro energetický průmysl, těžbu či keramickou výrobu přes zámečnickou výrobu až po stroje a zařízení pro odvětví automobilového průmyslu. Největšími firmami jsou S</w:t>
      </w:r>
      <w:r>
        <w:t>okolovské strojírny</w:t>
      </w:r>
      <w:r w:rsidRPr="00AE46CF">
        <w:t xml:space="preserve">, strojírny Chodos, strojírny Rotas, Swiss – Form, Stasis – ZBA. Strojírenství je v kraji v porovnání s ostatními regiony Česka spíše méně rozvinuté. </w:t>
      </w:r>
    </w:p>
    <w:p w:rsidR="00D153C6" w:rsidRDefault="00D153C6" w:rsidP="002C40B2">
      <w:pPr>
        <w:pStyle w:val="Odstavecseseznamem1"/>
        <w:numPr>
          <w:ilvl w:val="0"/>
          <w:numId w:val="4"/>
        </w:numPr>
        <w:spacing w:after="120"/>
        <w:ind w:left="709" w:hanging="357"/>
      </w:pPr>
      <w:r w:rsidRPr="0057106B">
        <w:rPr>
          <w:rFonts w:cs="Calibri"/>
          <w:b/>
        </w:rPr>
        <w:t>výroba elektrických zařízení -</w:t>
      </w:r>
      <w:r>
        <w:t xml:space="preserve"> t</w:t>
      </w:r>
      <w:r w:rsidRPr="00AE46CF">
        <w:t>ento obor se v kraji soustřeďuje převážně na export do zemí západní Evropy a mnoho firem funguje jako dodavatel dílčích komponentů do automobilového průmyslu. Většina podniků jsou pobočky zahraničních firem, některé js</w:t>
      </w:r>
      <w:r>
        <w:t>ou české. Největšími firmami v tomto segmentu jsou GR Electronic,</w:t>
      </w:r>
      <w:r w:rsidRPr="00F6534D">
        <w:t xml:space="preserve"> </w:t>
      </w:r>
      <w:r>
        <w:t>OIET,</w:t>
      </w:r>
      <w:r w:rsidRPr="0057106B">
        <w:t xml:space="preserve"> </w:t>
      </w:r>
      <w:r>
        <w:t xml:space="preserve">ze zahraničních firem pak </w:t>
      </w:r>
      <w:r w:rsidRPr="00AE46CF">
        <w:t>Wieland Electric</w:t>
      </w:r>
      <w:r>
        <w:t>,</w:t>
      </w:r>
      <w:r w:rsidRPr="00F84AC9">
        <w:t xml:space="preserve"> </w:t>
      </w:r>
      <w:r w:rsidRPr="00AE46CF">
        <w:t>KE Ostrov</w:t>
      </w:r>
      <w:r w:rsidR="00267549">
        <w:t xml:space="preserve"> </w:t>
      </w:r>
      <w:r>
        <w:t>a</w:t>
      </w:r>
      <w:r w:rsidRPr="0057106B">
        <w:t xml:space="preserve"> </w:t>
      </w:r>
      <w:r w:rsidRPr="00AE46CF">
        <w:t>Amphenol</w:t>
      </w:r>
      <w:r>
        <w:t>.</w:t>
      </w:r>
    </w:p>
    <w:p w:rsidR="009E424D" w:rsidRDefault="009E424D" w:rsidP="002C40B2"/>
    <w:p w:rsidR="009E424D" w:rsidRDefault="004F2330" w:rsidP="002C40B2">
      <w:r>
        <w:fldChar w:fldCharType="begin"/>
      </w:r>
      <w:r>
        <w:instrText xml:space="preserve"> REF _Ref310515355 \h  \* MERGEFORMAT </w:instrText>
      </w:r>
      <w:r>
        <w:fldChar w:fldCharType="separate"/>
      </w:r>
      <w:r w:rsidR="00CB29BD" w:rsidRPr="00AE46CF">
        <w:t xml:space="preserve">Tabulka </w:t>
      </w:r>
      <w:r w:rsidR="00CB29BD">
        <w:rPr>
          <w:noProof/>
        </w:rPr>
        <w:t>5</w:t>
      </w:r>
      <w:r w:rsidR="00CB29BD">
        <w:t>.4</w:t>
      </w:r>
      <w:r>
        <w:fldChar w:fldCharType="end"/>
      </w:r>
      <w:r w:rsidR="00D153C6">
        <w:t xml:space="preserve"> </w:t>
      </w:r>
      <w:r w:rsidR="00D153C6" w:rsidRPr="00AE46CF">
        <w:t>nabízí pohled na</w:t>
      </w:r>
      <w:r w:rsidR="00D153C6">
        <w:t xml:space="preserve"> očekávaný</w:t>
      </w:r>
      <w:r w:rsidR="00D153C6" w:rsidRPr="00AE46CF">
        <w:t xml:space="preserve"> vývoj </w:t>
      </w:r>
      <w:r w:rsidR="00D153C6">
        <w:t xml:space="preserve">ekonomické výkonnosti </w:t>
      </w:r>
      <w:r w:rsidR="00D153C6" w:rsidRPr="00AE46CF">
        <w:t>některých</w:t>
      </w:r>
      <w:r w:rsidR="00D153C6">
        <w:t xml:space="preserve"> </w:t>
      </w:r>
      <w:r w:rsidR="00D153C6" w:rsidRPr="00AE46CF">
        <w:t>odvětví</w:t>
      </w:r>
      <w:r w:rsidR="00D153C6">
        <w:t xml:space="preserve"> v ČR, která jsou </w:t>
      </w:r>
      <w:r w:rsidR="00D153C6" w:rsidRPr="00AE46CF">
        <w:t>pro Karlovarský kraj</w:t>
      </w:r>
      <w:r w:rsidR="00D153C6">
        <w:t xml:space="preserve"> klíčová</w:t>
      </w:r>
      <w:r w:rsidR="00D153C6" w:rsidRPr="00AE46CF">
        <w:t xml:space="preserve">. Hodnoty jsou dostupné pouze na národní úrovni, jejich aplikace na region s přihlédnutím k místním odlišnostem a specifikům může naznačit některé budoucí trendy. Samotná vnitřní struktura jednotlivých odvětví je v Karlovarském kraji odlišná od národní úrovně. </w:t>
      </w:r>
    </w:p>
    <w:p w:rsidR="009E424D" w:rsidRDefault="009E424D">
      <w:pPr>
        <w:spacing w:after="160" w:line="259" w:lineRule="auto"/>
        <w:jc w:val="left"/>
      </w:pPr>
      <w:r>
        <w:br w:type="page"/>
      </w:r>
    </w:p>
    <w:p w:rsidR="00D153C6" w:rsidRPr="00AE46CF" w:rsidRDefault="00D153C6" w:rsidP="000B3B9C">
      <w:pPr>
        <w:pStyle w:val="Titulek"/>
      </w:pPr>
      <w:bookmarkStart w:id="98" w:name="_Ref310515355"/>
      <w:bookmarkStart w:id="99" w:name="_Ref310523238"/>
      <w:bookmarkStart w:id="100" w:name="_Toc321406047"/>
      <w:bookmarkStart w:id="101" w:name="_Toc488233477"/>
      <w:r w:rsidRPr="00AE46CF">
        <w:lastRenderedPageBreak/>
        <w:t xml:space="preserve">Tabulka </w:t>
      </w:r>
      <w:r w:rsidR="008965FE">
        <w:fldChar w:fldCharType="begin"/>
      </w:r>
      <w:r w:rsidR="00B33DFE">
        <w:instrText xml:space="preserve"> STYLEREF 1 \s </w:instrText>
      </w:r>
      <w:r w:rsidR="008965FE">
        <w:fldChar w:fldCharType="separate"/>
      </w:r>
      <w:r w:rsidR="00CB29BD">
        <w:t>5</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4</w:t>
      </w:r>
      <w:r w:rsidR="004F2330">
        <w:fldChar w:fldCharType="end"/>
      </w:r>
      <w:bookmarkEnd w:id="98"/>
      <w:r w:rsidRPr="00AE46CF">
        <w:t xml:space="preserve">: Projekce úrovně zaměstnanosti, produktivity a </w:t>
      </w:r>
      <w:r w:rsidR="00A636B6">
        <w:t>přidané hodnoty (PH)</w:t>
      </w:r>
      <w:r w:rsidRPr="00AE46CF">
        <w:t xml:space="preserve"> v</w:t>
      </w:r>
      <w:r>
        <w:t> </w:t>
      </w:r>
      <w:r w:rsidRPr="00AE46CF">
        <w:t>Č</w:t>
      </w:r>
      <w:r>
        <w:t>R ve vybraných</w:t>
      </w:r>
      <w:r w:rsidRPr="00AE46CF">
        <w:t xml:space="preserve"> odvětvích zpracovatelského průmyslu</w:t>
      </w:r>
      <w:r w:rsidR="00267549">
        <w:t xml:space="preserve"> </w:t>
      </w:r>
      <w:r>
        <w:t>(</w:t>
      </w:r>
      <w:r w:rsidRPr="00AE46CF">
        <w:t>průměrn</w:t>
      </w:r>
      <w:r>
        <w:t>á</w:t>
      </w:r>
      <w:r w:rsidRPr="00AE46CF">
        <w:t xml:space="preserve"> roční </w:t>
      </w:r>
      <w:r>
        <w:t>změna</w:t>
      </w:r>
      <w:r w:rsidRPr="00AE46CF">
        <w:t xml:space="preserve"> v % b. c.</w:t>
      </w:r>
      <w:bookmarkEnd w:id="99"/>
      <w:bookmarkEnd w:id="100"/>
      <w:r>
        <w:t>)</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8"/>
        <w:gridCol w:w="1728"/>
        <w:gridCol w:w="1386"/>
        <w:gridCol w:w="1386"/>
        <w:gridCol w:w="1386"/>
        <w:gridCol w:w="1384"/>
      </w:tblGrid>
      <w:tr w:rsidR="00D153C6" w:rsidRPr="005A785D" w:rsidTr="00831C88">
        <w:trPr>
          <w:trHeight w:val="300"/>
        </w:trPr>
        <w:tc>
          <w:tcPr>
            <w:tcW w:w="2017" w:type="pct"/>
            <w:gridSpan w:val="2"/>
            <w:noWrap/>
          </w:tcPr>
          <w:p w:rsidR="00D153C6" w:rsidRPr="005A785D" w:rsidRDefault="00D153C6" w:rsidP="002C40B2">
            <w:pPr>
              <w:spacing w:after="0"/>
              <w:rPr>
                <w:rFonts w:asciiTheme="minorHAnsi" w:hAnsiTheme="minorHAnsi"/>
                <w:b/>
                <w:sz w:val="20"/>
                <w:szCs w:val="20"/>
              </w:rPr>
            </w:pPr>
            <w:r w:rsidRPr="005A785D">
              <w:rPr>
                <w:rFonts w:asciiTheme="minorHAnsi" w:hAnsiTheme="minorHAnsi"/>
                <w:b/>
                <w:sz w:val="20"/>
                <w:szCs w:val="20"/>
              </w:rPr>
              <w:t> </w:t>
            </w:r>
          </w:p>
        </w:tc>
        <w:tc>
          <w:tcPr>
            <w:tcW w:w="746" w:type="pct"/>
            <w:noWrap/>
          </w:tcPr>
          <w:p w:rsidR="00D153C6" w:rsidRPr="005A785D" w:rsidRDefault="00D153C6" w:rsidP="002C40B2">
            <w:pPr>
              <w:spacing w:after="0"/>
              <w:jc w:val="center"/>
              <w:rPr>
                <w:rFonts w:asciiTheme="minorHAnsi" w:hAnsiTheme="minorHAnsi"/>
                <w:b/>
                <w:sz w:val="20"/>
                <w:szCs w:val="20"/>
              </w:rPr>
            </w:pPr>
            <w:r w:rsidRPr="005A785D">
              <w:rPr>
                <w:rFonts w:asciiTheme="minorHAnsi" w:hAnsiTheme="minorHAnsi"/>
                <w:b/>
                <w:sz w:val="20"/>
                <w:szCs w:val="20"/>
              </w:rPr>
              <w:t>2015-2020</w:t>
            </w:r>
          </w:p>
        </w:tc>
        <w:tc>
          <w:tcPr>
            <w:tcW w:w="746" w:type="pct"/>
            <w:noWrap/>
          </w:tcPr>
          <w:p w:rsidR="00D153C6" w:rsidRPr="005A785D" w:rsidRDefault="00D153C6" w:rsidP="002C40B2">
            <w:pPr>
              <w:spacing w:after="0"/>
              <w:jc w:val="center"/>
              <w:rPr>
                <w:rFonts w:asciiTheme="minorHAnsi" w:hAnsiTheme="minorHAnsi"/>
                <w:b/>
                <w:sz w:val="20"/>
                <w:szCs w:val="20"/>
              </w:rPr>
            </w:pPr>
            <w:r w:rsidRPr="005A785D">
              <w:rPr>
                <w:rFonts w:asciiTheme="minorHAnsi" w:hAnsiTheme="minorHAnsi"/>
                <w:b/>
                <w:sz w:val="20"/>
                <w:szCs w:val="20"/>
              </w:rPr>
              <w:t>2020-2025</w:t>
            </w:r>
          </w:p>
        </w:tc>
        <w:tc>
          <w:tcPr>
            <w:tcW w:w="746" w:type="pct"/>
            <w:noWrap/>
          </w:tcPr>
          <w:p w:rsidR="00D153C6" w:rsidRPr="005A785D" w:rsidRDefault="00D153C6" w:rsidP="002C40B2">
            <w:pPr>
              <w:spacing w:after="0"/>
              <w:jc w:val="center"/>
              <w:rPr>
                <w:rFonts w:asciiTheme="minorHAnsi" w:hAnsiTheme="minorHAnsi"/>
                <w:b/>
                <w:sz w:val="20"/>
                <w:szCs w:val="20"/>
              </w:rPr>
            </w:pPr>
            <w:r w:rsidRPr="005A785D">
              <w:rPr>
                <w:rFonts w:asciiTheme="minorHAnsi" w:hAnsiTheme="minorHAnsi"/>
                <w:b/>
                <w:sz w:val="20"/>
                <w:szCs w:val="20"/>
              </w:rPr>
              <w:t>2025-2030</w:t>
            </w:r>
          </w:p>
        </w:tc>
        <w:tc>
          <w:tcPr>
            <w:tcW w:w="746" w:type="pct"/>
            <w:noWrap/>
          </w:tcPr>
          <w:p w:rsidR="00D153C6" w:rsidRPr="005A785D" w:rsidRDefault="00D153C6" w:rsidP="002C40B2">
            <w:pPr>
              <w:spacing w:after="0"/>
              <w:jc w:val="center"/>
              <w:rPr>
                <w:rFonts w:asciiTheme="minorHAnsi" w:hAnsiTheme="minorHAnsi"/>
                <w:b/>
                <w:sz w:val="20"/>
                <w:szCs w:val="20"/>
              </w:rPr>
            </w:pPr>
            <w:r w:rsidRPr="005A785D">
              <w:rPr>
                <w:rFonts w:asciiTheme="minorHAnsi" w:hAnsiTheme="minorHAnsi"/>
                <w:b/>
                <w:sz w:val="20"/>
                <w:szCs w:val="20"/>
              </w:rPr>
              <w:t>2030-2035</w:t>
            </w:r>
          </w:p>
        </w:tc>
      </w:tr>
      <w:tr w:rsidR="00D153C6" w:rsidRPr="005A785D" w:rsidTr="00831C88">
        <w:trPr>
          <w:trHeight w:val="300"/>
        </w:trPr>
        <w:tc>
          <w:tcPr>
            <w:tcW w:w="1087" w:type="pct"/>
            <w:vMerge w:val="restart"/>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Hutnictví a kovodělný průmysl</w:t>
            </w: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zaměstnanost</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-0,5</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-0,7</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-0,7</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-0,7</w:t>
            </w:r>
          </w:p>
        </w:tc>
      </w:tr>
      <w:tr w:rsidR="00D153C6" w:rsidRPr="005A785D" w:rsidTr="00831C88">
        <w:trPr>
          <w:trHeight w:val="300"/>
        </w:trPr>
        <w:tc>
          <w:tcPr>
            <w:tcW w:w="1087" w:type="pct"/>
            <w:vMerge/>
          </w:tcPr>
          <w:p w:rsidR="00D153C6" w:rsidRPr="005A785D" w:rsidRDefault="00D153C6" w:rsidP="002C40B2">
            <w:pPr>
              <w:spacing w:after="0"/>
              <w:jc w:val="left"/>
              <w:rPr>
                <w:rFonts w:asciiTheme="minorHAnsi" w:hAnsiTheme="minorHAnsi"/>
                <w:sz w:val="20"/>
                <w:szCs w:val="20"/>
              </w:rPr>
            </w:pP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růst PH</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2,1</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2,1</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2,1</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w:t>
            </w:r>
          </w:p>
        </w:tc>
      </w:tr>
      <w:tr w:rsidR="00D153C6" w:rsidRPr="005A785D" w:rsidTr="00831C88">
        <w:trPr>
          <w:trHeight w:val="300"/>
        </w:trPr>
        <w:tc>
          <w:tcPr>
            <w:tcW w:w="1087" w:type="pct"/>
            <w:vMerge/>
          </w:tcPr>
          <w:p w:rsidR="00D153C6" w:rsidRPr="005A785D" w:rsidRDefault="00D153C6" w:rsidP="002C40B2">
            <w:pPr>
              <w:spacing w:after="0"/>
              <w:jc w:val="left"/>
              <w:rPr>
                <w:rFonts w:asciiTheme="minorHAnsi" w:hAnsiTheme="minorHAnsi"/>
                <w:sz w:val="20"/>
                <w:szCs w:val="20"/>
              </w:rPr>
            </w:pP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produktivita</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2,7</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2,8</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2,9</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2,7</w:t>
            </w:r>
          </w:p>
        </w:tc>
      </w:tr>
      <w:tr w:rsidR="00D153C6" w:rsidRPr="005A785D" w:rsidTr="00831C88">
        <w:trPr>
          <w:trHeight w:val="300"/>
        </w:trPr>
        <w:tc>
          <w:tcPr>
            <w:tcW w:w="1087" w:type="pct"/>
            <w:vMerge w:val="restart"/>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Průmysl nekovových minerálních výrobků</w:t>
            </w: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zaměstnanost</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-1,4</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-1,4</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-1,4</w:t>
            </w:r>
          </w:p>
        </w:tc>
      </w:tr>
      <w:tr w:rsidR="00D153C6" w:rsidRPr="005A785D" w:rsidTr="00831C88">
        <w:trPr>
          <w:trHeight w:val="300"/>
        </w:trPr>
        <w:tc>
          <w:tcPr>
            <w:tcW w:w="1087" w:type="pct"/>
            <w:vMerge/>
          </w:tcPr>
          <w:p w:rsidR="00D153C6" w:rsidRPr="005A785D" w:rsidRDefault="00D153C6" w:rsidP="002C40B2">
            <w:pPr>
              <w:spacing w:after="0"/>
              <w:jc w:val="left"/>
              <w:rPr>
                <w:rFonts w:asciiTheme="minorHAnsi" w:hAnsiTheme="minorHAnsi"/>
                <w:sz w:val="20"/>
                <w:szCs w:val="20"/>
              </w:rPr>
            </w:pP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růst PH</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1,7</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1,6</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1,7</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1,6</w:t>
            </w:r>
          </w:p>
        </w:tc>
      </w:tr>
      <w:tr w:rsidR="00D153C6" w:rsidRPr="005A785D" w:rsidTr="00831C88">
        <w:trPr>
          <w:trHeight w:val="300"/>
        </w:trPr>
        <w:tc>
          <w:tcPr>
            <w:tcW w:w="1087" w:type="pct"/>
            <w:vMerge/>
          </w:tcPr>
          <w:p w:rsidR="00D153C6" w:rsidRPr="005A785D" w:rsidRDefault="00D153C6" w:rsidP="002C40B2">
            <w:pPr>
              <w:spacing w:after="0"/>
              <w:jc w:val="left"/>
              <w:rPr>
                <w:rFonts w:asciiTheme="minorHAnsi" w:hAnsiTheme="minorHAnsi"/>
                <w:sz w:val="20"/>
                <w:szCs w:val="20"/>
              </w:rPr>
            </w:pP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produktivita</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2,7</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3,1</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3,1</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3</w:t>
            </w:r>
          </w:p>
        </w:tc>
      </w:tr>
      <w:tr w:rsidR="00D153C6" w:rsidRPr="005A785D" w:rsidTr="00831C88">
        <w:trPr>
          <w:trHeight w:val="300"/>
        </w:trPr>
        <w:tc>
          <w:tcPr>
            <w:tcW w:w="1087" w:type="pct"/>
            <w:vMerge w:val="restart"/>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Elektrotechnický průmysl</w:t>
            </w: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zaměstnanost</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0,4</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0,1</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0,2</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0</w:t>
            </w:r>
          </w:p>
        </w:tc>
      </w:tr>
      <w:tr w:rsidR="00D153C6" w:rsidRPr="005A785D" w:rsidTr="00831C88">
        <w:trPr>
          <w:trHeight w:val="300"/>
        </w:trPr>
        <w:tc>
          <w:tcPr>
            <w:tcW w:w="1087" w:type="pct"/>
            <w:vMerge/>
          </w:tcPr>
          <w:p w:rsidR="00D153C6" w:rsidRPr="005A785D" w:rsidRDefault="00D153C6" w:rsidP="002C40B2">
            <w:pPr>
              <w:spacing w:after="0"/>
              <w:jc w:val="left"/>
              <w:rPr>
                <w:rFonts w:asciiTheme="minorHAnsi" w:hAnsiTheme="minorHAnsi"/>
                <w:sz w:val="20"/>
                <w:szCs w:val="20"/>
              </w:rPr>
            </w:pP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růst PH</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2,6</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2,6</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2,6</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2,4</w:t>
            </w:r>
          </w:p>
        </w:tc>
      </w:tr>
      <w:tr w:rsidR="00D153C6" w:rsidRPr="005A785D" w:rsidTr="00831C88">
        <w:trPr>
          <w:trHeight w:val="300"/>
        </w:trPr>
        <w:tc>
          <w:tcPr>
            <w:tcW w:w="1087" w:type="pct"/>
            <w:vMerge/>
          </w:tcPr>
          <w:p w:rsidR="00D153C6" w:rsidRPr="005A785D" w:rsidRDefault="00D153C6" w:rsidP="002C40B2">
            <w:pPr>
              <w:spacing w:after="0"/>
              <w:jc w:val="left"/>
              <w:rPr>
                <w:rFonts w:asciiTheme="minorHAnsi" w:hAnsiTheme="minorHAnsi"/>
                <w:sz w:val="20"/>
                <w:szCs w:val="20"/>
              </w:rPr>
            </w:pPr>
          </w:p>
        </w:tc>
        <w:tc>
          <w:tcPr>
            <w:tcW w:w="929" w:type="pct"/>
            <w:noWrap/>
          </w:tcPr>
          <w:p w:rsidR="00D153C6" w:rsidRPr="005A785D" w:rsidRDefault="00D153C6" w:rsidP="002C40B2">
            <w:pPr>
              <w:spacing w:after="0"/>
              <w:jc w:val="left"/>
              <w:rPr>
                <w:rFonts w:asciiTheme="minorHAnsi" w:hAnsiTheme="minorHAnsi"/>
                <w:sz w:val="20"/>
                <w:szCs w:val="20"/>
              </w:rPr>
            </w:pPr>
            <w:r w:rsidRPr="005A785D">
              <w:rPr>
                <w:rFonts w:asciiTheme="minorHAnsi" w:hAnsiTheme="minorHAnsi"/>
                <w:sz w:val="20"/>
                <w:szCs w:val="20"/>
              </w:rPr>
              <w:t>produktivita</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2,2</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2,4</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2,4</w:t>
            </w:r>
          </w:p>
        </w:tc>
        <w:tc>
          <w:tcPr>
            <w:tcW w:w="746" w:type="pct"/>
            <w:noWrap/>
          </w:tcPr>
          <w:p w:rsidR="00D153C6" w:rsidRPr="005A785D" w:rsidRDefault="00D153C6" w:rsidP="002C40B2">
            <w:pPr>
              <w:spacing w:after="0"/>
              <w:jc w:val="center"/>
              <w:rPr>
                <w:rFonts w:asciiTheme="minorHAnsi" w:hAnsiTheme="minorHAnsi"/>
                <w:sz w:val="20"/>
                <w:szCs w:val="20"/>
              </w:rPr>
            </w:pPr>
            <w:r w:rsidRPr="005A785D">
              <w:rPr>
                <w:rFonts w:asciiTheme="minorHAnsi" w:hAnsiTheme="minorHAnsi"/>
                <w:sz w:val="20"/>
                <w:szCs w:val="20"/>
              </w:rPr>
              <w:t>2,5</w:t>
            </w:r>
          </w:p>
        </w:tc>
      </w:tr>
    </w:tbl>
    <w:p w:rsidR="00D153C6" w:rsidRPr="0021229E" w:rsidRDefault="00D153C6" w:rsidP="002C40B2">
      <w:pPr>
        <w:spacing w:before="120"/>
        <w:rPr>
          <w:rStyle w:val="Siln"/>
          <w:rFonts w:eastAsiaTheme="majorEastAsia" w:cs="Calibri"/>
          <w:b w:val="0"/>
          <w:i/>
          <w:sz w:val="20"/>
          <w:szCs w:val="20"/>
        </w:rPr>
      </w:pPr>
      <w:r w:rsidRPr="0021229E">
        <w:rPr>
          <w:rStyle w:val="Siln"/>
          <w:rFonts w:eastAsiaTheme="majorEastAsia" w:cs="Calibri"/>
          <w:b w:val="0"/>
          <w:i/>
          <w:sz w:val="20"/>
          <w:szCs w:val="20"/>
        </w:rPr>
        <w:t xml:space="preserve">Zdroj: </w:t>
      </w:r>
      <w:r w:rsidR="00267549">
        <w:rPr>
          <w:rStyle w:val="Siln"/>
          <w:rFonts w:eastAsiaTheme="majorEastAsia" w:cs="Calibri"/>
          <w:b w:val="0"/>
          <w:sz w:val="20"/>
          <w:szCs w:val="20"/>
        </w:rPr>
        <w:t>Ber</w:t>
      </w:r>
      <w:r w:rsidR="00373521" w:rsidRPr="00373521">
        <w:rPr>
          <w:rStyle w:val="Siln"/>
          <w:rFonts w:eastAsiaTheme="majorEastAsia" w:cs="Calibri"/>
          <w:b w:val="0"/>
          <w:sz w:val="20"/>
          <w:szCs w:val="20"/>
        </w:rPr>
        <w:t>man Group</w:t>
      </w:r>
      <w:r w:rsidR="00373521">
        <w:rPr>
          <w:rStyle w:val="Siln"/>
          <w:rFonts w:eastAsiaTheme="majorEastAsia" w:cs="Calibri"/>
          <w:b w:val="0"/>
          <w:i/>
          <w:sz w:val="20"/>
          <w:szCs w:val="20"/>
        </w:rPr>
        <w:t xml:space="preserve">. </w:t>
      </w:r>
      <w:r>
        <w:rPr>
          <w:rStyle w:val="Siln"/>
          <w:rFonts w:eastAsiaTheme="majorEastAsia" w:cs="Calibri"/>
          <w:b w:val="0"/>
          <w:i/>
          <w:sz w:val="20"/>
          <w:szCs w:val="20"/>
        </w:rPr>
        <w:t>Zpracování analýzy vývoje vybraných průmyslových odvětví v</w:t>
      </w:r>
      <w:r w:rsidR="00373521">
        <w:rPr>
          <w:rStyle w:val="Siln"/>
          <w:rFonts w:eastAsiaTheme="majorEastAsia" w:cs="Calibri"/>
          <w:b w:val="0"/>
          <w:i/>
          <w:sz w:val="20"/>
          <w:szCs w:val="20"/>
        </w:rPr>
        <w:t> </w:t>
      </w:r>
      <w:r>
        <w:rPr>
          <w:rStyle w:val="Siln"/>
          <w:rFonts w:eastAsiaTheme="majorEastAsia" w:cs="Calibri"/>
          <w:b w:val="0"/>
          <w:i/>
          <w:sz w:val="20"/>
          <w:szCs w:val="20"/>
        </w:rPr>
        <w:t>ČR</w:t>
      </w:r>
      <w:r w:rsidR="00373521">
        <w:rPr>
          <w:rStyle w:val="Siln"/>
          <w:rFonts w:eastAsiaTheme="majorEastAsia" w:cs="Calibri"/>
          <w:b w:val="0"/>
          <w:i/>
          <w:sz w:val="20"/>
          <w:szCs w:val="20"/>
        </w:rPr>
        <w:t>.</w:t>
      </w:r>
      <w:r>
        <w:rPr>
          <w:rStyle w:val="Siln"/>
          <w:rFonts w:eastAsiaTheme="majorEastAsia" w:cs="Calibri"/>
          <w:b w:val="0"/>
          <w:i/>
          <w:sz w:val="20"/>
          <w:szCs w:val="20"/>
        </w:rPr>
        <w:t xml:space="preserve"> </w:t>
      </w:r>
      <w:r w:rsidRPr="00373521">
        <w:rPr>
          <w:rStyle w:val="Siln"/>
          <w:rFonts w:eastAsiaTheme="majorEastAsia" w:cs="Calibri"/>
          <w:b w:val="0"/>
          <w:sz w:val="20"/>
          <w:szCs w:val="20"/>
        </w:rPr>
        <w:t>2010</w:t>
      </w:r>
      <w:r>
        <w:rPr>
          <w:rStyle w:val="Siln"/>
          <w:rFonts w:eastAsiaTheme="majorEastAsia" w:cs="Calibri"/>
          <w:b w:val="0"/>
          <w:i/>
          <w:sz w:val="20"/>
          <w:szCs w:val="20"/>
        </w:rPr>
        <w:t>, vlastní úpravy</w:t>
      </w:r>
    </w:p>
    <w:p w:rsidR="00D153C6" w:rsidRPr="00B7470F" w:rsidRDefault="00D153C6" w:rsidP="002C40B2">
      <w:r w:rsidRPr="00A636B6">
        <w:rPr>
          <w:b/>
        </w:rPr>
        <w:t>Odvětví hutnictví a kovodělného průmyslu</w:t>
      </w:r>
      <w:r w:rsidRPr="00B7470F">
        <w:t xml:space="preserve"> je v kraji vnitřně členěno velmi odlišně. V Česku je váha v tomto odvětví téměř rovnoměrně rozdělena mezi dílčí obory </w:t>
      </w:r>
      <w:r w:rsidRPr="00A636B6">
        <w:t xml:space="preserve">Základní kovy a hutní výrobky a Kovové výrobky a konstrukce. V Karlovarském kraji je většina firem orientována na obor Kovovýroby (výrobu kovových konstrukcí, nástrojů a železářských výrobků), který se vyznačuje v porovnání s výrobou základních kovů vyšší tvorbou </w:t>
      </w:r>
      <w:r w:rsidR="00B7470F" w:rsidRPr="00A636B6">
        <w:t>přidané hod</w:t>
      </w:r>
      <w:r w:rsidR="00A636B6" w:rsidRPr="00A636B6">
        <w:t>n</w:t>
      </w:r>
      <w:r w:rsidR="00B7470F" w:rsidRPr="00A636B6">
        <w:t>oty</w:t>
      </w:r>
      <w:r w:rsidRPr="00A636B6">
        <w:t xml:space="preserve"> a v posledních letech také mírně rostoucí úrovní zaměstnanosti. I přesto ovšem v Česku celé odvětví kovodělného průmyslu v posledních letech výrazně zaostávalo v produktivitě za průměrem zpracovatelského průmyslu. Pro Karlovarský kraj</w:t>
      </w:r>
      <w:r w:rsidRPr="00B7470F">
        <w:t xml:space="preserve"> z toho vyplývá, že zaměstnanost zde nebude klesat podle předpokladů projekce, spíše bude v příštích několika letech zaznamenán ještě mírný růst. U hodnot PH a potažmo produktivity však bude záležet, zda se firmy v kraji budou orientovat na pokročilejší výrobu s vyšší kvalitou, neboť prognózovaný růst těchto ukazatelů vychází z předpokladu, že firmy v ČR budou technologicky dohánět vyspělé státy EU. Zdejší podniky se však orientují především na zakázkovou výrobu s nižší znalostní náročností, a proto růst PH a produktivity nebude tak výrazný jak předpokládá projekce.</w:t>
      </w:r>
    </w:p>
    <w:p w:rsidR="00D153C6" w:rsidRPr="00AE46CF" w:rsidRDefault="00D153C6" w:rsidP="002C40B2">
      <w:r w:rsidRPr="008C0512">
        <w:t>V </w:t>
      </w:r>
      <w:r w:rsidRPr="0021229E">
        <w:rPr>
          <w:b/>
        </w:rPr>
        <w:t>odvětví nekovových minerálních výrobků</w:t>
      </w:r>
      <w:r w:rsidRPr="008C0512">
        <w:t xml:space="preserve"> se firmy v kraji specializují více na sklo, keramiku, porcelán a zdící materiály</w:t>
      </w:r>
      <w:r w:rsidRPr="00CA04E4">
        <w:t xml:space="preserve">. </w:t>
      </w:r>
      <w:r w:rsidRPr="008C0512">
        <w:t>Tyto obory mají v rámci odvětví spíše nižší úroveň produktivity, ovšem jsou více orientovány na export</w:t>
      </w:r>
      <w:r w:rsidRPr="00CA04E4">
        <w:t xml:space="preserve"> (především sklo, keramika a porcelán) a tudíž vystaveny větší</w:t>
      </w:r>
      <w:r w:rsidRPr="00AE46CF">
        <w:t xml:space="preserve"> konkurenci. V případě výroby skla, keramiky a porcelánu se jedná o provozy náročné na pracovní sílu. Vzhledem ke vzrůstajícímu tlaku na jednotkové náklady lze předpokládat omezování výroby a soustředění se na specializované výrobky. Úbytek počtu pracovních míst v tomto odvětví tak může být v kraji ještě citelnější, než předpokládá projekce </w:t>
      </w:r>
      <w:r w:rsidR="007A00F8">
        <w:t>na</w:t>
      </w:r>
      <w:r w:rsidR="007A00F8" w:rsidRPr="00AE46CF">
        <w:t xml:space="preserve"> </w:t>
      </w:r>
      <w:r w:rsidRPr="00AE46CF">
        <w:t>národní úrov</w:t>
      </w:r>
      <w:r>
        <w:t>ni</w:t>
      </w:r>
      <w:r w:rsidRPr="00AE46CF">
        <w:t>.</w:t>
      </w:r>
      <w:r w:rsidRPr="004B5C36">
        <w:t xml:space="preserve"> </w:t>
      </w:r>
      <w:r w:rsidRPr="00AE46CF">
        <w:t xml:space="preserve">Její hrubá aplikace na Karlovarský kraj počítá </w:t>
      </w:r>
      <w:r w:rsidR="00A636B6" w:rsidRPr="00AE46CF">
        <w:t>po roce 2015</w:t>
      </w:r>
      <w:r w:rsidR="00A636B6">
        <w:t xml:space="preserve"> </w:t>
      </w:r>
      <w:r w:rsidRPr="00AE46CF">
        <w:t>s každoroční ztrátou 40</w:t>
      </w:r>
      <w:r w:rsidR="00A636B6">
        <w:t xml:space="preserve"> </w:t>
      </w:r>
      <w:r w:rsidRPr="00AE46CF">
        <w:t>-</w:t>
      </w:r>
      <w:r w:rsidR="00A636B6">
        <w:t xml:space="preserve"> </w:t>
      </w:r>
      <w:r w:rsidRPr="00AE46CF">
        <w:t>50 pracovních míst.</w:t>
      </w:r>
    </w:p>
    <w:p w:rsidR="00D153C6" w:rsidRPr="00AE46CF" w:rsidRDefault="00D153C6" w:rsidP="002C40B2">
      <w:r w:rsidRPr="00AE46CF">
        <w:rPr>
          <w:b/>
        </w:rPr>
        <w:t>Elektrotechnický průmysl</w:t>
      </w:r>
      <w:r w:rsidRPr="00AE46CF">
        <w:t xml:space="preserve"> zahrnuje aktivity s vysokou technologickou a znalostní náročností a vysokým podílem špičkového výzkumu</w:t>
      </w:r>
      <w:r w:rsidR="00EB0265">
        <w:t>,</w:t>
      </w:r>
      <w:r w:rsidRPr="00AE46CF">
        <w:t xml:space="preserve"> stejně jako jednoduché aktivity montážního typu, které využívají méně kvalifikovanou pracovní sílu. V Karlovarském kraji většinou převládá druhý typ aktivit (dokazuje to charakteristika produktů firem i průzkum Berman Group 2010). </w:t>
      </w:r>
      <w:r w:rsidRPr="00EB0265">
        <w:t xml:space="preserve">V rámci dílčího členění odvětví se firmy v kraji zaměřují nejvíce na obor silnoproudé elektrotechniky (OKEČ 31 – Výroba elektrických strojů a zařízení), který zahrnuje zhruba ¾ tržeb a zaměstnanosti celého elektrotechnického průmyslu v kraji. Jedná se především o pobočky zahraničních firem, které působí jako dodavatelé dílčích komponent do automobilového průmyslu, zejména pak kabelů a </w:t>
      </w:r>
      <w:r w:rsidRPr="00EB0265">
        <w:lastRenderedPageBreak/>
        <w:t>elektronických vodičů. Tento obor se vyznačuje obecně nižšími mzdami a menší znalostní náročností výroby oproti</w:t>
      </w:r>
      <w:r w:rsidRPr="00AE46CF">
        <w:t xml:space="preserve"> ostatním oborům elektrotechnického průmyslu</w:t>
      </w:r>
      <w:r w:rsidR="00EB0265">
        <w:t>,</w:t>
      </w:r>
      <w:r w:rsidRPr="00AE46CF">
        <w:t xml:space="preserve"> zejména pak rostoucími obory, kterými jsou v Česku především Výpočetní technika (OKEČ 30) a Telekomunikační technika (OKEČ 32). Tyto obory se také vyznačují vyššími výdaji na VaV než OKEČ 31. Pro Karlovarský kraj z toho plyne, že budoucí vývoj v odvětví elektrotechnického průmyslu bude do značné míry závislý na rozhodnutí několika velkých poboček zahraničních firem, které jsou zde lokalizovány. Kraj bude muset pro tyto podniky vytvořit dostatečně atraktivní prostředí, které umožní nejen zachování výroby, ale především posun k sofistikovanějším produktům s vyšší znalostní náročností a nižší závislostí na levné a málo kvalifikované pracovní síle.</w:t>
      </w:r>
    </w:p>
    <w:p w:rsidR="00D153C6" w:rsidRPr="00AE46CF" w:rsidRDefault="00D153C6" w:rsidP="002C40B2">
      <w:r w:rsidRPr="00AE46CF">
        <w:rPr>
          <w:b/>
        </w:rPr>
        <w:t>Projekce předpovídá tzv. efekt dohánění neboli vyšší růst ekonomické výkonnosti všech tří odvětví z důvodu technologického zaostání Č</w:t>
      </w:r>
      <w:r w:rsidR="00EB0265">
        <w:rPr>
          <w:b/>
        </w:rPr>
        <w:t>R</w:t>
      </w:r>
      <w:r w:rsidRPr="00AE46CF">
        <w:rPr>
          <w:b/>
        </w:rPr>
        <w:t xml:space="preserve"> oproti zemím západní Evropy</w:t>
      </w:r>
      <w:r w:rsidRPr="00AE46CF">
        <w:t xml:space="preserve">. Tento efekt však bude v čase postupně slábnout. Vzhledem k sílícímu tlaku na konkurenceschopnost se bude snižovat náročnost výroby na pracovní sílu a tím bude klesat počet pracovních míst, což se bude týkat především kovodělného průmyslu a průmyslu nekovových minerálních výrobků. Pokles počtu pracovníků </w:t>
      </w:r>
      <w:r w:rsidR="007A00F8">
        <w:br/>
      </w:r>
      <w:r w:rsidRPr="00AE46CF">
        <w:t>v odvětví bude mít za následek (podle předpokladů projekce) spolu s technologickými změnami zvyšování produktivity práce. Dopad</w:t>
      </w:r>
      <w:r w:rsidR="00EB0265">
        <w:t xml:space="preserve"> </w:t>
      </w:r>
      <w:r w:rsidRPr="00AE46CF">
        <w:t>u efektu dohánění pro Karlovarský kraj je diskutabilní, neboť v kraji je lokalizována především méně technologicky náročná výroba pro zahraniční firmy, které technologicky pokročilejší výrobu realizují (samy nebo pomocí subdodávek) v jiných, vyspělejších oblastech. Největší hrozbu pro kraj tak představuje vyšší nákladová náročnost výroby v porovnání s jinými zeměmi východní Evropy nebo Asie, které se mohou snadno stát atraktivnější</w:t>
      </w:r>
      <w:r w:rsidR="007A00F8">
        <w:t>mi</w:t>
      </w:r>
      <w:r w:rsidRPr="00AE46CF">
        <w:t xml:space="preserve"> pro podobný typ investic. Pro kraj bude zásadní, aby se zdejší firmy posunuly na vyšší pozici v globálních hodnotových řetězcích a region byl schopen přilákat jiný typ investic, než jsou montážní závody. </w:t>
      </w:r>
      <w:r w:rsidRPr="00AE46CF">
        <w:rPr>
          <w:b/>
        </w:rPr>
        <w:t xml:space="preserve">Udržování současného stavu může pro kraj znamenat hrozbu </w:t>
      </w:r>
      <w:r w:rsidR="007A00F8">
        <w:rPr>
          <w:b/>
        </w:rPr>
        <w:t>zvýšení</w:t>
      </w:r>
      <w:r w:rsidRPr="00AE46CF">
        <w:rPr>
          <w:b/>
        </w:rPr>
        <w:t xml:space="preserve"> nezaměstnanosti</w:t>
      </w:r>
      <w:r w:rsidRPr="00AE46CF">
        <w:t>. Bude nutné klást ještě větší důraz na strukturální změny v</w:t>
      </w:r>
      <w:r>
        <w:t> </w:t>
      </w:r>
      <w:r w:rsidRPr="00AE46CF">
        <w:t xml:space="preserve">regionální ekonomice, především pak v průmyslu a orientovat se na znalostně náročnější výrobu. </w:t>
      </w:r>
    </w:p>
    <w:p w:rsidR="00D153C6" w:rsidRDefault="00D153C6" w:rsidP="002C40B2">
      <w:r w:rsidRPr="00AE46CF">
        <w:t xml:space="preserve">Propojení informací o odvětvové specializaci a struktuře </w:t>
      </w:r>
      <w:r w:rsidR="00C97A49">
        <w:t>s</w:t>
      </w:r>
      <w:r w:rsidR="00C97A49" w:rsidRPr="00AE46CF">
        <w:t xml:space="preserve"> </w:t>
      </w:r>
      <w:r w:rsidRPr="00AE46CF">
        <w:t>vývoj</w:t>
      </w:r>
      <w:r w:rsidR="00C97A49">
        <w:t>em</w:t>
      </w:r>
      <w:r w:rsidRPr="00AE46CF">
        <w:t xml:space="preserve"> vývozu poskyt</w:t>
      </w:r>
      <w:r w:rsidR="00C97A49">
        <w:t>uje</w:t>
      </w:r>
      <w:r w:rsidRPr="00AE46CF">
        <w:t xml:space="preserve"> zajímavá zjištění. </w:t>
      </w:r>
      <w:r w:rsidRPr="00AE46CF">
        <w:rPr>
          <w:b/>
        </w:rPr>
        <w:t xml:space="preserve">V kraji se v posledních zhruba </w:t>
      </w:r>
      <w:r w:rsidR="00C97A49">
        <w:rPr>
          <w:b/>
        </w:rPr>
        <w:t xml:space="preserve">10 </w:t>
      </w:r>
      <w:r w:rsidRPr="00AE46CF">
        <w:rPr>
          <w:b/>
        </w:rPr>
        <w:t>letech nejvíc</w:t>
      </w:r>
      <w:r w:rsidR="00C97A49">
        <w:rPr>
          <w:b/>
        </w:rPr>
        <w:t>e</w:t>
      </w:r>
      <w:r w:rsidRPr="00AE46CF">
        <w:rPr>
          <w:b/>
        </w:rPr>
        <w:t xml:space="preserve"> rozvíjely odvětví kovodělného a elektrotechnického průmyslu. Konkrétně se jedná o dílčí obory Výroby kovodělných výrobků a kovových konstrukcí</w:t>
      </w:r>
      <w:r w:rsidRPr="00AE46CF">
        <w:t xml:space="preserve"> (OKEČ 28, nyní NACE 25) a </w:t>
      </w:r>
      <w:r w:rsidRPr="00AE46CF">
        <w:rPr>
          <w:b/>
        </w:rPr>
        <w:t>obor Výroby elektrických strojů a zařízení</w:t>
      </w:r>
      <w:r w:rsidRPr="00AE46CF">
        <w:t xml:space="preserve"> (OKEČ 31, nyní NACE 27). Produkty těchto dvou oborů se podílejí zhruba 1/3 na celkovém vývozu kraje, přičemž obor silnoproudé elektrotechniky má výraznou růstovou tendenci vývozní specializace. V ekonomické struktuře kraje se jedná o firmy převážně se zahraniční účastí, případně české firmy orientující se na zakázkovou výrobu. Výrobky těchto firem slouží často jako dílčí komponenty pro odvětví automobilového průmyslu či jako meziprodukty pro intraodvětvový obchod. </w:t>
      </w:r>
      <w:r w:rsidRPr="00AE46CF">
        <w:rPr>
          <w:b/>
        </w:rPr>
        <w:t>Odvětví Výroby nekovových minerálních výrobků</w:t>
      </w:r>
      <w:r w:rsidRPr="00AE46CF">
        <w:t xml:space="preserve"> (sklo, porcelán, keramika, stavební hmoty) naopak stagnuje (měřeno počtem zaměstnanců) </w:t>
      </w:r>
      <w:r w:rsidRPr="00AE46CF">
        <w:rPr>
          <w:b/>
        </w:rPr>
        <w:t>a jeho podíl na exportu výrazně klesá</w:t>
      </w:r>
      <w:r w:rsidRPr="00AE46CF">
        <w:t>. Obdobně je na tom i textilní průmysl. Toto jsou nejvýraznější změny ve specializaci zpracovatelského průmyslu v kraji, které dopadají i na pracovní trh a modifikují poptávku po nových pracovnících. Analýza vzdělávacího systému ukáže, zda na tyto změny reagují svým zaměřením střední a odborné školy v kraji.</w:t>
      </w:r>
    </w:p>
    <w:p w:rsidR="00F80CAC" w:rsidRPr="00AE46CF" w:rsidRDefault="00F80CAC" w:rsidP="002C40B2">
      <w:pPr>
        <w:spacing w:after="120"/>
      </w:pPr>
      <w:r w:rsidRPr="00AE46CF">
        <w:rPr>
          <w:b/>
        </w:rPr>
        <w:t>V ekonomice Karlovarského kraje hrají velmi důležitou roli také služby, jejich podíl na HPH činil v roce 20</w:t>
      </w:r>
      <w:r>
        <w:rPr>
          <w:b/>
        </w:rPr>
        <w:t>14</w:t>
      </w:r>
      <w:r w:rsidRPr="00AE46CF">
        <w:rPr>
          <w:b/>
        </w:rPr>
        <w:t xml:space="preserve"> </w:t>
      </w:r>
      <w:r>
        <w:rPr>
          <w:b/>
        </w:rPr>
        <w:t>58,6</w:t>
      </w:r>
      <w:r w:rsidRPr="00AE46CF">
        <w:rPr>
          <w:b/>
        </w:rPr>
        <w:t xml:space="preserve"> %</w:t>
      </w:r>
      <w:r w:rsidRPr="00AE46CF">
        <w:t xml:space="preserve">. </w:t>
      </w:r>
    </w:p>
    <w:p w:rsidR="00D153C6" w:rsidRDefault="00D153C6" w:rsidP="000B3B9C">
      <w:pPr>
        <w:pStyle w:val="Titulek"/>
      </w:pPr>
      <w:bookmarkStart w:id="102" w:name="_Toc310604001"/>
      <w:bookmarkStart w:id="103" w:name="_Toc310604067"/>
      <w:bookmarkStart w:id="104" w:name="_Toc321406372"/>
      <w:bookmarkStart w:id="105" w:name="_Toc488234347"/>
      <w:r>
        <w:lastRenderedPageBreak/>
        <w:t xml:space="preserve">Graf </w:t>
      </w:r>
      <w:r w:rsidR="004F2330">
        <w:fldChar w:fldCharType="begin"/>
      </w:r>
      <w:r w:rsidR="004F2330">
        <w:instrText xml:space="preserve"> STYLEREF 1 \s </w:instrText>
      </w:r>
      <w:r w:rsidR="004F2330">
        <w:fldChar w:fldCharType="separate"/>
      </w:r>
      <w:r w:rsidR="00CB29BD">
        <w:t>5</w:t>
      </w:r>
      <w:r w:rsidR="004F2330">
        <w:fldChar w:fldCharType="end"/>
      </w:r>
      <w:r w:rsidR="00FD378B">
        <w:t>.</w:t>
      </w:r>
      <w:r w:rsidR="004F2330">
        <w:fldChar w:fldCharType="begin"/>
      </w:r>
      <w:r w:rsidR="004F2330">
        <w:instrText xml:space="preserve"> SEQ Graf \* ARABIC \s 1 </w:instrText>
      </w:r>
      <w:r w:rsidR="004F2330">
        <w:fldChar w:fldCharType="separate"/>
      </w:r>
      <w:r w:rsidR="00CB29BD">
        <w:t>3</w:t>
      </w:r>
      <w:r w:rsidR="004F2330">
        <w:fldChar w:fldCharType="end"/>
      </w:r>
      <w:r w:rsidRPr="00AE46CF">
        <w:t>: Struktura HPH v </w:t>
      </w:r>
      <w:r>
        <w:t>terciéru</w:t>
      </w:r>
      <w:r w:rsidRPr="00AE46CF">
        <w:t xml:space="preserve"> v</w:t>
      </w:r>
      <w:r w:rsidR="00EB0265">
        <w:t xml:space="preserve"> </w:t>
      </w:r>
      <w:r>
        <w:t>KK</w:t>
      </w:r>
      <w:r w:rsidRPr="00AE46CF">
        <w:t xml:space="preserve"> a Č</w:t>
      </w:r>
      <w:r>
        <w:t>R v letech</w:t>
      </w:r>
      <w:r w:rsidRPr="00AE46CF">
        <w:t xml:space="preserve"> 200</w:t>
      </w:r>
      <w:r>
        <w:t>5 a</w:t>
      </w:r>
      <w:r w:rsidRPr="00AE46CF">
        <w:t xml:space="preserve"> 20</w:t>
      </w:r>
      <w:r>
        <w:t>14</w:t>
      </w:r>
      <w:bookmarkEnd w:id="102"/>
      <w:bookmarkEnd w:id="103"/>
      <w:bookmarkEnd w:id="104"/>
      <w:bookmarkEnd w:id="105"/>
    </w:p>
    <w:p w:rsidR="00373521" w:rsidRPr="00373521" w:rsidRDefault="00D153C6" w:rsidP="002C40B2">
      <w:pPr>
        <w:rPr>
          <w:rFonts w:eastAsiaTheme="majorEastAsia"/>
        </w:rPr>
      </w:pPr>
      <w:r>
        <w:rPr>
          <w:noProof/>
        </w:rPr>
        <w:drawing>
          <wp:inline distT="0" distB="0" distL="0" distR="0">
            <wp:extent cx="5760720" cy="3295650"/>
            <wp:effectExtent l="0" t="0" r="1143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153C6" w:rsidRPr="00373521" w:rsidRDefault="00D153C6" w:rsidP="002C40B2">
      <w:pPr>
        <w:spacing w:before="120"/>
        <w:rPr>
          <w:rStyle w:val="Zdraznnjemn"/>
          <w:rFonts w:eastAsiaTheme="majorEastAsia"/>
        </w:rPr>
      </w:pPr>
      <w:r w:rsidRPr="00373521">
        <w:rPr>
          <w:rStyle w:val="Zdraznnjemn"/>
          <w:rFonts w:eastAsiaTheme="majorEastAsia"/>
        </w:rPr>
        <w:t>Zdroj: ČSÚ</w:t>
      </w:r>
      <w:r w:rsidR="00373521">
        <w:rPr>
          <w:rStyle w:val="Zdraznnjemn"/>
          <w:rFonts w:eastAsiaTheme="majorEastAsia"/>
        </w:rPr>
        <w:t xml:space="preserve"> - </w:t>
      </w:r>
      <w:r w:rsidRPr="00373521">
        <w:rPr>
          <w:rStyle w:val="Zdraznnjemn"/>
          <w:rFonts w:eastAsiaTheme="majorEastAsia"/>
        </w:rPr>
        <w:t>Regionální účty</w:t>
      </w:r>
    </w:p>
    <w:p w:rsidR="00D153C6" w:rsidRDefault="00F80CAC" w:rsidP="002C40B2">
      <w:pPr>
        <w:spacing w:after="120"/>
      </w:pPr>
      <w:r w:rsidRPr="00AE46CF">
        <w:t>Služby jsou velice heterogenní skupinou, zahrnují veřejné služby, které poskytuje stát či jeho organizace všeobecně a také komerční a podnikatelské služby, které se vyznačují obecně vyšší produktivitou a tržní orientací.</w:t>
      </w:r>
      <w:r>
        <w:t xml:space="preserve"> </w:t>
      </w:r>
      <w:r w:rsidR="00D153C6" w:rsidRPr="00AE46CF">
        <w:t>Ze struktury tvorby HPH v sektoru služeb, kterou zachycuje</w:t>
      </w:r>
      <w:r w:rsidR="00EB0265">
        <w:t xml:space="preserve"> </w:t>
      </w:r>
      <w:r w:rsidR="004F2330">
        <w:fldChar w:fldCharType="begin"/>
      </w:r>
      <w:r w:rsidR="004F2330">
        <w:instrText xml:space="preserve"> REF _Ref466967232 \h  \* MERGEFORMAT </w:instrText>
      </w:r>
      <w:r w:rsidR="004F2330">
        <w:fldChar w:fldCharType="separate"/>
      </w:r>
      <w:r w:rsidR="00DA707D">
        <w:t>g</w:t>
      </w:r>
      <w:r w:rsidR="00CB29BD" w:rsidRPr="00AE46CF">
        <w:t xml:space="preserve">raf </w:t>
      </w:r>
      <w:r w:rsidR="00CB29BD">
        <w:rPr>
          <w:noProof/>
        </w:rPr>
        <w:t>5</w:t>
      </w:r>
      <w:r w:rsidR="00CB29BD">
        <w:t>.1</w:t>
      </w:r>
      <w:r w:rsidR="004F2330">
        <w:fldChar w:fldCharType="end"/>
      </w:r>
      <w:r w:rsidR="00D153C6" w:rsidRPr="00AE46CF">
        <w:t>, vidíme, že v Karlovarském kraji je oproti průměru Č</w:t>
      </w:r>
      <w:r w:rsidR="00EB0265">
        <w:t>R</w:t>
      </w:r>
      <w:r w:rsidR="00D153C6" w:rsidRPr="00AE46CF">
        <w:t xml:space="preserve"> </w:t>
      </w:r>
      <w:r w:rsidR="00D153C6" w:rsidRPr="00AE46CF">
        <w:rPr>
          <w:b/>
        </w:rPr>
        <w:t>vyšší zastoupení veřejných služeb</w:t>
      </w:r>
      <w:r w:rsidR="00D153C6" w:rsidRPr="00AE46CF">
        <w:t xml:space="preserve"> (skupiny </w:t>
      </w:r>
      <w:r w:rsidR="005A785D">
        <w:br/>
      </w:r>
      <w:r w:rsidR="00D153C6" w:rsidRPr="00AE46CF">
        <w:t>O</w:t>
      </w:r>
      <w:r w:rsidR="00D153C6">
        <w:t xml:space="preserve"> – Q</w:t>
      </w:r>
      <w:r w:rsidR="00D153C6" w:rsidRPr="00AE46CF">
        <w:t>). Jejich podíl tvořil v roce 20</w:t>
      </w:r>
      <w:r w:rsidR="00D153C6">
        <w:t>15</w:t>
      </w:r>
      <w:r w:rsidR="00D153C6" w:rsidRPr="00AE46CF">
        <w:t xml:space="preserve"> více než </w:t>
      </w:r>
      <w:r w:rsidR="00D153C6">
        <w:t>33</w:t>
      </w:r>
      <w:r w:rsidR="00D153C6" w:rsidRPr="00AE46CF">
        <w:t xml:space="preserve"> % HPH </w:t>
      </w:r>
      <w:r w:rsidR="00D153C6">
        <w:t xml:space="preserve">vytvořené v sektoru služeb </w:t>
      </w:r>
      <w:r w:rsidR="00D153C6" w:rsidRPr="00AE46CF">
        <w:t xml:space="preserve">a za sledované období se </w:t>
      </w:r>
      <w:r w:rsidR="00D153C6">
        <w:t>zvý</w:t>
      </w:r>
      <w:r w:rsidR="00D153C6" w:rsidRPr="00AE46CF">
        <w:t>š</w:t>
      </w:r>
      <w:r w:rsidR="00D153C6">
        <w:t>il</w:t>
      </w:r>
      <w:r w:rsidR="00D153C6" w:rsidRPr="00AE46CF">
        <w:t xml:space="preserve">. </w:t>
      </w:r>
      <w:r w:rsidR="00D153C6" w:rsidRPr="00AE46CF">
        <w:rPr>
          <w:b/>
        </w:rPr>
        <w:t xml:space="preserve">Celkově se do struktury služeb v kraji promítá lázeňství, </w:t>
      </w:r>
      <w:r w:rsidR="00D153C6">
        <w:rPr>
          <w:b/>
        </w:rPr>
        <w:t>které</w:t>
      </w:r>
      <w:r w:rsidR="00D153C6" w:rsidRPr="00AE46CF">
        <w:rPr>
          <w:b/>
        </w:rPr>
        <w:t xml:space="preserve"> zvyšuje podíly skupin Zdravotnických činností a Ubytování a </w:t>
      </w:r>
      <w:r w:rsidR="00D153C6">
        <w:rPr>
          <w:b/>
        </w:rPr>
        <w:t>pohostinstv</w:t>
      </w:r>
      <w:r w:rsidR="00D153C6" w:rsidRPr="00AE46CF">
        <w:rPr>
          <w:b/>
        </w:rPr>
        <w:t>í</w:t>
      </w:r>
      <w:r w:rsidR="00D153C6" w:rsidRPr="00AE46CF">
        <w:t>.</w:t>
      </w:r>
      <w:r w:rsidR="00D153C6">
        <w:t xml:space="preserve"> </w:t>
      </w:r>
      <w:r w:rsidR="00D153C6" w:rsidRPr="00AE46CF">
        <w:t xml:space="preserve">Skupina komerčních a podnikatelských služeb </w:t>
      </w:r>
      <w:r w:rsidR="005A785D">
        <w:br/>
      </w:r>
      <w:r w:rsidR="00D153C6" w:rsidRPr="00AE46CF">
        <w:t>(G</w:t>
      </w:r>
      <w:r w:rsidR="005A785D">
        <w:t xml:space="preserve"> </w:t>
      </w:r>
      <w:r w:rsidR="00D153C6" w:rsidRPr="00AE46CF">
        <w:t>-</w:t>
      </w:r>
      <w:r w:rsidR="005A785D">
        <w:t xml:space="preserve"> </w:t>
      </w:r>
      <w:r w:rsidR="00D153C6">
        <w:t>L</w:t>
      </w:r>
      <w:r w:rsidR="00D153C6" w:rsidRPr="00AE46CF">
        <w:t xml:space="preserve">) tvoří méně než </w:t>
      </w:r>
      <w:r w:rsidR="00D153C6">
        <w:t>55</w:t>
      </w:r>
      <w:r w:rsidR="00D153C6" w:rsidRPr="00AE46CF">
        <w:t xml:space="preserve"> % HPH </w:t>
      </w:r>
      <w:r w:rsidR="00D153C6">
        <w:t xml:space="preserve">KK </w:t>
      </w:r>
      <w:r w:rsidR="00D153C6" w:rsidRPr="00AE46CF">
        <w:t>v sektoru služeb. V porovnání s průměrem Č</w:t>
      </w:r>
      <w:r w:rsidR="00D153C6">
        <w:t>R</w:t>
      </w:r>
      <w:r w:rsidR="00D153C6" w:rsidRPr="00AE46CF">
        <w:t xml:space="preserve"> je zde zejména </w:t>
      </w:r>
      <w:r w:rsidR="00D153C6" w:rsidRPr="00AE46CF">
        <w:rPr>
          <w:b/>
        </w:rPr>
        <w:t>nižší zastoupení komerčních služeb</w:t>
      </w:r>
      <w:r w:rsidR="00D153C6" w:rsidRPr="00AE46CF">
        <w:t xml:space="preserve">, které zahrnují činnosti v oblasti nemovitostí, </w:t>
      </w:r>
      <w:r w:rsidR="00D153C6">
        <w:t xml:space="preserve">peněžnictví a pojišťovnictví a </w:t>
      </w:r>
      <w:r w:rsidR="00D153C6" w:rsidRPr="00AE46CF">
        <w:t>činnosti v oblasti výpočetní techniky</w:t>
      </w:r>
      <w:r w:rsidR="00D153C6">
        <w:t xml:space="preserve"> a</w:t>
      </w:r>
      <w:r w:rsidR="00373521">
        <w:t xml:space="preserve"> komunikací</w:t>
      </w:r>
      <w:r w:rsidR="00D153C6" w:rsidRPr="00AE46CF">
        <w:t xml:space="preserve">. </w:t>
      </w:r>
      <w:r w:rsidR="00D153C6">
        <w:t xml:space="preserve">Rovněž podíl </w:t>
      </w:r>
      <w:r w:rsidR="00D153C6" w:rsidRPr="00874A26">
        <w:t>Profesní, vědecké, technické a administrativní činnosti</w:t>
      </w:r>
      <w:r w:rsidR="00EB0265">
        <w:t xml:space="preserve"> v KK se pohybuje pod </w:t>
      </w:r>
      <w:r w:rsidR="00D153C6">
        <w:t>průměrem ČR.</w:t>
      </w:r>
    </w:p>
    <w:p w:rsidR="00C34587" w:rsidRPr="00373521" w:rsidRDefault="00C34587" w:rsidP="002C40B2">
      <w:pPr>
        <w:pStyle w:val="Nadpis2"/>
        <w:rPr>
          <w:rStyle w:val="Siln"/>
          <w:rFonts w:cstheme="majorBidi"/>
          <w:b/>
        </w:rPr>
      </w:pPr>
      <w:r w:rsidRPr="00373521">
        <w:rPr>
          <w:rStyle w:val="Siln"/>
          <w:rFonts w:cstheme="majorBidi"/>
          <w:b/>
        </w:rPr>
        <w:t>Klíčové výzvy/problémy</w:t>
      </w:r>
    </w:p>
    <w:p w:rsidR="00C34587" w:rsidRPr="00FA3777" w:rsidRDefault="00C34587" w:rsidP="002C40B2">
      <w:pPr>
        <w:rPr>
          <w:b/>
        </w:rPr>
      </w:pPr>
      <w:r w:rsidRPr="00FA3777">
        <w:rPr>
          <w:b/>
        </w:rPr>
        <w:t>Nízká úroveň produktivity práce</w:t>
      </w:r>
    </w:p>
    <w:p w:rsidR="00C34587" w:rsidRPr="00AE46CF" w:rsidRDefault="00C34587" w:rsidP="002C40B2">
      <w:r w:rsidRPr="00AE46CF">
        <w:t xml:space="preserve">Jedním z nejvýznamnějších problémů ekonomiky Karlovarského kraje je nízká úroveň produktivity práce napříč ekonomickými sektory. </w:t>
      </w:r>
    </w:p>
    <w:p w:rsidR="00C34587" w:rsidRPr="00FA3777" w:rsidRDefault="00FA3777" w:rsidP="002C40B2">
      <w:pPr>
        <w:rPr>
          <w:b/>
          <w:i/>
        </w:rPr>
      </w:pPr>
      <w:r>
        <w:rPr>
          <w:b/>
          <w:i/>
        </w:rPr>
        <w:t>Příčiny</w:t>
      </w:r>
    </w:p>
    <w:p w:rsidR="00C34587" w:rsidRPr="00AE46CF" w:rsidRDefault="00C34587" w:rsidP="002C40B2">
      <w:r w:rsidRPr="00AE46CF">
        <w:t xml:space="preserve">Pravděpodobných příčin je několik a výsledek je jejich vzájemnou kombinací. Zejména se jedná o orientaci podniků na méně sofistikované a spíše standardizované výrobky s nižší přidanou hodnotou. Zdejší firmy jsou na nízké pozici v hodnotových řetězcích a mají omezenou řídící a rozhodovací </w:t>
      </w:r>
      <w:r w:rsidRPr="00AE46CF">
        <w:lastRenderedPageBreak/>
        <w:t>autonomii. Svou roli hraje také malý objem zahraničních investic. Pro většinu z nich byly navíc motivem nízké náklady na pracovní sílu a výhodná geografická poloha na hranicích s Německem. Jen velmi malý počet firem v kraji se orientuje na výzkumné a vývojové aktivity.</w:t>
      </w:r>
    </w:p>
    <w:p w:rsidR="00C34587" w:rsidRPr="00FA3777" w:rsidRDefault="00FA3777" w:rsidP="002C40B2">
      <w:pPr>
        <w:rPr>
          <w:b/>
          <w:i/>
        </w:rPr>
      </w:pPr>
      <w:r>
        <w:rPr>
          <w:b/>
          <w:i/>
        </w:rPr>
        <w:t>Důsledky</w:t>
      </w:r>
    </w:p>
    <w:p w:rsidR="00C34587" w:rsidRPr="00AE46CF" w:rsidRDefault="00C34587" w:rsidP="002C40B2">
      <w:r w:rsidRPr="00AE46CF">
        <w:t xml:space="preserve">Ekonomické zaostávání kraje oproti </w:t>
      </w:r>
      <w:r w:rsidR="005A785D">
        <w:t>ostatním regionům ČR</w:t>
      </w:r>
      <w:r w:rsidRPr="00AE46CF">
        <w:t>. Tlak na zvyšování produktivity v dnešní době stále sílí, současná situace v kraji zhoršuje jeho konkurenceschopnost na evropském trhu. Kraj by se měl snažit podporovat užší provázanost firem a jednotlivých oborů v kraji tak, aby se využilo případných synergických efektů.</w:t>
      </w:r>
    </w:p>
    <w:p w:rsidR="00C34587" w:rsidRPr="00FA3777" w:rsidRDefault="00C34587" w:rsidP="002C40B2">
      <w:pPr>
        <w:rPr>
          <w:b/>
        </w:rPr>
      </w:pPr>
      <w:r w:rsidRPr="00FA3777">
        <w:rPr>
          <w:b/>
        </w:rPr>
        <w:t>Dominance tradičních odvětví</w:t>
      </w:r>
    </w:p>
    <w:p w:rsidR="00C34587" w:rsidRPr="00AE46CF" w:rsidRDefault="00C34587" w:rsidP="002C40B2">
      <w:r w:rsidRPr="00AE46CF">
        <w:t>V ekonomice regionu mají příliš velký význam tradiční odvětví s nízkou produktivitou práce, která navíc dále klesá. Jedná se především o těžbu a dílčí odvětví zpracovatelského průmyslu – hutnictví a kovodělný průmysl, textilní průmysl a výrob</w:t>
      </w:r>
      <w:r w:rsidR="00FA3777">
        <w:t>u</w:t>
      </w:r>
      <w:r w:rsidRPr="00AE46CF">
        <w:t xml:space="preserve"> nekovových výrobků (sklo, keramika, porcelán).</w:t>
      </w:r>
    </w:p>
    <w:p w:rsidR="00C34587" w:rsidRPr="00FA3777" w:rsidRDefault="00373521" w:rsidP="002C40B2">
      <w:pPr>
        <w:rPr>
          <w:b/>
          <w:i/>
        </w:rPr>
      </w:pPr>
      <w:r w:rsidRPr="00FA3777">
        <w:rPr>
          <w:b/>
          <w:i/>
        </w:rPr>
        <w:t>Příčiny</w:t>
      </w:r>
    </w:p>
    <w:p w:rsidR="00C34587" w:rsidRPr="00AE46CF" w:rsidRDefault="00C34587" w:rsidP="002C40B2">
      <w:r w:rsidRPr="00AE46CF">
        <w:t xml:space="preserve">Do značné míry je příčinou zděděná odvětvová struktura, která vyplývá z místních zdrojů nerostných surovin a tehdejšího centrálního plánování. Tato struktura vykazuje velkou míru inercie v čase a je složité ji změnit. </w:t>
      </w:r>
    </w:p>
    <w:p w:rsidR="00C34587" w:rsidRPr="00FA3777" w:rsidRDefault="00C34587" w:rsidP="002C40B2">
      <w:pPr>
        <w:rPr>
          <w:b/>
          <w:i/>
        </w:rPr>
      </w:pPr>
      <w:r w:rsidRPr="00FA3777">
        <w:rPr>
          <w:b/>
          <w:i/>
        </w:rPr>
        <w:t>Důsled</w:t>
      </w:r>
      <w:r w:rsidR="00373521" w:rsidRPr="00FA3777">
        <w:rPr>
          <w:b/>
          <w:i/>
        </w:rPr>
        <w:t>ky</w:t>
      </w:r>
    </w:p>
    <w:p w:rsidR="00C34587" w:rsidRPr="00FA3777" w:rsidRDefault="00C34587" w:rsidP="002C40B2">
      <w:r w:rsidRPr="00AE46CF">
        <w:t xml:space="preserve">Firmy v tradičních oborech budou nuceny hledat nové trhy a zdroje inovací, aby byly schopny obstát </w:t>
      </w:r>
      <w:r w:rsidRPr="00FA3777">
        <w:t>v globální konkurenci. Zároveň je nutné rozvíjet nové obory v ekonomice kraje, které budou tyto tradiční nahrazovat. Pokud se toto nepodaří, bude kraj vystaven rostoucí nezaměstnanosti, neboť prognózy počítají se snižováním počtu pracovních míst v těchto tradičních oborech.</w:t>
      </w:r>
    </w:p>
    <w:p w:rsidR="00C34587" w:rsidRPr="00FA3777" w:rsidRDefault="00C34587" w:rsidP="002C40B2">
      <w:pPr>
        <w:rPr>
          <w:b/>
        </w:rPr>
      </w:pPr>
      <w:r w:rsidRPr="00FA3777">
        <w:rPr>
          <w:b/>
        </w:rPr>
        <w:t>Málo rozvinutý a výkonný zpracovatelský průmysl</w:t>
      </w:r>
    </w:p>
    <w:p w:rsidR="00C34587" w:rsidRPr="00AE46CF" w:rsidRDefault="00C34587" w:rsidP="002C40B2">
      <w:r w:rsidRPr="00AE46CF">
        <w:t>Zpracovatelský průmysl v Karlovarském kraji zaostává ve své výkonnosti za ostatními regiony Česka. Podílí se pouze 21 % na tvorbě celkové přidané hodnoty v kraji a rovněž v produktivitě výrazně zaostává za národním průměrem</w:t>
      </w:r>
      <w:r w:rsidR="005A785D">
        <w:t>.</w:t>
      </w:r>
    </w:p>
    <w:p w:rsidR="00C34587" w:rsidRPr="00FA3777" w:rsidRDefault="00373521" w:rsidP="002C40B2">
      <w:pPr>
        <w:rPr>
          <w:b/>
          <w:i/>
        </w:rPr>
      </w:pPr>
      <w:r w:rsidRPr="00FA3777">
        <w:rPr>
          <w:b/>
          <w:i/>
        </w:rPr>
        <w:t>Příčiny</w:t>
      </w:r>
    </w:p>
    <w:p w:rsidR="00C34587" w:rsidRDefault="00C34587" w:rsidP="002C40B2">
      <w:r w:rsidRPr="00AE46CF">
        <w:t xml:space="preserve">Zpracovatelský průmysl je obecně jedním z hlavních zdrojů inovací a nových technologií, které se dále mohou využívat i v jiných oborech. Kraj zdědil orientaci na tradiční průmyslové obory (viz výše), které v současnosti procházejí útlumem. Činnosti a aktivity firem v progresivnějších odvětvích průmyslu jsou však často omezeny na jednodušší produkci dílčích komponent bez výzkumných a vývojových aktivit </w:t>
      </w:r>
      <w:r w:rsidR="005A785D">
        <w:br/>
      </w:r>
      <w:r w:rsidRPr="00AE46CF">
        <w:t>a se značnou závislostí na nadřazené firmy ve výrobních řetězcích. V kraji také chybí dostatek odborníků a pracovníků v technických oborech, což souvisí s omezenou nabídkou takto zaměřených středních škol.</w:t>
      </w:r>
    </w:p>
    <w:p w:rsidR="00C1787D" w:rsidRDefault="00C1787D">
      <w:pPr>
        <w:spacing w:after="160" w:line="259" w:lineRule="auto"/>
        <w:jc w:val="left"/>
      </w:pPr>
      <w:r>
        <w:br w:type="page"/>
      </w:r>
    </w:p>
    <w:p w:rsidR="00C34587" w:rsidRPr="00FA3777" w:rsidRDefault="00373521" w:rsidP="002C40B2">
      <w:pPr>
        <w:rPr>
          <w:b/>
          <w:i/>
        </w:rPr>
      </w:pPr>
      <w:r w:rsidRPr="00FA3777">
        <w:rPr>
          <w:b/>
          <w:i/>
        </w:rPr>
        <w:lastRenderedPageBreak/>
        <w:t>Důsledky</w:t>
      </w:r>
    </w:p>
    <w:p w:rsidR="00C34587" w:rsidRPr="00AE46CF" w:rsidRDefault="00FA3777" w:rsidP="002C40B2">
      <w:r w:rsidRPr="00FA3777">
        <w:t xml:space="preserve">Málo rozvinutý a výkonný zpracovatelský průmysl je jednou </w:t>
      </w:r>
      <w:r w:rsidR="00C34587" w:rsidRPr="00FA3777">
        <w:t>z hlavních příčin ekonomického</w:t>
      </w:r>
      <w:r w:rsidR="00C34587" w:rsidRPr="00AE46CF">
        <w:t xml:space="preserve"> zaostávání kraje. Kraj je také z tohoto důvodu málo atraktivní pro nové investice na kvalitativně vyšší úrovni v oblasti zpracovatelského průmyslu. </w:t>
      </w:r>
    </w:p>
    <w:p w:rsidR="00C34587" w:rsidRPr="00FA3777" w:rsidRDefault="00C34587" w:rsidP="002C40B2">
      <w:pPr>
        <w:rPr>
          <w:b/>
        </w:rPr>
      </w:pPr>
      <w:r w:rsidRPr="00FA3777">
        <w:rPr>
          <w:b/>
        </w:rPr>
        <w:t>Nižší zastoupení komerčních služeb</w:t>
      </w:r>
    </w:p>
    <w:p w:rsidR="00C34587" w:rsidRPr="00AE46CF" w:rsidRDefault="00C34587" w:rsidP="002C40B2">
      <w:r w:rsidRPr="00AE46CF">
        <w:t>Kraj má ve své ekonomické struktuře výrazně nižší zastoupení tzv. komerčních služeb (zejména peněžnictví a pojišťovnictví, informační, komunikační, vědecké a technické činnosti), které vykazují obecně vyšší tvorbu přidané hodnoty.</w:t>
      </w:r>
    </w:p>
    <w:p w:rsidR="00C34587" w:rsidRPr="00FA3777" w:rsidRDefault="00373521" w:rsidP="002C40B2">
      <w:pPr>
        <w:rPr>
          <w:b/>
          <w:i/>
        </w:rPr>
      </w:pPr>
      <w:r w:rsidRPr="00FA3777">
        <w:rPr>
          <w:b/>
          <w:i/>
        </w:rPr>
        <w:t>Příčiny</w:t>
      </w:r>
    </w:p>
    <w:p w:rsidR="00C34587" w:rsidRPr="00AE46CF" w:rsidRDefault="00C34587" w:rsidP="002C40B2">
      <w:r w:rsidRPr="00AE46CF">
        <w:t>Příčinou je především absence silného ekonomického centra v kraji a jeho celková periferní poloha v sídelní struktuře a neexistence dostatečně velkého trhu. Výše uvedené služby se lokalizují především do větších aglomerací a ekonomických center, kde je i větší poptávka po jejich službách.</w:t>
      </w:r>
    </w:p>
    <w:p w:rsidR="00C34587" w:rsidRPr="00FA3777" w:rsidRDefault="00C34587" w:rsidP="002C40B2">
      <w:pPr>
        <w:rPr>
          <w:b/>
          <w:i/>
        </w:rPr>
      </w:pPr>
      <w:r w:rsidRPr="00FA3777">
        <w:rPr>
          <w:b/>
          <w:i/>
        </w:rPr>
        <w:t>Důsledky</w:t>
      </w:r>
    </w:p>
    <w:p w:rsidR="00C34587" w:rsidRDefault="00C34587" w:rsidP="002C40B2">
      <w:r w:rsidRPr="00AE46CF">
        <w:t>Sektor služeb má v Karlovarském kraji nadprůměrnou dominanci tzv. veřejných služeb jako je školství, zdravotnictví, veřejná administrativa a sociální služby. Pokud se bude ekonomika kraje pozitivně rozvíjet, budou zde vznikat nové firmy a obory a bude se zvyšovat koupěschopnost obyvatelstva a následně také rozvíjet i komerční služby.</w:t>
      </w:r>
    </w:p>
    <w:p w:rsidR="00D153C6" w:rsidRPr="00AE46CF" w:rsidRDefault="00D153C6" w:rsidP="002C40B2">
      <w:pPr>
        <w:pStyle w:val="Nadpis3"/>
        <w:spacing w:line="276" w:lineRule="auto"/>
      </w:pPr>
      <w:r w:rsidRPr="00AE46CF">
        <w:t>Literatura:</w:t>
      </w:r>
    </w:p>
    <w:p w:rsidR="00F22BDB" w:rsidRPr="00F22BDB" w:rsidRDefault="00F22BDB" w:rsidP="00EB551E">
      <w:r w:rsidRPr="00F22BDB">
        <w:t>Berman Group.</w:t>
      </w:r>
      <w:r w:rsidRPr="00F22BDB">
        <w:rPr>
          <w:i/>
        </w:rPr>
        <w:t xml:space="preserve"> </w:t>
      </w:r>
      <w:r w:rsidR="00F4564D" w:rsidRPr="00F22BDB">
        <w:rPr>
          <w:i/>
        </w:rPr>
        <w:t>Strategie rozvoje konkurenceschopnosti Karlovarského kraje</w:t>
      </w:r>
      <w:r w:rsidR="00F84B78">
        <w:rPr>
          <w:i/>
        </w:rPr>
        <w:t xml:space="preserve"> </w:t>
      </w:r>
      <w:r w:rsidR="00F84B78">
        <w:rPr>
          <w:color w:val="000000"/>
        </w:rPr>
        <w:t>[online].</w:t>
      </w:r>
      <w:r w:rsidR="00F4564D" w:rsidRPr="00F22BDB">
        <w:rPr>
          <w:i/>
        </w:rPr>
        <w:t xml:space="preserve"> </w:t>
      </w:r>
      <w:r w:rsidR="00F4564D" w:rsidRPr="00F22BDB">
        <w:t>2012</w:t>
      </w:r>
      <w:r w:rsidRPr="00F22BDB">
        <w:t xml:space="preserve">. Dostupné z: </w:t>
      </w:r>
      <w:hyperlink r:id="rId48" w:history="1">
        <w:r w:rsidR="00267549" w:rsidRPr="00C552C9">
          <w:rPr>
            <w:rStyle w:val="Hypertextovodkaz"/>
          </w:rPr>
          <w:t>http://www.kr-karlovarsky.cz/samosprava/dokumenty/Stranky/koncepce/seznam/strat_rozvoj_kon.aspx</w:t>
        </w:r>
      </w:hyperlink>
      <w:r w:rsidRPr="00F22BDB">
        <w:t>.</w:t>
      </w:r>
    </w:p>
    <w:p w:rsidR="00F22BDB" w:rsidRDefault="00F22BDB" w:rsidP="00EB551E">
      <w:r w:rsidRPr="00F22BDB">
        <w:t>Berman Group.</w:t>
      </w:r>
      <w:r>
        <w:rPr>
          <w:i/>
        </w:rPr>
        <w:t xml:space="preserve"> </w:t>
      </w:r>
      <w:r w:rsidR="00F4564D" w:rsidRPr="00DF184B">
        <w:rPr>
          <w:i/>
        </w:rPr>
        <w:t>Analýza inovačního potenciálu firem Karlovarského kraje</w:t>
      </w:r>
      <w:r w:rsidR="00F84B78">
        <w:rPr>
          <w:i/>
        </w:rPr>
        <w:t xml:space="preserve"> </w:t>
      </w:r>
      <w:r w:rsidR="00F84B78">
        <w:rPr>
          <w:color w:val="000000"/>
        </w:rPr>
        <w:t xml:space="preserve">[online]. </w:t>
      </w:r>
      <w:r w:rsidR="00F4564D" w:rsidRPr="00F22BDB">
        <w:t>2010</w:t>
      </w:r>
      <w:r w:rsidRPr="00F22BDB">
        <w:t>. Dostupné z:</w:t>
      </w:r>
      <w:r w:rsidR="00A52E70">
        <w:t xml:space="preserve"> </w:t>
      </w:r>
      <w:hyperlink r:id="rId49" w:history="1">
        <w:r w:rsidR="00267549" w:rsidRPr="00C552C9">
          <w:rPr>
            <w:rStyle w:val="Hypertextovodkaz"/>
          </w:rPr>
          <w:t>http://www.karp-kv.cz/cz/Documents/Analyza_inovacniho_potencialu_firem_KK.pdf</w:t>
        </w:r>
      </w:hyperlink>
      <w:r w:rsidR="00A52E70">
        <w:t>.</w:t>
      </w:r>
    </w:p>
    <w:p w:rsidR="00267549" w:rsidRDefault="00267549" w:rsidP="00EB551E">
      <w:r>
        <w:rPr>
          <w:rStyle w:val="Siln"/>
          <w:rFonts w:eastAsiaTheme="majorEastAsia" w:cs="Calibri"/>
          <w:b w:val="0"/>
        </w:rPr>
        <w:t>Ber</w:t>
      </w:r>
      <w:r w:rsidRPr="00267549">
        <w:rPr>
          <w:rStyle w:val="Siln"/>
          <w:rFonts w:eastAsiaTheme="majorEastAsia" w:cs="Calibri"/>
          <w:b w:val="0"/>
        </w:rPr>
        <w:t>man Group</w:t>
      </w:r>
      <w:r w:rsidRPr="00267549">
        <w:rPr>
          <w:rStyle w:val="Siln"/>
          <w:rFonts w:eastAsiaTheme="majorEastAsia" w:cs="Calibri"/>
          <w:b w:val="0"/>
          <w:i/>
        </w:rPr>
        <w:t>. Zpracování analýzy vývoje vybraných průmyslových odvětví v</w:t>
      </w:r>
      <w:r w:rsidR="00F84B78">
        <w:rPr>
          <w:rStyle w:val="Siln"/>
          <w:rFonts w:eastAsiaTheme="majorEastAsia" w:cs="Calibri"/>
          <w:b w:val="0"/>
          <w:i/>
        </w:rPr>
        <w:t> </w:t>
      </w:r>
      <w:r w:rsidRPr="00267549">
        <w:rPr>
          <w:rStyle w:val="Siln"/>
          <w:rFonts w:eastAsiaTheme="majorEastAsia" w:cs="Calibri"/>
          <w:b w:val="0"/>
          <w:i/>
        </w:rPr>
        <w:t>ČR</w:t>
      </w:r>
      <w:r w:rsidR="00F84B78">
        <w:rPr>
          <w:rStyle w:val="Siln"/>
          <w:rFonts w:eastAsiaTheme="majorEastAsia" w:cs="Calibri"/>
          <w:b w:val="0"/>
          <w:i/>
        </w:rPr>
        <w:t xml:space="preserve"> </w:t>
      </w:r>
      <w:r w:rsidR="00F84B78">
        <w:rPr>
          <w:color w:val="000000"/>
        </w:rPr>
        <w:t>[online].</w:t>
      </w:r>
      <w:r w:rsidRPr="00267549">
        <w:rPr>
          <w:rStyle w:val="Siln"/>
          <w:rFonts w:eastAsiaTheme="majorEastAsia" w:cs="Calibri"/>
          <w:b w:val="0"/>
          <w:i/>
        </w:rPr>
        <w:t xml:space="preserve"> </w:t>
      </w:r>
      <w:r w:rsidRPr="00267549">
        <w:rPr>
          <w:rStyle w:val="Siln"/>
          <w:rFonts w:eastAsiaTheme="majorEastAsia" w:cs="Calibri"/>
          <w:b w:val="0"/>
        </w:rPr>
        <w:t xml:space="preserve">2010. </w:t>
      </w:r>
      <w:r w:rsidRPr="00267549">
        <w:t>Dostupné z:</w:t>
      </w:r>
      <w:r>
        <w:t xml:space="preserve"> </w:t>
      </w:r>
      <w:hyperlink r:id="rId50" w:history="1">
        <w:r w:rsidRPr="00C552C9">
          <w:rPr>
            <w:rStyle w:val="Hypertextovodkaz"/>
          </w:rPr>
          <w:t>http://www.spcr.cz/files/cz/media/spektrum/analyza_prumyslu.pdf</w:t>
        </w:r>
      </w:hyperlink>
      <w:r>
        <w:t>.</w:t>
      </w:r>
    </w:p>
    <w:p w:rsidR="001305BB" w:rsidRDefault="001305BB" w:rsidP="00EB551E">
      <w:pPr>
        <w:spacing w:after="120"/>
      </w:pPr>
      <w:r w:rsidRPr="001305BB">
        <w:t xml:space="preserve">Berman Group. </w:t>
      </w:r>
      <w:r w:rsidR="005E5675" w:rsidRPr="005E5675">
        <w:rPr>
          <w:i/>
        </w:rPr>
        <w:t>Vstupní analýza</w:t>
      </w:r>
      <w:r w:rsidR="005E5675">
        <w:t xml:space="preserve"> </w:t>
      </w:r>
      <w:r w:rsidRPr="001305BB">
        <w:rPr>
          <w:i/>
        </w:rPr>
        <w:t>Strategie hospodářské restrukturalizace Ústeckého, Moravskoslezského a Karlovarského kraje</w:t>
      </w:r>
      <w:r w:rsidRPr="001305BB">
        <w:rPr>
          <w:color w:val="000000"/>
        </w:rPr>
        <w:t xml:space="preserve"> [online].</w:t>
      </w:r>
      <w:r w:rsidRPr="001305BB">
        <w:t xml:space="preserve"> 2016. Dostupné z: </w:t>
      </w:r>
      <w:hyperlink r:id="rId51" w:history="1">
        <w:r w:rsidRPr="001305BB">
          <w:rPr>
            <w:rStyle w:val="Hypertextovodkaz"/>
          </w:rPr>
          <w:t>http://rskuk.cz/files/Zapis-20160331/prilohy/20160316_Vstupni-analyza-Strategie-hospodarske-restrukturalizace-ULK-MS....pdf</w:t>
        </w:r>
      </w:hyperlink>
      <w:r w:rsidRPr="001305BB">
        <w:t>.</w:t>
      </w:r>
    </w:p>
    <w:p w:rsidR="001E4427" w:rsidRDefault="001E4427" w:rsidP="002C40B2">
      <w:pPr>
        <w:spacing w:after="160"/>
        <w:jc w:val="left"/>
      </w:pPr>
      <w:r>
        <w:br w:type="page"/>
      </w:r>
    </w:p>
    <w:p w:rsidR="007E563D" w:rsidRPr="00054433" w:rsidRDefault="007E563D" w:rsidP="00094A5B">
      <w:pPr>
        <w:pStyle w:val="Nadpis1"/>
      </w:pPr>
      <w:bookmarkStart w:id="106" w:name="_Toc321405929"/>
      <w:bookmarkStart w:id="107" w:name="_Toc488233391"/>
      <w:r w:rsidRPr="00054433">
        <w:lastRenderedPageBreak/>
        <w:t>Znalostní ekonomika a inovační systém</w:t>
      </w:r>
      <w:bookmarkEnd w:id="106"/>
      <w:bookmarkEnd w:id="107"/>
    </w:p>
    <w:p w:rsidR="0082656B" w:rsidRDefault="0082656B" w:rsidP="0082656B">
      <w:r w:rsidRPr="00AE46CF">
        <w:t>V předchozích kapitolách bylo zjištěno, že ekonomika Karlovarského kraje se více orientuje na tradiční odvětví s nižší přidanou hodnotu a obecně také s nižší znalostní náročností. Důvodů pro to je několik</w:t>
      </w:r>
      <w:r>
        <w:t>:</w:t>
      </w:r>
      <w:r w:rsidRPr="00AE46CF">
        <w:t xml:space="preserve"> periferní poloha kraje a jeho slabá ekonomika, nevýhodná pozice místních firem v globálních hodnotových řetězcích či zastaralá struktura ekonomiky s důrazem na tradiční odvětví využívající místní surovinové zdroje a př</w:t>
      </w:r>
      <w:r w:rsidR="005B2F5E">
        <w:t xml:space="preserve">edevším levnou pracovní sílu. </w:t>
      </w:r>
      <w:r w:rsidRPr="00DD5557">
        <w:t xml:space="preserve">Karlovarský kraj se historicky profiloval několika tradičními obory, které neměly v národním, ale mnohdy ani evropském a světovém kontextu konkurenci (např. sklářský průmysl, produkce porcelánu, výroba hudebních nástrojů). Tato regionální specifika v kraji nadále působí, ale jejich relativní význam ve struktuře hospodářství poklesl. Cenová konkurence kraje v evropském srovnání (levná pracovní síla) postupně klesá, zahraniční investoři s lokalizací pouze výrobních provozů bez vyšší přidané hodnoty a s centrálami mimo území kraje neposkytují dostatečnou udržitelnost, proto je potřeba využívat unikátní regionální specifika, která nemají masovou konkurenci. Potenciál skýtá </w:t>
      </w:r>
      <w:r>
        <w:t>kreativní průmysl či P</w:t>
      </w:r>
      <w:r w:rsidRPr="00DD5557">
        <w:t>růmysl 4.0</w:t>
      </w:r>
      <w:r>
        <w:t>, který nyní nabývá n</w:t>
      </w:r>
      <w:r w:rsidRPr="00DD5557">
        <w:t xml:space="preserve">a </w:t>
      </w:r>
      <w:r>
        <w:t>významu</w:t>
      </w:r>
      <w:r w:rsidRPr="00DD5557">
        <w:t xml:space="preserve">, </w:t>
      </w:r>
      <w:r>
        <w:t xml:space="preserve">a </w:t>
      </w:r>
      <w:r w:rsidRPr="00DD5557">
        <w:t xml:space="preserve">který na sebe může vázat </w:t>
      </w:r>
      <w:r>
        <w:t>obory</w:t>
      </w:r>
      <w:r w:rsidRPr="00DD5557">
        <w:t>, jakým</w:t>
      </w:r>
      <w:r>
        <w:t>i jsou</w:t>
      </w:r>
      <w:r w:rsidRPr="00DD5557">
        <w:t xml:space="preserve"> např. kreativní a užitný design. Karlovarský kraj </w:t>
      </w:r>
      <w:r>
        <w:t xml:space="preserve">přitom </w:t>
      </w:r>
      <w:r w:rsidRPr="00DD5557">
        <w:t>může v této oblasti stavět právě na tradičních oborech, jakými jsou sklo, porcelán či hudební nástroje.</w:t>
      </w:r>
      <w:r>
        <w:t xml:space="preserve"> Příležitosti nabízí také filmový průmysl, který má vysoké renomé díky Mezinárodnímu filmovému festivalu v Karlových Varech, zároveň prostřednictvím vhodných lokací využívaných filmaři, kterým poskytuje komplexní a odbornou pomoc </w:t>
      </w:r>
      <w:r w:rsidRPr="00DF465D">
        <w:t xml:space="preserve">Filmová kancelář Karlovarského kraje </w:t>
      </w:r>
      <w:r>
        <w:t>(</w:t>
      </w:r>
      <w:r w:rsidRPr="00DF465D">
        <w:t>založena v roce 2013</w:t>
      </w:r>
      <w:r>
        <w:t xml:space="preserve">). </w:t>
      </w:r>
      <w:r w:rsidRPr="00DD5557">
        <w:t xml:space="preserve">Značná část ekonomického potenciálu </w:t>
      </w:r>
      <w:r>
        <w:t>leží především v</w:t>
      </w:r>
      <w:r w:rsidRPr="00DD5557">
        <w:t xml:space="preserve"> unikátních přírodních zdroj</w:t>
      </w:r>
      <w:r>
        <w:t>ích KK</w:t>
      </w:r>
      <w:r w:rsidRPr="00DD5557">
        <w:t xml:space="preserve">. Doménou velké části kraje je </w:t>
      </w:r>
      <w:r>
        <w:t>l</w:t>
      </w:r>
      <w:r w:rsidRPr="00DD5557">
        <w:t>ázeňství</w:t>
      </w:r>
      <w:r>
        <w:t>, kterému</w:t>
      </w:r>
      <w:r w:rsidRPr="00DD5557">
        <w:t xml:space="preserve"> se postupně vrací jeho zdravotnický význam. Je potřeba přestat vnímat lázeňství jako segment cestovního ruchu</w:t>
      </w:r>
      <w:r>
        <w:t xml:space="preserve"> a </w:t>
      </w:r>
      <w:r w:rsidRPr="00DD5557">
        <w:t xml:space="preserve">rozlišovat mezi lázeňskými procedurami a relaxačními wellness programy. </w:t>
      </w:r>
      <w:r>
        <w:t>Z</w:t>
      </w:r>
      <w:r w:rsidRPr="00DD5557">
        <w:t>načný inovační potenciál</w:t>
      </w:r>
      <w:r>
        <w:t xml:space="preserve"> tedy skrývá navrácení aktivit souvisejících s balneologií a </w:t>
      </w:r>
      <w:r w:rsidRPr="00DD5557">
        <w:t>balneologickým výzkumem</w:t>
      </w:r>
      <w:r>
        <w:t xml:space="preserve">. </w:t>
      </w:r>
      <w:r w:rsidRPr="00AE46CF">
        <w:t>U těchto odvětví je nutné zvýšit jejich znalostní náročnost a provázanost s ostatními aspekty inovačního systému kraje, orientovat se na produkty s vyšší přidanou hodnotou a tím zvýšit konkurenceschopnost regionální ekonomiky.</w:t>
      </w:r>
    </w:p>
    <w:p w:rsidR="0082656B" w:rsidRDefault="0082656B" w:rsidP="0082656B">
      <w:r>
        <w:t>Tato</w:t>
      </w:r>
      <w:r w:rsidRPr="00AE46CF">
        <w:t xml:space="preserve"> kapitola se bude zabývat předpoklady pro rozvoj znalostně náročné ekonomiky, objemem vstupů do inovačního systému, tedy především aktivitami výzkumu a vývoje</w:t>
      </w:r>
      <w:r>
        <w:t>,</w:t>
      </w:r>
      <w:r w:rsidRPr="00AE46CF">
        <w:t xml:space="preserve"> a jeho výstupy a uplatněním.</w:t>
      </w:r>
      <w:r>
        <w:t xml:space="preserve"> </w:t>
      </w:r>
    </w:p>
    <w:p w:rsidR="0082656B" w:rsidRPr="00054433" w:rsidRDefault="0082656B" w:rsidP="0082656B">
      <w:pPr>
        <w:pStyle w:val="Nadpis2"/>
      </w:pPr>
      <w:r w:rsidRPr="00054433">
        <w:t>Inovační systém – vstupy</w:t>
      </w:r>
    </w:p>
    <w:p w:rsidR="0082656B" w:rsidRPr="00AE46CF" w:rsidRDefault="0082656B" w:rsidP="0082656B">
      <w:r w:rsidRPr="00AE46CF">
        <w:t xml:space="preserve">Základními ukazateli inovačních vstupů jsou </w:t>
      </w:r>
      <w:r w:rsidRPr="00C03490">
        <w:rPr>
          <w:b/>
        </w:rPr>
        <w:t xml:space="preserve">výdaje na </w:t>
      </w:r>
      <w:r>
        <w:rPr>
          <w:b/>
        </w:rPr>
        <w:t>vědu a výzkum</w:t>
      </w:r>
      <w:r w:rsidRPr="00C03490">
        <w:rPr>
          <w:b/>
        </w:rPr>
        <w:t xml:space="preserve"> </w:t>
      </w:r>
      <w:r>
        <w:rPr>
          <w:b/>
        </w:rPr>
        <w:t xml:space="preserve">(VaV) </w:t>
      </w:r>
      <w:r w:rsidRPr="00C03490">
        <w:rPr>
          <w:b/>
        </w:rPr>
        <w:t>a počty pracovníků</w:t>
      </w:r>
      <w:r>
        <w:rPr>
          <w:b/>
        </w:rPr>
        <w:t xml:space="preserve"> v tomto sektoru</w:t>
      </w:r>
      <w:r w:rsidRPr="00AE46CF">
        <w:t xml:space="preserve">. Tyto údaje zprostředkovaně vypovídají o úrovni znalostní intenzity v regionální ekonomice. Jejich vypovídací schopnost však omezuje skutečnost, že výsledky VaV aktivit se mohou přelévat do jiných regionů a mohou být využívány mimo místo svého vzniku. Dalším problémem je samotná povaha a rozsah znalostních (nebo VaV) aktivit, která je v praxi často velmi různorodá. Může jít o vysoce sofistikované vědecké aktivity nebo o „pouhá“ částečná vývojová či technická vylepšení stávajících produktů. Tomu odpovídá i rozdílný přínos pro ekonomiku, který je obtížné objektivně hodnotit. Přesto je však empiricky prokázáno a obecně platí, že větší intenzita a rozsah znalostních aktivit přináší rovněž větší znalostní náročnost ekonomických aktivit v regionu. </w:t>
      </w:r>
    </w:p>
    <w:p w:rsidR="0082656B" w:rsidRDefault="0082656B" w:rsidP="0082656B">
      <w:r w:rsidRPr="00210906">
        <w:t xml:space="preserve">V Karlovarském kraji bylo </w:t>
      </w:r>
      <w:r>
        <w:t xml:space="preserve">zaměstnáno </w:t>
      </w:r>
      <w:r w:rsidRPr="00210906">
        <w:t xml:space="preserve">v roce 2014 </w:t>
      </w:r>
      <w:r>
        <w:t xml:space="preserve">v sektoru </w:t>
      </w:r>
      <w:r w:rsidRPr="00210906">
        <w:t>VaV pouze 267 zaměstnanců, z toho 105 výzkumníků</w:t>
      </w:r>
      <w:r w:rsidRPr="00B121AF">
        <w:t xml:space="preserve">. </w:t>
      </w:r>
      <w:r w:rsidRPr="00210906">
        <w:t xml:space="preserve">Tato hodnota je </w:t>
      </w:r>
      <w:r>
        <w:t xml:space="preserve">velmi nízká, a to </w:t>
      </w:r>
      <w:r w:rsidRPr="00210906">
        <w:t xml:space="preserve">i v porovnání s ostatními obdobně velkými kraji. </w:t>
      </w:r>
      <w:r w:rsidRPr="00210906">
        <w:lastRenderedPageBreak/>
        <w:t>Např. Liberecký kraj má</w:t>
      </w:r>
      <w:r>
        <w:t xml:space="preserve"> ve VaV</w:t>
      </w:r>
      <w:r w:rsidRPr="00210906">
        <w:t xml:space="preserve"> celkem 2</w:t>
      </w:r>
      <w:r>
        <w:t xml:space="preserve"> </w:t>
      </w:r>
      <w:r w:rsidRPr="00210906">
        <w:t>901 pracovníků (z toho 1355 výzkumníků), Vysočina pak 1</w:t>
      </w:r>
      <w:r>
        <w:t xml:space="preserve"> </w:t>
      </w:r>
      <w:r w:rsidRPr="00210906">
        <w:t xml:space="preserve">430 </w:t>
      </w:r>
      <w:r>
        <w:t xml:space="preserve">pracovníků </w:t>
      </w:r>
      <w:r w:rsidRPr="00210906">
        <w:t>(</w:t>
      </w:r>
      <w:r>
        <w:t xml:space="preserve">z toho </w:t>
      </w:r>
      <w:r w:rsidRPr="00210906">
        <w:t>589 výzkumníků)</w:t>
      </w:r>
      <w:r w:rsidRPr="00B121AF">
        <w:t xml:space="preserve">. </w:t>
      </w:r>
    </w:p>
    <w:p w:rsidR="0082656B" w:rsidRPr="00AE46CF" w:rsidRDefault="0082656B" w:rsidP="0082656B">
      <w:r w:rsidRPr="00AE46CF">
        <w:t xml:space="preserve">Velké rozdíly v počtech pracovníků ve VaV mezi kraji ilustruje </w:t>
      </w:r>
      <w:r w:rsidR="004F2330">
        <w:fldChar w:fldCharType="begin"/>
      </w:r>
      <w:r w:rsidR="004F2330">
        <w:instrText xml:space="preserve"> REF _Ref464473004 \h  \* MERGEFORMAT </w:instrText>
      </w:r>
      <w:r w:rsidR="004F2330">
        <w:fldChar w:fldCharType="separate"/>
      </w:r>
      <w:r w:rsidR="00DA707D">
        <w:t>g</w:t>
      </w:r>
      <w:r w:rsidR="00CB29BD">
        <w:t xml:space="preserve">raf </w:t>
      </w:r>
      <w:r w:rsidR="00CB29BD">
        <w:rPr>
          <w:noProof/>
        </w:rPr>
        <w:t>6</w:t>
      </w:r>
      <w:r w:rsidR="00CB29BD">
        <w:t>.1</w:t>
      </w:r>
      <w:r w:rsidR="004F2330">
        <w:fldChar w:fldCharType="end"/>
      </w:r>
      <w:r>
        <w:t xml:space="preserve"> </w:t>
      </w:r>
      <w:r w:rsidRPr="00AE46CF">
        <w:t>(hodnoty jsou relativizovány na 10 tis. obyvatel). Rozdíl mezi Karlovarským krajem a ostatními regiony Č</w:t>
      </w:r>
      <w:r>
        <w:t>R</w:t>
      </w:r>
      <w:r w:rsidRPr="00AE46CF">
        <w:t xml:space="preserve"> je opravdu propastný.</w:t>
      </w:r>
      <w:r w:rsidRPr="00210906">
        <w:t xml:space="preserve"> </w:t>
      </w:r>
      <w:r w:rsidRPr="00AE46CF">
        <w:t>Karlovarský kraj se nachází na posledním místě, navíc s výrazným odstupem od Ústeckého kraje a kraje Vysočina, které se ve srovnání nacházejí před ním. Toto porovnání jen dokazuje, jak značně nízká je úroveň vstupů do inovačního systému v Karlovarském kraji.</w:t>
      </w:r>
    </w:p>
    <w:p w:rsidR="007E563D" w:rsidRPr="00B121AF" w:rsidRDefault="007E563D" w:rsidP="000B3B9C">
      <w:pPr>
        <w:pStyle w:val="Titulek"/>
      </w:pPr>
      <w:bookmarkStart w:id="108" w:name="_Ref464473004"/>
      <w:bookmarkStart w:id="109" w:name="_Toc310604002"/>
      <w:bookmarkStart w:id="110" w:name="_Toc310604068"/>
      <w:bookmarkStart w:id="111" w:name="_Toc321406373"/>
      <w:bookmarkStart w:id="112" w:name="_Toc488234348"/>
      <w:r>
        <w:t xml:space="preserve">Graf </w:t>
      </w:r>
      <w:r w:rsidR="004F2330">
        <w:fldChar w:fldCharType="begin"/>
      </w:r>
      <w:r w:rsidR="004F2330">
        <w:instrText xml:space="preserve"> STYLEREF 1 \s </w:instrText>
      </w:r>
      <w:r w:rsidR="004F2330">
        <w:fldChar w:fldCharType="separate"/>
      </w:r>
      <w:r w:rsidR="00CB29BD">
        <w:t>6</w:t>
      </w:r>
      <w:r w:rsidR="004F2330">
        <w:fldChar w:fldCharType="end"/>
      </w:r>
      <w:r w:rsidR="00FD378B">
        <w:t>.</w:t>
      </w:r>
      <w:r w:rsidR="004F2330">
        <w:fldChar w:fldCharType="begin"/>
      </w:r>
      <w:r w:rsidR="004F2330">
        <w:instrText xml:space="preserve"> SEQ Graf \* ARABIC \s 1 </w:instrText>
      </w:r>
      <w:r w:rsidR="004F2330">
        <w:fldChar w:fldCharType="separate"/>
      </w:r>
      <w:r w:rsidR="00CB29BD">
        <w:t>1</w:t>
      </w:r>
      <w:r w:rsidR="004F2330">
        <w:fldChar w:fldCharType="end"/>
      </w:r>
      <w:bookmarkEnd w:id="108"/>
      <w:r>
        <w:t xml:space="preserve">: </w:t>
      </w:r>
      <w:r w:rsidRPr="00B121AF">
        <w:t>Počet zaměstnanců ve VaV na 10 tisíc obyvatel kraje</w:t>
      </w:r>
      <w:r>
        <w:t xml:space="preserve"> v letech</w:t>
      </w:r>
      <w:r w:rsidRPr="00B121AF">
        <w:t xml:space="preserve"> 2005, 2010</w:t>
      </w:r>
      <w:bookmarkEnd w:id="109"/>
      <w:bookmarkEnd w:id="110"/>
      <w:bookmarkEnd w:id="111"/>
      <w:r w:rsidRPr="00B121AF">
        <w:t xml:space="preserve"> a 2015</w:t>
      </w:r>
      <w:bookmarkEnd w:id="112"/>
    </w:p>
    <w:p w:rsidR="007E563D" w:rsidRDefault="007E563D" w:rsidP="002C40B2">
      <w:pPr>
        <w:spacing w:after="120"/>
        <w:rPr>
          <w:sz w:val="18"/>
          <w:szCs w:val="18"/>
        </w:rPr>
      </w:pPr>
      <w:r>
        <w:rPr>
          <w:noProof/>
        </w:rPr>
        <w:drawing>
          <wp:inline distT="0" distB="0" distL="0" distR="0">
            <wp:extent cx="5760720" cy="3038475"/>
            <wp:effectExtent l="0" t="0" r="1143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E563D" w:rsidRPr="00AE46CF" w:rsidRDefault="007E563D" w:rsidP="002C40B2">
      <w:pPr>
        <w:pStyle w:val="poznzdroj"/>
        <w:spacing w:line="276" w:lineRule="auto"/>
      </w:pPr>
      <w:r w:rsidRPr="00AE46CF">
        <w:t>Zdroj: ČSÚ – Statistika VaV v ČR</w:t>
      </w:r>
      <w:r w:rsidR="00B1099C">
        <w:t>, Pohyb obyvatelstva</w:t>
      </w:r>
    </w:p>
    <w:p w:rsidR="0082656B" w:rsidRPr="00AE46CF" w:rsidRDefault="0082656B" w:rsidP="0082656B">
      <w:r>
        <w:t>Mezi kraji</w:t>
      </w:r>
      <w:r w:rsidRPr="00AE46CF">
        <w:t> Č</w:t>
      </w:r>
      <w:r>
        <w:t>R</w:t>
      </w:r>
      <w:r w:rsidRPr="00AE46CF">
        <w:t xml:space="preserve"> se jasně odděluje Praha a na druhém místě také kraj Jihomoravský, který navíc mezi </w:t>
      </w:r>
      <w:r>
        <w:t xml:space="preserve">lety </w:t>
      </w:r>
      <w:r w:rsidRPr="00AE46CF">
        <w:t>2005 a 201</w:t>
      </w:r>
      <w:r>
        <w:t>5</w:t>
      </w:r>
      <w:r w:rsidRPr="00AE46CF">
        <w:t xml:space="preserve"> zaznamenal největší nárůst počtu VaV pracovníků. </w:t>
      </w:r>
      <w:r>
        <w:t>Značný pokrok v této oblasti zaznamenal i kraj Plzeňský, čímž se dostal na třetí pozici. Větší odstup je pak vidět</w:t>
      </w:r>
      <w:r w:rsidRPr="00AE46CF">
        <w:t xml:space="preserve"> mezi </w:t>
      </w:r>
      <w:r>
        <w:t>Vysočinou, Ústeckým a posledním Karlovarským</w:t>
      </w:r>
      <w:r w:rsidRPr="00A65244">
        <w:t xml:space="preserve"> </w:t>
      </w:r>
      <w:r>
        <w:t>krajem</w:t>
      </w:r>
      <w:r w:rsidRPr="00AE46CF">
        <w:t>. Karlovarský kraj tak bude muset vynaložit značné úsilí, aby se úroveň vstupů do inovačního systému vyrovnala alespoň Ústeckému</w:t>
      </w:r>
      <w:r>
        <w:t xml:space="preserve"> kraji </w:t>
      </w:r>
      <w:r w:rsidRPr="00AE46CF">
        <w:t>či Vysočině.</w:t>
      </w:r>
      <w:r>
        <w:t xml:space="preserve"> </w:t>
      </w:r>
      <w:r w:rsidRPr="00AE46CF">
        <w:rPr>
          <w:b/>
        </w:rPr>
        <w:t xml:space="preserve">Údaje o zaměstnancích ve VaV v rámci ČR řadí kraj na poslední místo v celém sledovaném období </w:t>
      </w:r>
      <w:r w:rsidRPr="00AE46CF">
        <w:t xml:space="preserve">a tento fakt koresponduje s ekonomickou výkonností i dalšími ukazateli kraje. </w:t>
      </w:r>
    </w:p>
    <w:p w:rsidR="007E563D" w:rsidRPr="00AE46CF" w:rsidRDefault="007E563D" w:rsidP="000B3B9C">
      <w:pPr>
        <w:pStyle w:val="Titulek"/>
      </w:pPr>
      <w:bookmarkStart w:id="113" w:name="_Ref464807370"/>
      <w:bookmarkStart w:id="114" w:name="_Toc488233478"/>
      <w:bookmarkStart w:id="115" w:name="_Ref310523242"/>
      <w:bookmarkStart w:id="116" w:name="_Toc321406048"/>
      <w:r>
        <w:t xml:space="preserve">Tabulka </w:t>
      </w:r>
      <w:r w:rsidR="008965FE">
        <w:fldChar w:fldCharType="begin"/>
      </w:r>
      <w:r w:rsidR="00B33DFE">
        <w:instrText xml:space="preserve"> STYLEREF 1 \s </w:instrText>
      </w:r>
      <w:r w:rsidR="008965FE">
        <w:fldChar w:fldCharType="separate"/>
      </w:r>
      <w:r w:rsidR="00CB29BD">
        <w:t>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113"/>
      <w:r w:rsidRPr="00AE46CF">
        <w:t xml:space="preserve">: Zaměstnanci a výzkumníci ve VaV </w:t>
      </w:r>
      <w:r>
        <w:t>v Karlovarském kraji v letech 2005 - 2014 (FTE)</w:t>
      </w:r>
      <w:bookmarkEnd w:id="114"/>
      <w:r>
        <w:t xml:space="preserve"> </w:t>
      </w:r>
      <w:bookmarkEnd w:id="115"/>
      <w:bookmarkEnd w:id="11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1304"/>
        <w:gridCol w:w="2719"/>
        <w:gridCol w:w="1318"/>
        <w:gridCol w:w="2703"/>
      </w:tblGrid>
      <w:tr w:rsidR="007E563D" w:rsidRPr="00B1099C" w:rsidTr="0082656B">
        <w:trPr>
          <w:trHeight w:val="300"/>
        </w:trPr>
        <w:tc>
          <w:tcPr>
            <w:tcW w:w="619" w:type="pct"/>
            <w:vMerge w:val="restart"/>
            <w:vAlign w:val="center"/>
          </w:tcPr>
          <w:p w:rsidR="007E563D" w:rsidRPr="00B1099C" w:rsidRDefault="007E563D" w:rsidP="002C40B2">
            <w:pPr>
              <w:spacing w:after="0"/>
              <w:jc w:val="left"/>
              <w:rPr>
                <w:rFonts w:asciiTheme="minorHAnsi" w:hAnsiTheme="minorHAnsi"/>
                <w:b/>
                <w:sz w:val="20"/>
                <w:szCs w:val="20"/>
              </w:rPr>
            </w:pPr>
            <w:r w:rsidRPr="00B1099C">
              <w:rPr>
                <w:rFonts w:asciiTheme="minorHAnsi" w:hAnsiTheme="minorHAnsi"/>
                <w:b/>
                <w:sz w:val="20"/>
                <w:szCs w:val="20"/>
              </w:rPr>
              <w:t>Rok</w:t>
            </w:r>
          </w:p>
        </w:tc>
        <w:tc>
          <w:tcPr>
            <w:tcW w:w="2191" w:type="pct"/>
            <w:gridSpan w:val="2"/>
            <w:noWrap/>
            <w:vAlign w:val="center"/>
          </w:tcPr>
          <w:p w:rsidR="007E563D" w:rsidRPr="00B1099C" w:rsidRDefault="007E563D" w:rsidP="002C40B2">
            <w:pPr>
              <w:spacing w:after="0"/>
              <w:jc w:val="center"/>
              <w:rPr>
                <w:rFonts w:asciiTheme="minorHAnsi" w:hAnsiTheme="minorHAnsi"/>
                <w:b/>
                <w:sz w:val="20"/>
                <w:szCs w:val="20"/>
              </w:rPr>
            </w:pPr>
            <w:r w:rsidRPr="00B1099C">
              <w:rPr>
                <w:rFonts w:asciiTheme="minorHAnsi" w:hAnsiTheme="minorHAnsi"/>
                <w:b/>
                <w:sz w:val="20"/>
                <w:szCs w:val="20"/>
              </w:rPr>
              <w:t>Celkem</w:t>
            </w:r>
          </w:p>
        </w:tc>
        <w:tc>
          <w:tcPr>
            <w:tcW w:w="2190" w:type="pct"/>
            <w:gridSpan w:val="2"/>
            <w:noWrap/>
            <w:vAlign w:val="center"/>
          </w:tcPr>
          <w:p w:rsidR="007E563D" w:rsidRPr="00B1099C" w:rsidRDefault="007E563D" w:rsidP="002C40B2">
            <w:pPr>
              <w:spacing w:after="0"/>
              <w:jc w:val="center"/>
              <w:rPr>
                <w:rFonts w:asciiTheme="minorHAnsi" w:hAnsiTheme="minorHAnsi"/>
                <w:b/>
                <w:sz w:val="20"/>
                <w:szCs w:val="20"/>
              </w:rPr>
            </w:pPr>
            <w:r w:rsidRPr="00B1099C">
              <w:rPr>
                <w:rFonts w:asciiTheme="minorHAnsi" w:hAnsiTheme="minorHAnsi"/>
                <w:b/>
                <w:sz w:val="20"/>
                <w:szCs w:val="20"/>
              </w:rPr>
              <w:t>Výzkumníci</w:t>
            </w:r>
          </w:p>
        </w:tc>
      </w:tr>
      <w:tr w:rsidR="007E563D" w:rsidRPr="00B1099C" w:rsidTr="0082656B">
        <w:trPr>
          <w:trHeight w:val="300"/>
        </w:trPr>
        <w:tc>
          <w:tcPr>
            <w:tcW w:w="619" w:type="pct"/>
            <w:vMerge/>
          </w:tcPr>
          <w:p w:rsidR="007E563D" w:rsidRPr="00B1099C" w:rsidRDefault="007E563D" w:rsidP="002C40B2">
            <w:pPr>
              <w:spacing w:after="0"/>
              <w:rPr>
                <w:rFonts w:asciiTheme="minorHAnsi" w:hAnsiTheme="minorHAnsi"/>
                <w:b/>
                <w:sz w:val="20"/>
                <w:szCs w:val="20"/>
              </w:rPr>
            </w:pPr>
          </w:p>
        </w:tc>
        <w:tc>
          <w:tcPr>
            <w:tcW w:w="710" w:type="pct"/>
            <w:noWrap/>
          </w:tcPr>
          <w:p w:rsidR="007E563D" w:rsidRPr="00B1099C" w:rsidRDefault="007E563D" w:rsidP="002C40B2">
            <w:pPr>
              <w:spacing w:after="0"/>
              <w:jc w:val="center"/>
              <w:rPr>
                <w:rFonts w:asciiTheme="minorHAnsi" w:hAnsiTheme="minorHAnsi"/>
                <w:b/>
                <w:sz w:val="20"/>
                <w:szCs w:val="20"/>
              </w:rPr>
            </w:pPr>
            <w:r w:rsidRPr="00B1099C">
              <w:rPr>
                <w:rFonts w:asciiTheme="minorHAnsi" w:hAnsiTheme="minorHAnsi"/>
                <w:b/>
                <w:sz w:val="20"/>
                <w:szCs w:val="20"/>
              </w:rPr>
              <w:t>FTE</w:t>
            </w:r>
          </w:p>
        </w:tc>
        <w:tc>
          <w:tcPr>
            <w:tcW w:w="1481" w:type="pct"/>
            <w:noWrap/>
          </w:tcPr>
          <w:p w:rsidR="007E563D" w:rsidRPr="00B1099C" w:rsidRDefault="007E563D" w:rsidP="002C40B2">
            <w:pPr>
              <w:spacing w:after="0"/>
              <w:jc w:val="center"/>
              <w:rPr>
                <w:rFonts w:asciiTheme="minorHAnsi" w:hAnsiTheme="minorHAnsi"/>
                <w:b/>
                <w:sz w:val="20"/>
                <w:szCs w:val="20"/>
              </w:rPr>
            </w:pPr>
            <w:r w:rsidRPr="00B1099C">
              <w:rPr>
                <w:rFonts w:asciiTheme="minorHAnsi" w:hAnsiTheme="minorHAnsi"/>
                <w:b/>
                <w:sz w:val="20"/>
                <w:szCs w:val="20"/>
              </w:rPr>
              <w:t>podíl na ČR</w:t>
            </w:r>
          </w:p>
        </w:tc>
        <w:tc>
          <w:tcPr>
            <w:tcW w:w="718" w:type="pct"/>
            <w:noWrap/>
          </w:tcPr>
          <w:p w:rsidR="007E563D" w:rsidRPr="00B1099C" w:rsidRDefault="007E563D" w:rsidP="002C40B2">
            <w:pPr>
              <w:spacing w:after="0"/>
              <w:jc w:val="center"/>
              <w:rPr>
                <w:rFonts w:asciiTheme="minorHAnsi" w:hAnsiTheme="minorHAnsi"/>
                <w:b/>
                <w:sz w:val="20"/>
                <w:szCs w:val="20"/>
              </w:rPr>
            </w:pPr>
            <w:r w:rsidRPr="00B1099C">
              <w:rPr>
                <w:rFonts w:asciiTheme="minorHAnsi" w:hAnsiTheme="minorHAnsi"/>
                <w:b/>
                <w:sz w:val="20"/>
                <w:szCs w:val="20"/>
              </w:rPr>
              <w:t>FTE</w:t>
            </w:r>
          </w:p>
        </w:tc>
        <w:tc>
          <w:tcPr>
            <w:tcW w:w="1472" w:type="pct"/>
            <w:noWrap/>
          </w:tcPr>
          <w:p w:rsidR="007E563D" w:rsidRPr="00B1099C" w:rsidRDefault="007E563D" w:rsidP="002C40B2">
            <w:pPr>
              <w:spacing w:after="0"/>
              <w:jc w:val="center"/>
              <w:rPr>
                <w:rFonts w:asciiTheme="minorHAnsi" w:hAnsiTheme="minorHAnsi"/>
                <w:b/>
                <w:sz w:val="20"/>
                <w:szCs w:val="20"/>
              </w:rPr>
            </w:pPr>
            <w:r w:rsidRPr="00B1099C">
              <w:rPr>
                <w:rFonts w:asciiTheme="minorHAnsi" w:hAnsiTheme="minorHAnsi"/>
                <w:b/>
                <w:sz w:val="20"/>
                <w:szCs w:val="20"/>
              </w:rPr>
              <w:t>podíl na ČR</w:t>
            </w:r>
          </w:p>
        </w:tc>
      </w:tr>
      <w:tr w:rsidR="007E563D" w:rsidRPr="00B1099C" w:rsidTr="0082656B">
        <w:trPr>
          <w:trHeight w:val="300"/>
        </w:trPr>
        <w:tc>
          <w:tcPr>
            <w:tcW w:w="619" w:type="pct"/>
            <w:noWrap/>
          </w:tcPr>
          <w:p w:rsidR="007E563D" w:rsidRPr="00B1099C" w:rsidRDefault="007E563D" w:rsidP="002C40B2">
            <w:pPr>
              <w:spacing w:after="0"/>
              <w:rPr>
                <w:rFonts w:asciiTheme="minorHAnsi" w:hAnsiTheme="minorHAnsi"/>
                <w:sz w:val="20"/>
                <w:szCs w:val="20"/>
              </w:rPr>
            </w:pPr>
            <w:r w:rsidRPr="00B1099C">
              <w:rPr>
                <w:rFonts w:asciiTheme="minorHAnsi" w:hAnsiTheme="minorHAnsi"/>
                <w:sz w:val="20"/>
                <w:szCs w:val="20"/>
              </w:rPr>
              <w:t>2005</w:t>
            </w:r>
          </w:p>
        </w:tc>
        <w:tc>
          <w:tcPr>
            <w:tcW w:w="710"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70</w:t>
            </w:r>
          </w:p>
        </w:tc>
        <w:tc>
          <w:tcPr>
            <w:tcW w:w="1481"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0,16</w:t>
            </w:r>
          </w:p>
        </w:tc>
        <w:tc>
          <w:tcPr>
            <w:tcW w:w="718"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29</w:t>
            </w:r>
          </w:p>
        </w:tc>
        <w:tc>
          <w:tcPr>
            <w:tcW w:w="1472"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0,12</w:t>
            </w:r>
          </w:p>
        </w:tc>
      </w:tr>
      <w:tr w:rsidR="007E563D" w:rsidRPr="00B1099C" w:rsidTr="0082656B">
        <w:trPr>
          <w:trHeight w:val="300"/>
        </w:trPr>
        <w:tc>
          <w:tcPr>
            <w:tcW w:w="619" w:type="pct"/>
            <w:noWrap/>
          </w:tcPr>
          <w:p w:rsidR="007E563D" w:rsidRPr="00B1099C" w:rsidRDefault="007E563D" w:rsidP="002C40B2">
            <w:pPr>
              <w:spacing w:after="0"/>
              <w:rPr>
                <w:rFonts w:asciiTheme="minorHAnsi" w:hAnsiTheme="minorHAnsi"/>
                <w:sz w:val="20"/>
                <w:szCs w:val="20"/>
              </w:rPr>
            </w:pPr>
            <w:r w:rsidRPr="00B1099C">
              <w:rPr>
                <w:rFonts w:asciiTheme="minorHAnsi" w:hAnsiTheme="minorHAnsi"/>
                <w:sz w:val="20"/>
                <w:szCs w:val="20"/>
              </w:rPr>
              <w:t>2006</w:t>
            </w:r>
          </w:p>
        </w:tc>
        <w:tc>
          <w:tcPr>
            <w:tcW w:w="710"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94</w:t>
            </w:r>
          </w:p>
        </w:tc>
        <w:tc>
          <w:tcPr>
            <w:tcW w:w="1481"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0,20</w:t>
            </w:r>
          </w:p>
        </w:tc>
        <w:tc>
          <w:tcPr>
            <w:tcW w:w="718"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36</w:t>
            </w:r>
          </w:p>
        </w:tc>
        <w:tc>
          <w:tcPr>
            <w:tcW w:w="1472"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0,14</w:t>
            </w:r>
          </w:p>
        </w:tc>
      </w:tr>
      <w:tr w:rsidR="007E563D" w:rsidRPr="00B1099C" w:rsidTr="0082656B">
        <w:trPr>
          <w:trHeight w:val="300"/>
        </w:trPr>
        <w:tc>
          <w:tcPr>
            <w:tcW w:w="619" w:type="pct"/>
            <w:noWrap/>
          </w:tcPr>
          <w:p w:rsidR="007E563D" w:rsidRPr="00B1099C" w:rsidRDefault="007E563D" w:rsidP="002C40B2">
            <w:pPr>
              <w:spacing w:after="0"/>
              <w:rPr>
                <w:rFonts w:asciiTheme="minorHAnsi" w:hAnsiTheme="minorHAnsi"/>
                <w:sz w:val="20"/>
                <w:szCs w:val="20"/>
              </w:rPr>
            </w:pPr>
            <w:r w:rsidRPr="00B1099C">
              <w:rPr>
                <w:rFonts w:asciiTheme="minorHAnsi" w:hAnsiTheme="minorHAnsi"/>
                <w:sz w:val="20"/>
                <w:szCs w:val="20"/>
              </w:rPr>
              <w:t>2007</w:t>
            </w:r>
          </w:p>
        </w:tc>
        <w:tc>
          <w:tcPr>
            <w:tcW w:w="710"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70</w:t>
            </w:r>
          </w:p>
        </w:tc>
        <w:tc>
          <w:tcPr>
            <w:tcW w:w="1481"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0,14</w:t>
            </w:r>
          </w:p>
        </w:tc>
        <w:tc>
          <w:tcPr>
            <w:tcW w:w="718"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39</w:t>
            </w:r>
          </w:p>
        </w:tc>
        <w:tc>
          <w:tcPr>
            <w:tcW w:w="1472"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0,14</w:t>
            </w:r>
          </w:p>
        </w:tc>
      </w:tr>
      <w:tr w:rsidR="007E563D" w:rsidRPr="00B1099C" w:rsidTr="0082656B">
        <w:trPr>
          <w:trHeight w:val="300"/>
        </w:trPr>
        <w:tc>
          <w:tcPr>
            <w:tcW w:w="619" w:type="pct"/>
            <w:noWrap/>
          </w:tcPr>
          <w:p w:rsidR="007E563D" w:rsidRPr="00B1099C" w:rsidRDefault="007E563D" w:rsidP="002C40B2">
            <w:pPr>
              <w:spacing w:after="0"/>
              <w:rPr>
                <w:rFonts w:asciiTheme="minorHAnsi" w:hAnsiTheme="minorHAnsi"/>
                <w:sz w:val="20"/>
                <w:szCs w:val="20"/>
              </w:rPr>
            </w:pPr>
            <w:r w:rsidRPr="00B1099C">
              <w:rPr>
                <w:rFonts w:asciiTheme="minorHAnsi" w:hAnsiTheme="minorHAnsi"/>
                <w:sz w:val="20"/>
                <w:szCs w:val="20"/>
              </w:rPr>
              <w:t>2008</w:t>
            </w:r>
          </w:p>
        </w:tc>
        <w:tc>
          <w:tcPr>
            <w:tcW w:w="710"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136</w:t>
            </w:r>
          </w:p>
        </w:tc>
        <w:tc>
          <w:tcPr>
            <w:tcW w:w="1481"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0,27</w:t>
            </w:r>
          </w:p>
        </w:tc>
        <w:tc>
          <w:tcPr>
            <w:tcW w:w="718"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106</w:t>
            </w:r>
          </w:p>
        </w:tc>
        <w:tc>
          <w:tcPr>
            <w:tcW w:w="1472"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0,35</w:t>
            </w:r>
          </w:p>
        </w:tc>
      </w:tr>
      <w:tr w:rsidR="007E563D" w:rsidRPr="00B1099C" w:rsidTr="0082656B">
        <w:trPr>
          <w:trHeight w:val="300"/>
        </w:trPr>
        <w:tc>
          <w:tcPr>
            <w:tcW w:w="619" w:type="pct"/>
            <w:noWrap/>
          </w:tcPr>
          <w:p w:rsidR="007E563D" w:rsidRPr="00B1099C" w:rsidRDefault="007E563D" w:rsidP="002C40B2">
            <w:pPr>
              <w:spacing w:after="0"/>
              <w:rPr>
                <w:rFonts w:asciiTheme="minorHAnsi" w:hAnsiTheme="minorHAnsi"/>
                <w:sz w:val="20"/>
                <w:szCs w:val="20"/>
              </w:rPr>
            </w:pPr>
            <w:r w:rsidRPr="00B1099C">
              <w:rPr>
                <w:rFonts w:asciiTheme="minorHAnsi" w:hAnsiTheme="minorHAnsi"/>
                <w:sz w:val="20"/>
                <w:szCs w:val="20"/>
              </w:rPr>
              <w:t>2009</w:t>
            </w:r>
          </w:p>
        </w:tc>
        <w:tc>
          <w:tcPr>
            <w:tcW w:w="710"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107</w:t>
            </w:r>
          </w:p>
        </w:tc>
        <w:tc>
          <w:tcPr>
            <w:tcW w:w="1481"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0,21</w:t>
            </w:r>
          </w:p>
        </w:tc>
        <w:tc>
          <w:tcPr>
            <w:tcW w:w="718"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62</w:t>
            </w:r>
          </w:p>
        </w:tc>
        <w:tc>
          <w:tcPr>
            <w:tcW w:w="1472"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0,22</w:t>
            </w:r>
          </w:p>
        </w:tc>
      </w:tr>
      <w:tr w:rsidR="007E563D" w:rsidRPr="00B1099C" w:rsidTr="0082656B">
        <w:trPr>
          <w:trHeight w:val="300"/>
        </w:trPr>
        <w:tc>
          <w:tcPr>
            <w:tcW w:w="619" w:type="pct"/>
            <w:noWrap/>
          </w:tcPr>
          <w:p w:rsidR="007E563D" w:rsidRPr="00B1099C" w:rsidRDefault="007E563D" w:rsidP="002C40B2">
            <w:pPr>
              <w:spacing w:after="0"/>
              <w:rPr>
                <w:rFonts w:asciiTheme="minorHAnsi" w:hAnsiTheme="minorHAnsi"/>
                <w:sz w:val="20"/>
                <w:szCs w:val="20"/>
              </w:rPr>
            </w:pPr>
            <w:r w:rsidRPr="00B1099C">
              <w:rPr>
                <w:rFonts w:asciiTheme="minorHAnsi" w:hAnsiTheme="minorHAnsi"/>
                <w:sz w:val="20"/>
                <w:szCs w:val="20"/>
              </w:rPr>
              <w:t>2010</w:t>
            </w:r>
          </w:p>
        </w:tc>
        <w:tc>
          <w:tcPr>
            <w:tcW w:w="710"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94</w:t>
            </w:r>
          </w:p>
        </w:tc>
        <w:tc>
          <w:tcPr>
            <w:tcW w:w="1481"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0,17</w:t>
            </w:r>
          </w:p>
        </w:tc>
        <w:tc>
          <w:tcPr>
            <w:tcW w:w="718"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55</w:t>
            </w:r>
          </w:p>
        </w:tc>
        <w:tc>
          <w:tcPr>
            <w:tcW w:w="1472" w:type="pct"/>
            <w:noWrap/>
          </w:tcPr>
          <w:p w:rsidR="007E563D" w:rsidRPr="00B1099C" w:rsidRDefault="007E563D" w:rsidP="002C40B2">
            <w:pPr>
              <w:spacing w:after="0"/>
              <w:jc w:val="center"/>
              <w:rPr>
                <w:rFonts w:asciiTheme="minorHAnsi" w:hAnsiTheme="minorHAnsi"/>
                <w:sz w:val="20"/>
                <w:szCs w:val="20"/>
              </w:rPr>
            </w:pPr>
            <w:r w:rsidRPr="00B1099C">
              <w:rPr>
                <w:rFonts w:asciiTheme="minorHAnsi" w:hAnsiTheme="minorHAnsi"/>
                <w:sz w:val="20"/>
                <w:szCs w:val="20"/>
              </w:rPr>
              <w:t>0,19</w:t>
            </w:r>
          </w:p>
        </w:tc>
      </w:tr>
      <w:tr w:rsidR="0082656B" w:rsidRPr="00B1099C" w:rsidTr="009E424D">
        <w:trPr>
          <w:trHeight w:val="300"/>
        </w:trPr>
        <w:tc>
          <w:tcPr>
            <w:tcW w:w="619" w:type="pct"/>
            <w:vMerge w:val="restart"/>
            <w:noWrap/>
          </w:tcPr>
          <w:p w:rsidR="0082656B" w:rsidRPr="00B1099C" w:rsidRDefault="0082656B" w:rsidP="002C40B2">
            <w:pPr>
              <w:spacing w:after="0"/>
              <w:rPr>
                <w:rFonts w:asciiTheme="minorHAnsi" w:hAnsiTheme="minorHAnsi"/>
                <w:sz w:val="20"/>
                <w:szCs w:val="20"/>
              </w:rPr>
            </w:pPr>
            <w:r w:rsidRPr="00B1099C">
              <w:rPr>
                <w:rFonts w:asciiTheme="minorHAnsi" w:hAnsiTheme="minorHAnsi"/>
                <w:b/>
                <w:sz w:val="20"/>
                <w:szCs w:val="20"/>
              </w:rPr>
              <w:lastRenderedPageBreak/>
              <w:t>Rok</w:t>
            </w:r>
          </w:p>
        </w:tc>
        <w:tc>
          <w:tcPr>
            <w:tcW w:w="2191" w:type="pct"/>
            <w:gridSpan w:val="2"/>
            <w:noWrap/>
            <w:vAlign w:val="center"/>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b/>
                <w:sz w:val="20"/>
                <w:szCs w:val="20"/>
              </w:rPr>
              <w:t>Celkem</w:t>
            </w:r>
          </w:p>
        </w:tc>
        <w:tc>
          <w:tcPr>
            <w:tcW w:w="2190" w:type="pct"/>
            <w:gridSpan w:val="2"/>
            <w:noWrap/>
            <w:vAlign w:val="center"/>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b/>
                <w:sz w:val="20"/>
                <w:szCs w:val="20"/>
              </w:rPr>
              <w:t>Výzkumníci</w:t>
            </w:r>
          </w:p>
        </w:tc>
      </w:tr>
      <w:tr w:rsidR="0082656B" w:rsidRPr="00B1099C" w:rsidTr="0082656B">
        <w:trPr>
          <w:trHeight w:val="300"/>
        </w:trPr>
        <w:tc>
          <w:tcPr>
            <w:tcW w:w="619" w:type="pct"/>
            <w:vMerge/>
            <w:noWrap/>
          </w:tcPr>
          <w:p w:rsidR="0082656B" w:rsidRPr="00B1099C" w:rsidRDefault="0082656B" w:rsidP="002C40B2">
            <w:pPr>
              <w:spacing w:after="0"/>
              <w:rPr>
                <w:rFonts w:asciiTheme="minorHAnsi" w:hAnsiTheme="minorHAnsi"/>
                <w:sz w:val="20"/>
                <w:szCs w:val="20"/>
              </w:rPr>
            </w:pPr>
          </w:p>
        </w:tc>
        <w:tc>
          <w:tcPr>
            <w:tcW w:w="710"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b/>
                <w:sz w:val="20"/>
                <w:szCs w:val="20"/>
              </w:rPr>
              <w:t>FTE</w:t>
            </w:r>
          </w:p>
        </w:tc>
        <w:tc>
          <w:tcPr>
            <w:tcW w:w="1481"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b/>
                <w:sz w:val="20"/>
                <w:szCs w:val="20"/>
              </w:rPr>
              <w:t>podíl na ČR</w:t>
            </w:r>
          </w:p>
        </w:tc>
        <w:tc>
          <w:tcPr>
            <w:tcW w:w="718"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b/>
                <w:sz w:val="20"/>
                <w:szCs w:val="20"/>
              </w:rPr>
              <w:t>FTE</w:t>
            </w:r>
          </w:p>
        </w:tc>
        <w:tc>
          <w:tcPr>
            <w:tcW w:w="1472"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b/>
                <w:sz w:val="20"/>
                <w:szCs w:val="20"/>
              </w:rPr>
              <w:t>podíl na ČR</w:t>
            </w:r>
          </w:p>
        </w:tc>
      </w:tr>
      <w:tr w:rsidR="0082656B" w:rsidRPr="00B1099C" w:rsidTr="0082656B">
        <w:trPr>
          <w:trHeight w:val="300"/>
        </w:trPr>
        <w:tc>
          <w:tcPr>
            <w:tcW w:w="619" w:type="pct"/>
            <w:noWrap/>
          </w:tcPr>
          <w:p w:rsidR="0082656B" w:rsidRPr="00B1099C" w:rsidRDefault="0082656B" w:rsidP="002C40B2">
            <w:pPr>
              <w:spacing w:after="0"/>
              <w:rPr>
                <w:rFonts w:asciiTheme="minorHAnsi" w:hAnsiTheme="minorHAnsi"/>
                <w:sz w:val="20"/>
                <w:szCs w:val="20"/>
              </w:rPr>
            </w:pPr>
            <w:r w:rsidRPr="00B1099C">
              <w:rPr>
                <w:rFonts w:asciiTheme="minorHAnsi" w:hAnsiTheme="minorHAnsi"/>
                <w:sz w:val="20"/>
                <w:szCs w:val="20"/>
              </w:rPr>
              <w:t>2011</w:t>
            </w:r>
          </w:p>
        </w:tc>
        <w:tc>
          <w:tcPr>
            <w:tcW w:w="710"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102</w:t>
            </w:r>
          </w:p>
        </w:tc>
        <w:tc>
          <w:tcPr>
            <w:tcW w:w="1481"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0,18</w:t>
            </w:r>
          </w:p>
        </w:tc>
        <w:tc>
          <w:tcPr>
            <w:tcW w:w="718"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55</w:t>
            </w:r>
          </w:p>
        </w:tc>
        <w:tc>
          <w:tcPr>
            <w:tcW w:w="1472"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0,17</w:t>
            </w:r>
          </w:p>
        </w:tc>
      </w:tr>
      <w:tr w:rsidR="0082656B" w:rsidRPr="00B1099C" w:rsidTr="0082656B">
        <w:trPr>
          <w:trHeight w:val="300"/>
        </w:trPr>
        <w:tc>
          <w:tcPr>
            <w:tcW w:w="619" w:type="pct"/>
            <w:noWrap/>
          </w:tcPr>
          <w:p w:rsidR="0082656B" w:rsidRPr="00B1099C" w:rsidRDefault="0082656B" w:rsidP="002C40B2">
            <w:pPr>
              <w:spacing w:after="0"/>
              <w:rPr>
                <w:rFonts w:asciiTheme="minorHAnsi" w:hAnsiTheme="minorHAnsi"/>
                <w:sz w:val="20"/>
                <w:szCs w:val="20"/>
              </w:rPr>
            </w:pPr>
            <w:r w:rsidRPr="00B1099C">
              <w:rPr>
                <w:rFonts w:asciiTheme="minorHAnsi" w:hAnsiTheme="minorHAnsi"/>
                <w:sz w:val="20"/>
                <w:szCs w:val="20"/>
              </w:rPr>
              <w:t>2012</w:t>
            </w:r>
          </w:p>
        </w:tc>
        <w:tc>
          <w:tcPr>
            <w:tcW w:w="710"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116</w:t>
            </w:r>
          </w:p>
        </w:tc>
        <w:tc>
          <w:tcPr>
            <w:tcW w:w="1481"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0,19</w:t>
            </w:r>
          </w:p>
        </w:tc>
        <w:tc>
          <w:tcPr>
            <w:tcW w:w="718"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66</w:t>
            </w:r>
          </w:p>
        </w:tc>
        <w:tc>
          <w:tcPr>
            <w:tcW w:w="1472"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0,20</w:t>
            </w:r>
          </w:p>
        </w:tc>
      </w:tr>
      <w:tr w:rsidR="0082656B" w:rsidRPr="00B1099C" w:rsidTr="0082656B">
        <w:trPr>
          <w:trHeight w:val="300"/>
        </w:trPr>
        <w:tc>
          <w:tcPr>
            <w:tcW w:w="619" w:type="pct"/>
            <w:noWrap/>
          </w:tcPr>
          <w:p w:rsidR="0082656B" w:rsidRPr="00B1099C" w:rsidRDefault="0082656B" w:rsidP="002C40B2">
            <w:pPr>
              <w:spacing w:after="0"/>
              <w:rPr>
                <w:rFonts w:asciiTheme="minorHAnsi" w:hAnsiTheme="minorHAnsi"/>
                <w:sz w:val="20"/>
                <w:szCs w:val="20"/>
              </w:rPr>
            </w:pPr>
            <w:r w:rsidRPr="00B1099C">
              <w:rPr>
                <w:rFonts w:asciiTheme="minorHAnsi" w:hAnsiTheme="minorHAnsi"/>
                <w:sz w:val="20"/>
                <w:szCs w:val="20"/>
              </w:rPr>
              <w:t>2013</w:t>
            </w:r>
          </w:p>
        </w:tc>
        <w:tc>
          <w:tcPr>
            <w:tcW w:w="710"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134</w:t>
            </w:r>
          </w:p>
        </w:tc>
        <w:tc>
          <w:tcPr>
            <w:tcW w:w="1481"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0,21</w:t>
            </w:r>
          </w:p>
        </w:tc>
        <w:tc>
          <w:tcPr>
            <w:tcW w:w="718"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70</w:t>
            </w:r>
          </w:p>
        </w:tc>
        <w:tc>
          <w:tcPr>
            <w:tcW w:w="1472"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0,20</w:t>
            </w:r>
          </w:p>
        </w:tc>
      </w:tr>
      <w:tr w:rsidR="0082656B" w:rsidRPr="00B1099C" w:rsidTr="0082656B">
        <w:trPr>
          <w:trHeight w:val="300"/>
        </w:trPr>
        <w:tc>
          <w:tcPr>
            <w:tcW w:w="619" w:type="pct"/>
            <w:noWrap/>
          </w:tcPr>
          <w:p w:rsidR="0082656B" w:rsidRPr="00B1099C" w:rsidRDefault="0082656B" w:rsidP="002C40B2">
            <w:pPr>
              <w:spacing w:after="0"/>
              <w:rPr>
                <w:rFonts w:asciiTheme="minorHAnsi" w:hAnsiTheme="minorHAnsi"/>
                <w:sz w:val="20"/>
                <w:szCs w:val="20"/>
              </w:rPr>
            </w:pPr>
            <w:r w:rsidRPr="00B1099C">
              <w:rPr>
                <w:rFonts w:asciiTheme="minorHAnsi" w:hAnsiTheme="minorHAnsi"/>
                <w:sz w:val="20"/>
                <w:szCs w:val="20"/>
              </w:rPr>
              <w:t>2014</w:t>
            </w:r>
          </w:p>
        </w:tc>
        <w:tc>
          <w:tcPr>
            <w:tcW w:w="710"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158</w:t>
            </w:r>
          </w:p>
        </w:tc>
        <w:tc>
          <w:tcPr>
            <w:tcW w:w="1481"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0,24</w:t>
            </w:r>
          </w:p>
        </w:tc>
        <w:tc>
          <w:tcPr>
            <w:tcW w:w="718"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78</w:t>
            </w:r>
          </w:p>
        </w:tc>
        <w:tc>
          <w:tcPr>
            <w:tcW w:w="1472" w:type="pct"/>
            <w:noWrap/>
          </w:tcPr>
          <w:p w:rsidR="0082656B" w:rsidRPr="00B1099C" w:rsidRDefault="0082656B" w:rsidP="002C40B2">
            <w:pPr>
              <w:spacing w:after="0"/>
              <w:jc w:val="center"/>
              <w:rPr>
                <w:rFonts w:asciiTheme="minorHAnsi" w:hAnsiTheme="minorHAnsi"/>
                <w:sz w:val="20"/>
                <w:szCs w:val="20"/>
              </w:rPr>
            </w:pPr>
            <w:r w:rsidRPr="00B1099C">
              <w:rPr>
                <w:rFonts w:asciiTheme="minorHAnsi" w:hAnsiTheme="minorHAnsi"/>
                <w:sz w:val="20"/>
                <w:szCs w:val="20"/>
              </w:rPr>
              <w:t>0,21</w:t>
            </w:r>
          </w:p>
        </w:tc>
      </w:tr>
    </w:tbl>
    <w:p w:rsidR="00441CA8" w:rsidRDefault="008B1EE8">
      <w:pPr>
        <w:pStyle w:val="poznzdroj"/>
        <w:spacing w:after="0"/>
        <w:rPr>
          <w:rStyle w:val="Zdraznnjemn"/>
          <w:rFonts w:ascii="Calibri" w:hAnsi="Calibri"/>
          <w:i/>
          <w:iCs w:val="0"/>
        </w:rPr>
      </w:pPr>
      <w:r w:rsidRPr="008B1EE8">
        <w:rPr>
          <w:rStyle w:val="Zdraznnjemn"/>
          <w:rFonts w:ascii="Calibri" w:hAnsi="Calibri"/>
          <w:i/>
          <w:iCs w:val="0"/>
        </w:rPr>
        <w:t>Poznámka: FTE - průměrný evidenční počet zaměstnanců přepočtený na plný pracovní úvazek věnovaný výzkumným a vývojovým činnostem</w:t>
      </w:r>
    </w:p>
    <w:p w:rsidR="00441CA8" w:rsidRDefault="008B1EE8" w:rsidP="0082656B">
      <w:pPr>
        <w:pStyle w:val="poznzdroj"/>
        <w:spacing w:before="0"/>
        <w:rPr>
          <w:rStyle w:val="Zdraznnjemn"/>
          <w:rFonts w:ascii="Calibri" w:hAnsi="Calibri"/>
          <w:i/>
          <w:iCs w:val="0"/>
        </w:rPr>
      </w:pPr>
      <w:r w:rsidRPr="008B1EE8">
        <w:rPr>
          <w:rStyle w:val="Zdraznnjemn"/>
          <w:rFonts w:ascii="Calibri" w:hAnsi="Calibri"/>
          <w:i/>
          <w:iCs w:val="0"/>
        </w:rPr>
        <w:t xml:space="preserve">Zdroj: ČSÚ – Statistika VaV v ČR </w:t>
      </w:r>
    </w:p>
    <w:p w:rsidR="0082656B" w:rsidRDefault="0082656B" w:rsidP="0082656B">
      <w:r>
        <w:t xml:space="preserve">Jak lze vidět v </w:t>
      </w:r>
      <w:r w:rsidR="004F2330">
        <w:fldChar w:fldCharType="begin"/>
      </w:r>
      <w:r w:rsidR="004F2330">
        <w:instrText xml:space="preserve"> REF _Ref464807370 \h  \* MERGEFORMAT </w:instrText>
      </w:r>
      <w:r w:rsidR="004F2330">
        <w:fldChar w:fldCharType="separate"/>
      </w:r>
      <w:r w:rsidR="00EB0944">
        <w:t>tabulce</w:t>
      </w:r>
      <w:r w:rsidR="00CB29BD">
        <w:t xml:space="preserve"> </w:t>
      </w:r>
      <w:r w:rsidR="00CB29BD">
        <w:rPr>
          <w:noProof/>
        </w:rPr>
        <w:t>6</w:t>
      </w:r>
      <w:r w:rsidR="00CB29BD">
        <w:t>.1</w:t>
      </w:r>
      <w:r w:rsidR="004F2330">
        <w:fldChar w:fldCharType="end"/>
      </w:r>
      <w:r>
        <w:t xml:space="preserve">, od roku 2005 došlo v Karlovarském kraji k více než dvojnásobnému nárůstu pracovníků ve VaV. </w:t>
      </w:r>
      <w:r w:rsidRPr="00AE46CF">
        <w:t>V roce 2008 došlo ke skokovému nárůstu, který však v následujících dvou letech opět poklesl, což může souviset s útlumem výzkumných a vývojových aktivit ve firmách z důvodů hospodářské krize, případně přesunutím některých VaV oddělení do jiných regionů. P</w:t>
      </w:r>
      <w:r>
        <w:t>ro ověření této hypotézy by byla</w:t>
      </w:r>
      <w:r w:rsidRPr="00AE46CF">
        <w:t xml:space="preserve"> nutn</w:t>
      </w:r>
      <w:r>
        <w:t>á</w:t>
      </w:r>
      <w:r w:rsidRPr="00AE46CF">
        <w:t xml:space="preserve"> evaluace na úrovni jednotlivých subjektů. </w:t>
      </w:r>
      <w:r>
        <w:t xml:space="preserve">Výrazný nárůst </w:t>
      </w:r>
      <w:r w:rsidRPr="00AE46CF">
        <w:t>počtu zaměstnanců ve VaV</w:t>
      </w:r>
      <w:r>
        <w:t xml:space="preserve"> byl zaznamenán i mezi roky 2010 a 2014, nicméně z pohledu celé republiky se jedná jen o nevýraznou změnu. </w:t>
      </w:r>
    </w:p>
    <w:p w:rsidR="0082656B" w:rsidRPr="00AE46CF" w:rsidRDefault="0082656B" w:rsidP="0082656B">
      <w:r w:rsidRPr="00AE46CF">
        <w:t>Z pohledu vnitřní diferenciace v kraji je většina výdajů i pracovních míst v sektoru VaV lokalizována v okresech Karlovy Vary a Sokolov.</w:t>
      </w:r>
    </w:p>
    <w:p w:rsidR="0082656B" w:rsidRDefault="0082656B" w:rsidP="0082656B">
      <w:r w:rsidRPr="00AE46CF">
        <w:rPr>
          <w:b/>
        </w:rPr>
        <w:t xml:space="preserve">Většina </w:t>
      </w:r>
      <w:r>
        <w:rPr>
          <w:b/>
        </w:rPr>
        <w:t xml:space="preserve">pracovních </w:t>
      </w:r>
      <w:r w:rsidRPr="00AE46CF">
        <w:rPr>
          <w:b/>
        </w:rPr>
        <w:t xml:space="preserve">míst ve výzkumu a vývoji je v kraji tvořena v podnikatelském sektoru </w:t>
      </w:r>
      <w:r w:rsidRPr="002D2280">
        <w:t>(BERD).</w:t>
      </w:r>
      <w:r w:rsidRPr="00AE46CF">
        <w:t xml:space="preserve"> Vládní (GOVERD) a vysokoškolský (HERD) sektor nevytváří v regionu téměř žádná místa ve </w:t>
      </w:r>
      <w:r>
        <w:t>VaV</w:t>
      </w:r>
      <w:r w:rsidRPr="00AE46CF">
        <w:t xml:space="preserve">. Příčinou toho je absence instituce univerzitního typu či většího počtu vědecko-výzkumných ústavů v kraji. Zhruba 2/3 z celkového počtu míst tvoří výzkumníci v technických vědách, 1/3 pak v přírodních vědách. Podobnou </w:t>
      </w:r>
      <w:r w:rsidRPr="00E04DEF">
        <w:t>strukturu vstupů do inovačníh</w:t>
      </w:r>
      <w:r w:rsidRPr="00414AB7">
        <w:t xml:space="preserve">o systému, tj. s naprostou dominancí podnikatelského sektoru, má také kraj Vysočina. Poměrně </w:t>
      </w:r>
      <w:r w:rsidRPr="00DE04A0">
        <w:t>velkou roli by mohl hrát</w:t>
      </w:r>
      <w:r w:rsidRPr="00E04DEF">
        <w:t xml:space="preserve"> v KK balneologický výzkum. V r. 2013 byl v kraji založen Balneologický institut Karlovy Vary, o. p. s., jehož zakladatelem je statutární město Karlovy Vary. V roce 2017 byla ustavena i forma veřejné -výzkumné instituce (v. v. i.) - Balneologický institut KV, v. v. i. (zakladatelem je rovněž Statutární město Karlovy Vary). </w:t>
      </w:r>
      <w:r w:rsidRPr="00414AB7">
        <w:t>To</w:t>
      </w:r>
      <w:r w:rsidRPr="00DE04A0">
        <w:t>to vědecko-výzkumn</w:t>
      </w:r>
      <w:r w:rsidRPr="00E04DEF">
        <w:t>é pracoviště by mělo významnou měrou přispět k rozvoji vědy a výzkumu na poli balneologie a přivést do kraje vědecko</w:t>
      </w:r>
      <w:r w:rsidRPr="00DD5557">
        <w:t>-výzkumné kapacity. V Karlovarském kraji se tak posiluje význam lázeňství jako specifické inovační domény.</w:t>
      </w:r>
    </w:p>
    <w:p w:rsidR="0082656B" w:rsidRPr="006A7F51" w:rsidRDefault="0082656B" w:rsidP="0082656B">
      <w:r w:rsidRPr="00AE46CF">
        <w:rPr>
          <w:rStyle w:val="Siln"/>
          <w:rFonts w:eastAsiaTheme="majorEastAsia"/>
        </w:rPr>
        <w:t>Intenzita výdajů na VaV v Karlovarském kraji dosahuje pouze zhruba 0,1</w:t>
      </w:r>
      <w:r>
        <w:rPr>
          <w:rStyle w:val="Siln"/>
          <w:rFonts w:eastAsiaTheme="majorEastAsia"/>
        </w:rPr>
        <w:t>8</w:t>
      </w:r>
      <w:r w:rsidRPr="00AE46CF">
        <w:rPr>
          <w:rStyle w:val="Siln"/>
          <w:rFonts w:eastAsiaTheme="majorEastAsia"/>
        </w:rPr>
        <w:t xml:space="preserve"> % úrovně HDP a navíc nevykazuje významnou růstovou tendenci. </w:t>
      </w:r>
      <w:r w:rsidRPr="006A7F51">
        <w:t>V rámci regionů ČR se jedná o velmi nízkou úroveň výdajů na VaV</w:t>
      </w:r>
      <w:r>
        <w:t xml:space="preserve"> (viz </w:t>
      </w:r>
      <w:r w:rsidR="004F2330">
        <w:fldChar w:fldCharType="begin"/>
      </w:r>
      <w:r w:rsidR="004F2330">
        <w:instrText xml:space="preserve"> REF _Ref464474976 \h  \* MERGEFORMAT </w:instrText>
      </w:r>
      <w:r w:rsidR="004F2330">
        <w:fldChar w:fldCharType="separate"/>
      </w:r>
      <w:r w:rsidR="00DA707D">
        <w:t>g</w:t>
      </w:r>
      <w:r w:rsidR="00CB29BD">
        <w:t xml:space="preserve">raf </w:t>
      </w:r>
      <w:r w:rsidR="00CB29BD">
        <w:rPr>
          <w:noProof/>
        </w:rPr>
        <w:t>6</w:t>
      </w:r>
      <w:r w:rsidR="00CB29BD">
        <w:t>.2</w:t>
      </w:r>
      <w:r w:rsidR="004F2330">
        <w:fldChar w:fldCharType="end"/>
      </w:r>
      <w:r>
        <w:t xml:space="preserve"> a </w:t>
      </w:r>
      <w:r w:rsidR="004F2330">
        <w:fldChar w:fldCharType="begin"/>
      </w:r>
      <w:r w:rsidR="004F2330">
        <w:instrText xml:space="preserve"> REF _Ref464475001 \h  \* MERGEFORMAT </w:instrText>
      </w:r>
      <w:r w:rsidR="004F2330">
        <w:fldChar w:fldCharType="separate"/>
      </w:r>
      <w:r w:rsidR="00DA707D">
        <w:t>o</w:t>
      </w:r>
      <w:r w:rsidR="00CB29BD">
        <w:t xml:space="preserve">brázek </w:t>
      </w:r>
      <w:r w:rsidR="00CB29BD">
        <w:rPr>
          <w:noProof/>
        </w:rPr>
        <w:t>6</w:t>
      </w:r>
      <w:r w:rsidR="00CB29BD">
        <w:t>.1</w:t>
      </w:r>
      <w:r w:rsidR="004F2330">
        <w:fldChar w:fldCharType="end"/>
      </w:r>
      <w:r>
        <w:t>)</w:t>
      </w:r>
      <w:r w:rsidRPr="006A7F51">
        <w:t xml:space="preserve">. </w:t>
      </w:r>
    </w:p>
    <w:p w:rsidR="007E563D" w:rsidRPr="00AE46CF" w:rsidRDefault="007E563D" w:rsidP="000B3B9C">
      <w:pPr>
        <w:pStyle w:val="Titulek"/>
      </w:pPr>
      <w:bookmarkStart w:id="117" w:name="_Ref464474976"/>
      <w:bookmarkStart w:id="118" w:name="_Toc310604003"/>
      <w:bookmarkStart w:id="119" w:name="_Toc310604069"/>
      <w:bookmarkStart w:id="120" w:name="_Toc321406374"/>
      <w:bookmarkStart w:id="121" w:name="_Toc488234349"/>
      <w:r>
        <w:lastRenderedPageBreak/>
        <w:t xml:space="preserve">Graf </w:t>
      </w:r>
      <w:r w:rsidR="004F2330">
        <w:fldChar w:fldCharType="begin"/>
      </w:r>
      <w:r w:rsidR="004F2330">
        <w:instrText xml:space="preserve"> STYLEREF 1 \s </w:instrText>
      </w:r>
      <w:r w:rsidR="004F2330">
        <w:fldChar w:fldCharType="separate"/>
      </w:r>
      <w:r w:rsidR="00CB29BD">
        <w:t>6</w:t>
      </w:r>
      <w:r w:rsidR="004F2330">
        <w:fldChar w:fldCharType="end"/>
      </w:r>
      <w:r w:rsidR="00FD378B">
        <w:t>.</w:t>
      </w:r>
      <w:r w:rsidR="004F2330">
        <w:fldChar w:fldCharType="begin"/>
      </w:r>
      <w:r w:rsidR="004F2330">
        <w:instrText xml:space="preserve"> SEQ Graf \* ARABIC \s 1 </w:instrText>
      </w:r>
      <w:r w:rsidR="004F2330">
        <w:fldChar w:fldCharType="separate"/>
      </w:r>
      <w:r w:rsidR="00CB29BD">
        <w:t>2</w:t>
      </w:r>
      <w:r w:rsidR="004F2330">
        <w:fldChar w:fldCharType="end"/>
      </w:r>
      <w:bookmarkEnd w:id="117"/>
      <w:r w:rsidRPr="00AE46CF">
        <w:t xml:space="preserve">: Výdaje na oblast výzkumu a vývoje </w:t>
      </w:r>
      <w:r>
        <w:t>v krajích v letech 2005, 2009 a 2014 (</w:t>
      </w:r>
      <w:r w:rsidRPr="00AE46CF">
        <w:t>v % HDP</w:t>
      </w:r>
      <w:r>
        <w:t>)</w:t>
      </w:r>
      <w:bookmarkEnd w:id="118"/>
      <w:bookmarkEnd w:id="119"/>
      <w:bookmarkEnd w:id="120"/>
      <w:bookmarkEnd w:id="121"/>
    </w:p>
    <w:p w:rsidR="007E563D" w:rsidRDefault="007E563D" w:rsidP="002C40B2">
      <w:pPr>
        <w:spacing w:after="120"/>
        <w:rPr>
          <w:rStyle w:val="Siln"/>
          <w:rFonts w:eastAsiaTheme="majorEastAsia"/>
          <w:sz w:val="18"/>
          <w:szCs w:val="18"/>
        </w:rPr>
      </w:pPr>
      <w:r>
        <w:rPr>
          <w:noProof/>
        </w:rPr>
        <w:drawing>
          <wp:inline distT="0" distB="0" distL="0" distR="0">
            <wp:extent cx="5760720" cy="2781300"/>
            <wp:effectExtent l="0" t="0" r="1143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E563D" w:rsidRDefault="007E563D" w:rsidP="002C40B2">
      <w:pPr>
        <w:pStyle w:val="poznzdroj"/>
        <w:spacing w:line="276" w:lineRule="auto"/>
      </w:pPr>
      <w:r w:rsidRPr="006A7F51">
        <w:t xml:space="preserve">Zdroj: </w:t>
      </w:r>
      <w:r w:rsidRPr="00AE46CF">
        <w:t xml:space="preserve">ČSÚ – Statistika VaV v ČR </w:t>
      </w:r>
    </w:p>
    <w:p w:rsidR="007E563D" w:rsidRDefault="007E563D" w:rsidP="002C40B2">
      <w:r w:rsidRPr="00DC3B76">
        <w:t>Při porovnání s ostatními kraji lze spatřit souvislost mezi výdaji na VaV a ekonomickou výkonností; jasně se oddělují ekonomicky silné regiony jako Praha, Středočeský a Jihomoravský kraj, a naopak nejnižších hodnot dosahují hospodářsky slabší kraje, jako jsou Karlovarský, Ústecký či Vysočina</w:t>
      </w:r>
      <w:r w:rsidRPr="006A7F51">
        <w:t>.</w:t>
      </w:r>
    </w:p>
    <w:p w:rsidR="007E563D" w:rsidRPr="009F6AFF" w:rsidRDefault="007E563D" w:rsidP="000B3B9C">
      <w:pPr>
        <w:pStyle w:val="Titulek"/>
      </w:pPr>
      <w:bookmarkStart w:id="122" w:name="_Ref464475001"/>
      <w:r>
        <w:t xml:space="preserve">Obrázek </w:t>
      </w:r>
      <w:r w:rsidR="008965FE">
        <w:fldChar w:fldCharType="begin"/>
      </w:r>
      <w:r w:rsidR="00B33DFE">
        <w:instrText xml:space="preserve"> STYLEREF 1 \s </w:instrText>
      </w:r>
      <w:r w:rsidR="008965FE">
        <w:fldChar w:fldCharType="separate"/>
      </w:r>
      <w:r w:rsidR="00CB29BD">
        <w:t>6</w:t>
      </w:r>
      <w:r w:rsidR="008965FE">
        <w:fldChar w:fldCharType="end"/>
      </w:r>
      <w:r w:rsidR="0077536C">
        <w:t>.</w:t>
      </w:r>
      <w:r w:rsidR="004F2330">
        <w:fldChar w:fldCharType="begin"/>
      </w:r>
      <w:r w:rsidR="004F2330">
        <w:instrText xml:space="preserve"> SEQ Obrázek \* ARABIC \s 1 </w:instrText>
      </w:r>
      <w:r w:rsidR="004F2330">
        <w:fldChar w:fldCharType="separate"/>
      </w:r>
      <w:r w:rsidR="00CB29BD">
        <w:t>1</w:t>
      </w:r>
      <w:r w:rsidR="004F2330">
        <w:fldChar w:fldCharType="end"/>
      </w:r>
      <w:bookmarkEnd w:id="122"/>
      <w:r w:rsidRPr="006A7F51">
        <w:t xml:space="preserve">: </w:t>
      </w:r>
      <w:r w:rsidRPr="009F6AFF">
        <w:t>Celkové výdaje na VaV podle krajů v roce 2014 (v % HDP daného kraje)</w:t>
      </w:r>
    </w:p>
    <w:p w:rsidR="007E563D" w:rsidRDefault="007E563D" w:rsidP="002C40B2">
      <w:pPr>
        <w:spacing w:after="0"/>
        <w:rPr>
          <w:rStyle w:val="Siln"/>
          <w:rFonts w:eastAsia="Calibri"/>
          <w:b w:val="0"/>
          <w:bCs/>
          <w:szCs w:val="20"/>
          <w:lang w:eastAsia="en-US"/>
        </w:rPr>
      </w:pPr>
      <w:r>
        <w:rPr>
          <w:rFonts w:cs="Times New Roman"/>
          <w:noProof/>
        </w:rPr>
        <w:drawing>
          <wp:inline distT="0" distB="0" distL="0" distR="0">
            <wp:extent cx="5760720" cy="3048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CEFB.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3048000"/>
                    </a:xfrm>
                    <a:prstGeom prst="rect">
                      <a:avLst/>
                    </a:prstGeom>
                  </pic:spPr>
                </pic:pic>
              </a:graphicData>
            </a:graphic>
          </wp:inline>
        </w:drawing>
      </w:r>
    </w:p>
    <w:p w:rsidR="007E563D" w:rsidRDefault="007E563D" w:rsidP="002C40B2">
      <w:pPr>
        <w:pStyle w:val="poznzdroj"/>
        <w:spacing w:after="240" w:line="276" w:lineRule="auto"/>
      </w:pPr>
      <w:r w:rsidRPr="006A7F51">
        <w:t xml:space="preserve">Zdroj: ČSÚ </w:t>
      </w:r>
      <w:r>
        <w:t>-</w:t>
      </w:r>
      <w:r w:rsidRPr="006A7F51">
        <w:t xml:space="preserve"> </w:t>
      </w:r>
      <w:hyperlink r:id="rId55" w:tgtFrame="_blank" w:history="1">
        <w:r w:rsidRPr="006A7F51">
          <w:t>Roční výkaz o výzkumu a vývoji</w:t>
        </w:r>
        <w:r>
          <w:t>, 2015</w:t>
        </w:r>
        <w:r w:rsidRPr="006A7F51">
          <w:t xml:space="preserve"> </w:t>
        </w:r>
      </w:hyperlink>
    </w:p>
    <w:p w:rsidR="007E563D" w:rsidRDefault="007E563D" w:rsidP="002C40B2">
      <w:r w:rsidRPr="006A7F51">
        <w:t>Struktura výdajů na VaV dle sektorů kopíruje situaci v případě zaměstnanců, naprostou většinu z nich obstarává podnikatelský sektor (více než 99 %), vládní a vysokoškolský sektor se podílejí pouze na zlomku celkových výdajů.</w:t>
      </w:r>
    </w:p>
    <w:p w:rsidR="007E563D" w:rsidRPr="009F6AFF" w:rsidRDefault="007E563D" w:rsidP="000B3B9C">
      <w:pPr>
        <w:pStyle w:val="Titulek"/>
      </w:pPr>
      <w:bookmarkStart w:id="123" w:name="_Toc488234393"/>
      <w:r w:rsidRPr="009F6AFF">
        <w:lastRenderedPageBreak/>
        <w:t xml:space="preserve">Obrázek </w:t>
      </w:r>
      <w:r w:rsidR="008965FE">
        <w:fldChar w:fldCharType="begin"/>
      </w:r>
      <w:r w:rsidR="00B33DFE">
        <w:instrText xml:space="preserve"> STYLEREF 1 \s </w:instrText>
      </w:r>
      <w:r w:rsidR="008965FE">
        <w:fldChar w:fldCharType="separate"/>
      </w:r>
      <w:r w:rsidR="00CB29BD">
        <w:t>6</w:t>
      </w:r>
      <w:r w:rsidR="008965FE">
        <w:fldChar w:fldCharType="end"/>
      </w:r>
      <w:r w:rsidR="0077536C">
        <w:t>.</w:t>
      </w:r>
      <w:r w:rsidR="004F2330">
        <w:fldChar w:fldCharType="begin"/>
      </w:r>
      <w:r w:rsidR="004F2330">
        <w:instrText xml:space="preserve"> SEQ Obrázek \* ARABIC \s 1 </w:instrText>
      </w:r>
      <w:r w:rsidR="004F2330">
        <w:fldChar w:fldCharType="separate"/>
      </w:r>
      <w:r w:rsidR="00CB29BD">
        <w:t>2</w:t>
      </w:r>
      <w:r w:rsidR="004F2330">
        <w:fldChar w:fldCharType="end"/>
      </w:r>
      <w:r w:rsidRPr="009F6AFF">
        <w:t>: Výdaje na VaV podle zdrojů financování a krajů v roce 2014</w:t>
      </w:r>
      <w:bookmarkEnd w:id="123"/>
    </w:p>
    <w:p w:rsidR="007E563D" w:rsidRPr="00AE46CF" w:rsidRDefault="007E563D" w:rsidP="002C40B2">
      <w:pPr>
        <w:rPr>
          <w:rStyle w:val="Siln"/>
          <w:rFonts w:eastAsiaTheme="majorEastAsia"/>
          <w:b w:val="0"/>
        </w:rPr>
      </w:pPr>
      <w:r>
        <w:rPr>
          <w:rFonts w:cs="Times New Roman"/>
          <w:noProof/>
        </w:rPr>
        <w:drawing>
          <wp:inline distT="0" distB="0" distL="0" distR="0">
            <wp:extent cx="5760085" cy="37719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365" cy="3772083"/>
                    </a:xfrm>
                    <a:prstGeom prst="rect">
                      <a:avLst/>
                    </a:prstGeom>
                    <a:noFill/>
                    <a:ln>
                      <a:noFill/>
                    </a:ln>
                  </pic:spPr>
                </pic:pic>
              </a:graphicData>
            </a:graphic>
          </wp:inline>
        </w:drawing>
      </w:r>
    </w:p>
    <w:p w:rsidR="007E563D" w:rsidRDefault="007E563D" w:rsidP="002C40B2">
      <w:pPr>
        <w:pStyle w:val="poznzdroj"/>
        <w:spacing w:after="240" w:line="276" w:lineRule="auto"/>
      </w:pPr>
      <w:r w:rsidRPr="006A7F51">
        <w:t xml:space="preserve">Zdroj: ČSÚ </w:t>
      </w:r>
      <w:r>
        <w:t>-</w:t>
      </w:r>
      <w:r w:rsidRPr="006A7F51">
        <w:t xml:space="preserve"> </w:t>
      </w:r>
      <w:hyperlink r:id="rId57" w:tgtFrame="_blank" w:history="1">
        <w:r w:rsidRPr="006A7F51">
          <w:t>Roční výkaz o výzkumu a vývoji</w:t>
        </w:r>
        <w:r>
          <w:t>, 2015</w:t>
        </w:r>
        <w:r w:rsidRPr="006A7F51">
          <w:t xml:space="preserve"> </w:t>
        </w:r>
      </w:hyperlink>
    </w:p>
    <w:p w:rsidR="0082656B" w:rsidRPr="002E7431" w:rsidRDefault="0082656B" w:rsidP="0082656B">
      <w:r w:rsidRPr="002E7431">
        <w:rPr>
          <w:rStyle w:val="Siln"/>
          <w:rFonts w:eastAsiaTheme="majorEastAsia"/>
          <w:b w:val="0"/>
        </w:rPr>
        <w:t xml:space="preserve">Dalším neméně důležitým předpokladem pro rozvoj znalostně náročných ekonomických aktivit je vysoká kvalita lidských zdrojů a vysoký podíl kvalitativně a kvalifikačně náročné zaměstnanosti. Aby se v kraji mohli rozvíjet znalostně náročné obory, je nutné kromě jiných aspektů zajistit zejména dostatek kvalifikovaných lidí na pracovním trhu. Kvalifikačně náročnou zaměstnanost můžeme sledovat jako podíl VŠ vzdělaných osob na počtu zaměstnaných v regionu. </w:t>
      </w:r>
      <w:r>
        <w:rPr>
          <w:rStyle w:val="Siln"/>
          <w:rFonts w:eastAsiaTheme="majorEastAsia"/>
          <w:b w:val="0"/>
        </w:rPr>
        <w:t xml:space="preserve">Z </w:t>
      </w:r>
      <w:r w:rsidR="004F2330">
        <w:fldChar w:fldCharType="begin"/>
      </w:r>
      <w:r w:rsidR="004F2330">
        <w:instrText xml:space="preserve"> REF _Ref464545500 \h  \* MERGEFORMAT </w:instrText>
      </w:r>
      <w:r w:rsidR="004F2330">
        <w:fldChar w:fldCharType="separate"/>
      </w:r>
      <w:r w:rsidR="00DA707D">
        <w:t>g</w:t>
      </w:r>
      <w:r w:rsidR="00CB29BD" w:rsidRPr="001A2A22">
        <w:t>raf</w:t>
      </w:r>
      <w:r w:rsidR="00DA707D">
        <w:t>u</w:t>
      </w:r>
      <w:r w:rsidR="00CB29BD" w:rsidRPr="001A2A22">
        <w:t xml:space="preserve"> </w:t>
      </w:r>
      <w:r w:rsidR="00CB29BD">
        <w:rPr>
          <w:noProof/>
        </w:rPr>
        <w:t>6</w:t>
      </w:r>
      <w:r w:rsidR="00CB29BD">
        <w:t>.3</w:t>
      </w:r>
      <w:r w:rsidR="004F2330">
        <w:fldChar w:fldCharType="end"/>
      </w:r>
      <w:r>
        <w:t xml:space="preserve"> </w:t>
      </w:r>
      <w:r w:rsidRPr="002E7431">
        <w:rPr>
          <w:rStyle w:val="Siln"/>
          <w:rFonts w:eastAsiaTheme="majorEastAsia"/>
          <w:b w:val="0"/>
        </w:rPr>
        <w:t xml:space="preserve">je zřetelně patrné, že </w:t>
      </w:r>
      <w:r w:rsidRPr="005D7AE9">
        <w:rPr>
          <w:rStyle w:val="Siln"/>
          <w:rFonts w:eastAsiaTheme="majorEastAsia"/>
        </w:rPr>
        <w:t>podíl VŠ vzdělaných na celkové zaměstnanosti je v Karlovarském kraji nejnižší</w:t>
      </w:r>
      <w:r w:rsidRPr="002E7431">
        <w:rPr>
          <w:rStyle w:val="Siln"/>
          <w:rFonts w:eastAsiaTheme="majorEastAsia"/>
          <w:b w:val="0"/>
        </w:rPr>
        <w:t>. V roce 2015 dosahoval pouze mírně nad 13 %, v absolutních číslech se jedná zhruba o 19 tis. osob</w:t>
      </w:r>
      <w:r w:rsidRPr="002E7431">
        <w:t>. Dominantní pozici má v tomto směru Praha, výrazněji se odlišuje ještě Jihomoravský kraj.</w:t>
      </w:r>
    </w:p>
    <w:p w:rsidR="007E563D" w:rsidRPr="001A2A22" w:rsidRDefault="007E563D" w:rsidP="001A2A22">
      <w:pPr>
        <w:pStyle w:val="Titulek"/>
      </w:pPr>
      <w:bookmarkStart w:id="124" w:name="_Ref464545500"/>
      <w:bookmarkStart w:id="125" w:name="_Toc310604004"/>
      <w:bookmarkStart w:id="126" w:name="_Toc310604070"/>
      <w:bookmarkStart w:id="127" w:name="_Toc321406375"/>
      <w:bookmarkStart w:id="128" w:name="_Toc488234350"/>
      <w:r w:rsidRPr="001A2A22">
        <w:lastRenderedPageBreak/>
        <w:t xml:space="preserve">Graf </w:t>
      </w:r>
      <w:r w:rsidR="004F2330">
        <w:fldChar w:fldCharType="begin"/>
      </w:r>
      <w:r w:rsidR="004F2330">
        <w:instrText xml:space="preserve"> STYLEREF 1 \s </w:instrText>
      </w:r>
      <w:r w:rsidR="004F2330">
        <w:fldChar w:fldCharType="separate"/>
      </w:r>
      <w:r w:rsidR="00CB29BD">
        <w:t>6</w:t>
      </w:r>
      <w:r w:rsidR="004F2330">
        <w:fldChar w:fldCharType="end"/>
      </w:r>
      <w:r w:rsidR="00FD378B">
        <w:t>.</w:t>
      </w:r>
      <w:r w:rsidR="004F2330">
        <w:fldChar w:fldCharType="begin"/>
      </w:r>
      <w:r w:rsidR="004F2330">
        <w:instrText xml:space="preserve"> SEQ Graf \* ARABIC \s 1 </w:instrText>
      </w:r>
      <w:r w:rsidR="004F2330">
        <w:fldChar w:fldCharType="separate"/>
      </w:r>
      <w:r w:rsidR="00CB29BD">
        <w:t>3</w:t>
      </w:r>
      <w:r w:rsidR="004F2330">
        <w:fldChar w:fldCharType="end"/>
      </w:r>
      <w:bookmarkEnd w:id="124"/>
      <w:r w:rsidRPr="001A2A22">
        <w:t>: Podíl VŠ zaměstnanosti na celkové zaměstnanosti v krajích a podíl krajů na růstu VŠ zaměstnanosti v ČR v letech 2004, 2010 a 2015 (v %</w:t>
      </w:r>
      <w:bookmarkEnd w:id="125"/>
      <w:bookmarkEnd w:id="126"/>
      <w:bookmarkEnd w:id="127"/>
      <w:r w:rsidRPr="001A2A22">
        <w:t>)</w:t>
      </w:r>
      <w:bookmarkEnd w:id="128"/>
    </w:p>
    <w:p w:rsidR="007E563D" w:rsidRDefault="007E563D" w:rsidP="002C40B2">
      <w:pPr>
        <w:rPr>
          <w:rStyle w:val="Siln"/>
          <w:rFonts w:eastAsiaTheme="majorEastAsia"/>
          <w:sz w:val="18"/>
          <w:szCs w:val="18"/>
        </w:rPr>
      </w:pPr>
      <w:r>
        <w:rPr>
          <w:noProof/>
        </w:rPr>
        <w:drawing>
          <wp:inline distT="0" distB="0" distL="0" distR="0">
            <wp:extent cx="5759355" cy="2954741"/>
            <wp:effectExtent l="0" t="0" r="13335" b="1714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E563D" w:rsidRPr="002E7431" w:rsidRDefault="007E563D" w:rsidP="002C40B2">
      <w:pPr>
        <w:pStyle w:val="poznzdroj"/>
        <w:spacing w:line="276" w:lineRule="auto"/>
      </w:pPr>
      <w:r w:rsidRPr="002E7431">
        <w:t>Zdroj: ČSÚ - VŠPS 2004, 2010 a 2015</w:t>
      </w:r>
    </w:p>
    <w:p w:rsidR="0082656B" w:rsidRDefault="0082656B" w:rsidP="0082656B">
      <w:r>
        <w:t>V</w:t>
      </w:r>
      <w:r w:rsidRPr="00AE46CF">
        <w:t> </w:t>
      </w:r>
      <w:r>
        <w:t>Karlovarském</w:t>
      </w:r>
      <w:r w:rsidRPr="00AE46CF">
        <w:t xml:space="preserve"> kraji vzrostla </w:t>
      </w:r>
      <w:r>
        <w:t>od roku 2010 do roku 2015</w:t>
      </w:r>
      <w:r w:rsidRPr="00AE46CF">
        <w:t xml:space="preserve"> VŠ zaměstnanost </w:t>
      </w:r>
      <w:r w:rsidRPr="00BA588B">
        <w:t>pouze přibližně</w:t>
      </w:r>
      <w:r>
        <w:t xml:space="preserve"> o</w:t>
      </w:r>
      <w:r w:rsidRPr="00BA588B">
        <w:t xml:space="preserve"> 4 %.</w:t>
      </w:r>
      <w:r w:rsidRPr="00AE46CF">
        <w:t xml:space="preserve"> Tyto hodnoty jen potvrzují, že zde</w:t>
      </w:r>
      <w:r>
        <w:t xml:space="preserve"> stále</w:t>
      </w:r>
      <w:r w:rsidRPr="00AE46CF">
        <w:t xml:space="preserve"> dochází k určité stagnaci a </w:t>
      </w:r>
      <w:r w:rsidRPr="00DC3B76">
        <w:rPr>
          <w:b/>
        </w:rPr>
        <w:t>zaostávání v přechodu ke znalostně založené regionální konkurenceschopnosti</w:t>
      </w:r>
      <w:r>
        <w:t>. V kraji se příliš nerozvi</w:t>
      </w:r>
      <w:r w:rsidRPr="00AE46CF">
        <w:t xml:space="preserve">jí ekonomické aktivity náročné na kvalifikaci pracovních sil, což jen potvrzuje předchozí zjištění o orientaci podniků v kraji na jednodušší zakázkovou výrobu s nižší přidanou hodnotou. </w:t>
      </w:r>
    </w:p>
    <w:p w:rsidR="0082656B" w:rsidRPr="007B50F3" w:rsidRDefault="0082656B" w:rsidP="0082656B">
      <w:r w:rsidRPr="00AE46CF">
        <w:t xml:space="preserve">Je nutné také zmínit, že VŠ zaměstnanost </w:t>
      </w:r>
      <w:r>
        <w:t xml:space="preserve">se </w:t>
      </w:r>
      <w:r w:rsidRPr="00AE46CF">
        <w:t>v Č</w:t>
      </w:r>
      <w:r>
        <w:t>R</w:t>
      </w:r>
      <w:r w:rsidRPr="00AE46CF">
        <w:t xml:space="preserve"> </w:t>
      </w:r>
      <w:r>
        <w:t xml:space="preserve">obecně </w:t>
      </w:r>
      <w:r w:rsidRPr="00AE46CF">
        <w:t>zvyšuje z důvodu rostoucího počtu vysokoškolsky vzdělaných lidí v</w:t>
      </w:r>
      <w:r>
        <w:t> </w:t>
      </w:r>
      <w:r w:rsidRPr="00AE46CF">
        <w:t>populaci</w:t>
      </w:r>
      <w:r>
        <w:t>, ale</w:t>
      </w:r>
      <w:r w:rsidRPr="00AE46CF">
        <w:t xml:space="preserve"> zdaleka ne všichni vykonávají znalostně náročné aktivity.</w:t>
      </w:r>
      <w:r>
        <w:t xml:space="preserve"> Vzdělanostní struktura Karlovarského kraje ukazuje, že </w:t>
      </w:r>
      <w:r w:rsidRPr="002E3BC9">
        <w:rPr>
          <w:b/>
        </w:rPr>
        <w:t>je zde nejnižší podíl vysokoškolsky vzdělaných obyvatel</w:t>
      </w:r>
      <w:r>
        <w:rPr>
          <w:b/>
        </w:rPr>
        <w:t xml:space="preserve"> v republice</w:t>
      </w:r>
      <w:r w:rsidRPr="007B50F3">
        <w:t xml:space="preserve">, a to lehce přes 10 %. </w:t>
      </w:r>
    </w:p>
    <w:p w:rsidR="0082656B" w:rsidRPr="00AE46CF" w:rsidRDefault="0082656B" w:rsidP="0082656B">
      <w:r w:rsidRPr="00AE46CF">
        <w:t xml:space="preserve">Dalším možným způsobem jak vyjádřit kvalitativní náročnost pracovních míst je sledovat </w:t>
      </w:r>
      <w:r w:rsidRPr="00BA588B">
        <w:t xml:space="preserve">údaje o </w:t>
      </w:r>
      <w:r>
        <w:t>zaměstnanosti dle tzv. klasifikace</w:t>
      </w:r>
      <w:r w:rsidRPr="00AE46CF">
        <w:t xml:space="preserve"> zaměstnání (KZAM). Zvyšování podílu kvalitativně náročné zaměstnanosti je často velmi dobrým a přesným ukazatelem rozvoje znalostně založené konkurenceschopnosti. Nejčastěji se pro kvantifikaci používá počet zaměstnaných v třídách KZAM 2 a 3 (Vědečtí a odborní duševní pracovníci a Techničtí, zdravotní a pedagogičtí pracovníci). </w:t>
      </w:r>
      <w:r w:rsidRPr="007B50F3">
        <w:rPr>
          <w:b/>
        </w:rPr>
        <w:t>V Karlovarském kraji bylo</w:t>
      </w:r>
      <w:r w:rsidRPr="00AE46CF">
        <w:t xml:space="preserve"> v roce 201</w:t>
      </w:r>
      <w:r>
        <w:t>4</w:t>
      </w:r>
      <w:r w:rsidRPr="00AE46CF">
        <w:t xml:space="preserve"> dle </w:t>
      </w:r>
      <w:r>
        <w:t>údajů z ČSÚ</w:t>
      </w:r>
      <w:r w:rsidRPr="00AE46CF">
        <w:t xml:space="preserve"> </w:t>
      </w:r>
      <w:r w:rsidRPr="007B50F3">
        <w:rPr>
          <w:b/>
        </w:rPr>
        <w:t>zaměstnáno v KZAM 2 a 3</w:t>
      </w:r>
      <w:r w:rsidRPr="00AE46CF">
        <w:t xml:space="preserve"> („odborná zaměstnanost“) zhruba </w:t>
      </w:r>
      <w:r>
        <w:t>32</w:t>
      </w:r>
      <w:r w:rsidRPr="00AE46CF">
        <w:t xml:space="preserve"> tis. pracovníků, což představuje </w:t>
      </w:r>
      <w:r w:rsidRPr="007B50F3">
        <w:rPr>
          <w:b/>
        </w:rPr>
        <w:t>necelých 22 % ze všech zaměstnaných v kraji. Tato hodnota je v porovnání s ostatními kraji nejnižší</w:t>
      </w:r>
      <w:r w:rsidRPr="00AE46CF">
        <w:t>. Pořadí krajů je obdobné jako v případě VŠ zaměstnanosti, jen rozdíly mezi nimi jsou menší (kromě Prahy)</w:t>
      </w:r>
      <w:r>
        <w:t xml:space="preserve"> (</w:t>
      </w:r>
      <w:r w:rsidR="004F2330">
        <w:fldChar w:fldCharType="begin"/>
      </w:r>
      <w:r w:rsidR="004F2330">
        <w:instrText xml:space="preserve"> REF _Ref464808102 \h  \* MERGEFORMAT </w:instrText>
      </w:r>
      <w:r w:rsidR="004F2330">
        <w:fldChar w:fldCharType="separate"/>
      </w:r>
      <w:r w:rsidR="00DA707D">
        <w:t>g</w:t>
      </w:r>
      <w:r w:rsidR="00CB29BD">
        <w:t xml:space="preserve">raf </w:t>
      </w:r>
      <w:r w:rsidR="00CB29BD">
        <w:rPr>
          <w:noProof/>
        </w:rPr>
        <w:t>6</w:t>
      </w:r>
      <w:r w:rsidR="00CB29BD">
        <w:t>.4</w:t>
      </w:r>
      <w:r w:rsidR="004F2330">
        <w:fldChar w:fldCharType="end"/>
      </w:r>
      <w:r>
        <w:t>)</w:t>
      </w:r>
      <w:r w:rsidRPr="00AE46CF">
        <w:t xml:space="preserve">. </w:t>
      </w:r>
    </w:p>
    <w:p w:rsidR="007E563D" w:rsidRPr="00AE46CF" w:rsidRDefault="007E563D" w:rsidP="000B3B9C">
      <w:pPr>
        <w:pStyle w:val="Titulek"/>
      </w:pPr>
      <w:bookmarkStart w:id="129" w:name="_Ref464808102"/>
      <w:bookmarkStart w:id="130" w:name="_Toc310604006"/>
      <w:bookmarkStart w:id="131" w:name="_Toc310604072"/>
      <w:bookmarkStart w:id="132" w:name="_Toc321406377"/>
      <w:bookmarkStart w:id="133" w:name="_Toc488234351"/>
      <w:r>
        <w:lastRenderedPageBreak/>
        <w:t xml:space="preserve">Graf </w:t>
      </w:r>
      <w:r w:rsidR="004F2330">
        <w:fldChar w:fldCharType="begin"/>
      </w:r>
      <w:r w:rsidR="004F2330">
        <w:instrText xml:space="preserve"> STYLEREF 1 \s </w:instrText>
      </w:r>
      <w:r w:rsidR="004F2330">
        <w:fldChar w:fldCharType="separate"/>
      </w:r>
      <w:r w:rsidR="00CB29BD">
        <w:t>6</w:t>
      </w:r>
      <w:r w:rsidR="004F2330">
        <w:fldChar w:fldCharType="end"/>
      </w:r>
      <w:r w:rsidR="00FD378B">
        <w:t>.</w:t>
      </w:r>
      <w:r w:rsidR="004F2330">
        <w:fldChar w:fldCharType="begin"/>
      </w:r>
      <w:r w:rsidR="004F2330">
        <w:instrText xml:space="preserve"> SEQ Graf \* ARABIC \s 1 </w:instrText>
      </w:r>
      <w:r w:rsidR="004F2330">
        <w:fldChar w:fldCharType="separate"/>
      </w:r>
      <w:r w:rsidR="00CB29BD">
        <w:t>4</w:t>
      </w:r>
      <w:r w:rsidR="004F2330">
        <w:fldChar w:fldCharType="end"/>
      </w:r>
      <w:bookmarkEnd w:id="129"/>
      <w:r w:rsidRPr="00AE46CF">
        <w:t>: Podíl zaměstnaných v třídách KZAM 2</w:t>
      </w:r>
      <w:r>
        <w:t xml:space="preserve"> a</w:t>
      </w:r>
      <w:r w:rsidRPr="00AE46CF">
        <w:t xml:space="preserve"> 3 na celkovém počtu zaměstnaných v kraji </w:t>
      </w:r>
      <w:bookmarkEnd w:id="130"/>
      <w:bookmarkEnd w:id="131"/>
      <w:bookmarkEnd w:id="132"/>
      <w:r>
        <w:t>v letech 2004, 2010 a 2015</w:t>
      </w:r>
      <w:bookmarkEnd w:id="133"/>
    </w:p>
    <w:p w:rsidR="007E563D" w:rsidRDefault="007E563D" w:rsidP="002C40B2">
      <w:pPr>
        <w:spacing w:after="120"/>
        <w:rPr>
          <w:sz w:val="18"/>
          <w:szCs w:val="18"/>
        </w:rPr>
      </w:pPr>
      <w:r>
        <w:rPr>
          <w:noProof/>
        </w:rPr>
        <w:drawing>
          <wp:inline distT="0" distB="0" distL="0" distR="0">
            <wp:extent cx="5760720" cy="2900680"/>
            <wp:effectExtent l="0" t="0" r="11430" b="1397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E563D" w:rsidRDefault="007E563D" w:rsidP="002C40B2">
      <w:pPr>
        <w:pStyle w:val="poznzdroj"/>
        <w:spacing w:line="276" w:lineRule="auto"/>
      </w:pPr>
      <w:r w:rsidRPr="00AE46CF">
        <w:t>Zdroj: ČSÚ - VŠPS 2004, 2010</w:t>
      </w:r>
      <w:r>
        <w:t>, 2015</w:t>
      </w:r>
    </w:p>
    <w:p w:rsidR="0082656B" w:rsidRDefault="0082656B" w:rsidP="0082656B">
      <w:r w:rsidRPr="00AE46CF">
        <w:t xml:space="preserve">Mezi roky 2004 a </w:t>
      </w:r>
      <w:r>
        <w:t>2015</w:t>
      </w:r>
      <w:r w:rsidRPr="00AE46CF">
        <w:t xml:space="preserve"> se</w:t>
      </w:r>
      <w:r>
        <w:t xml:space="preserve"> v ČR</w:t>
      </w:r>
      <w:r w:rsidRPr="00AE46CF">
        <w:t xml:space="preserve"> zvýšil počet odborně zaměstnaných v</w:t>
      </w:r>
      <w:r>
        <w:t xml:space="preserve"> třídách </w:t>
      </w:r>
      <w:r w:rsidRPr="00AE46CF">
        <w:t xml:space="preserve">KZAM 2 a 3 celkem </w:t>
      </w:r>
      <w:r>
        <w:br/>
      </w:r>
      <w:r w:rsidRPr="00AE46CF">
        <w:t xml:space="preserve">o </w:t>
      </w:r>
      <w:r>
        <w:t xml:space="preserve"> 147 </w:t>
      </w:r>
      <w:r w:rsidRPr="00AE46CF">
        <w:t xml:space="preserve">tis. </w:t>
      </w:r>
      <w:r>
        <w:t>Nárůst probíhal u všech krajů do roku 2010, poté došlo k poklesu. Jediný kraj, který si zachoval rostoucí trend, byl Jihomoravský kraj. Za celé sledované období došlo dokonce k poklesu celkového počtu zaměstnanců v třídách KZAM 2 a 3 u Karlovarského kraje, Plzeňského kraje a Prahy.</w:t>
      </w:r>
    </w:p>
    <w:p w:rsidR="0082656B" w:rsidRPr="00AE46CF" w:rsidRDefault="0082656B" w:rsidP="0082656B">
      <w:r>
        <w:t>Z porovnání s ostatními dílčími skupinami KZAM vyplývá, že</w:t>
      </w:r>
      <w:r w:rsidRPr="002E3BC9">
        <w:t xml:space="preserve"> </w:t>
      </w:r>
      <w:r w:rsidRPr="00F51B47">
        <w:rPr>
          <w:b/>
        </w:rPr>
        <w:t>Karlovarský kraj měl v roce 2015 nejnižší podíl skupiny KZAM 2 - Vědečtí a odborní duševní pracovníci</w:t>
      </w:r>
      <w:r>
        <w:t xml:space="preserve"> (</w:t>
      </w:r>
      <w:r w:rsidRPr="002E3BC9">
        <w:t>pouze 8,6 %, byť od roku 2010 zaznamenal asi 3% nárůst</w:t>
      </w:r>
      <w:r>
        <w:t>) a n</w:t>
      </w:r>
      <w:r w:rsidRPr="002E3BC9">
        <w:t xml:space="preserve">aproti tomu </w:t>
      </w:r>
      <w:r w:rsidRPr="00F51B47">
        <w:rPr>
          <w:b/>
        </w:rPr>
        <w:t>druhou nejvyšší hodnotu</w:t>
      </w:r>
      <w:r>
        <w:t xml:space="preserve"> (po Plzeňském kraji) </w:t>
      </w:r>
      <w:r w:rsidRPr="002E3BC9">
        <w:t xml:space="preserve">v třídách </w:t>
      </w:r>
      <w:r w:rsidRPr="00F51B47">
        <w:rPr>
          <w:b/>
        </w:rPr>
        <w:t>KZAM 8 – Obsluha strojů a zařízení a KZAM 9 - Pomocní a nekvalifikovaní dělníci</w:t>
      </w:r>
      <w:r>
        <w:t xml:space="preserve"> (</w:t>
      </w:r>
      <w:r w:rsidRPr="002E3BC9">
        <w:t>23,5 % zaměstnanců</w:t>
      </w:r>
      <w:r>
        <w:t>)</w:t>
      </w:r>
      <w:r w:rsidRPr="002E3BC9">
        <w:t xml:space="preserve">, </w:t>
      </w:r>
      <w:r>
        <w:t>k</w:t>
      </w:r>
      <w:r w:rsidRPr="002E3BC9">
        <w:t xml:space="preserve">teré zahrnují zaměstnance vykonávající jednodušší práci s nižšími nároky na kvalifikaci </w:t>
      </w:r>
      <w:r>
        <w:t>(i přes 3% pokles</w:t>
      </w:r>
      <w:r w:rsidRPr="002E3BC9">
        <w:t xml:space="preserve"> oproti roku 2010</w:t>
      </w:r>
      <w:r>
        <w:t>).</w:t>
      </w:r>
    </w:p>
    <w:p w:rsidR="0082656B" w:rsidRPr="00AE46CF" w:rsidRDefault="0082656B" w:rsidP="0082656B">
      <w:r w:rsidRPr="00AE46CF">
        <w:t xml:space="preserve">Můžeme tedy říci, že nová kvalitativně i kvalifikačně náročná zaměstnanost se výrazně koncentruje do úspěšnějších a ekonomicky výkonnějších regionů. </w:t>
      </w:r>
      <w:r w:rsidRPr="00AE46CF">
        <w:rPr>
          <w:b/>
        </w:rPr>
        <w:t>Podle ukazatelů kvalifikace pracovních sil a kvalitativní náročnosti zaměstnanosti se tak pozice Karlovarského kraje vzhledem k ostatním krajům Č</w:t>
      </w:r>
      <w:r>
        <w:rPr>
          <w:b/>
        </w:rPr>
        <w:t>R</w:t>
      </w:r>
      <w:r w:rsidRPr="00AE46CF">
        <w:rPr>
          <w:b/>
        </w:rPr>
        <w:t xml:space="preserve"> spíše zhoršuje</w:t>
      </w:r>
      <w:r w:rsidRPr="00AE46CF">
        <w:t>. Možným pozitivním signálem je skutečnost, že podíl odborné zaměstnanosti v kraji roste nepatrně vyšším tempem než podíl VŠ zaměstnanosti, a tudíž zde existuje určitý růst poptávky po vzdělané pracovní síle, byť tento růst je v porovnání s ostatními regiony Č</w:t>
      </w:r>
      <w:r>
        <w:t>R</w:t>
      </w:r>
      <w:r w:rsidRPr="00AE46CF">
        <w:t xml:space="preserve"> velmi pomalý. Pokud se však nezačne zvyšovat úroveň VŠ zaměstnanosti může to pro kraj znamenat omezení v rozvoji znalostně založené konkurenceschopnosti, neboť pro odborná pracovní místa nebude dostatek kvalifikované pracovní síly.</w:t>
      </w:r>
    </w:p>
    <w:p w:rsidR="0082656B" w:rsidRPr="00534316" w:rsidRDefault="0082656B" w:rsidP="0082656B">
      <w:r w:rsidRPr="00AE46CF">
        <w:t xml:space="preserve">Úroveň vstupů do inovačního systému v Karlovarském kraji je tedy dle předchozí analýzy velmi nízká (měřeno výdaji na VaV, počty zaměstnaných v sektoru VaV a kvalitativně a kvalifikačně náročné zaměstnanosti). Pokud neexistují dostatečné vstupy do regionálního inovačního systému, není možné očekávat adekvátní výstupy a další rozvoj znalostně náročné regionální ekonomiky. Nízkou úroveň </w:t>
      </w:r>
      <w:r w:rsidRPr="00AE46CF">
        <w:lastRenderedPageBreak/>
        <w:t>vstupů do inovačního systému kraje nejvíce negativně ovlivňuje neexistence vysoké školy univerzitního typu či vědecko-výzkumného ústavu a také samotná povaha ekonomických aktivit v</w:t>
      </w:r>
      <w:r>
        <w:t> </w:t>
      </w:r>
      <w:r w:rsidRPr="00AE46CF">
        <w:t xml:space="preserve">regionu. I když geografická blízkost </w:t>
      </w:r>
      <w:r w:rsidRPr="00534316">
        <w:rPr>
          <w:rStyle w:val="Siln"/>
          <w:rFonts w:eastAsiaTheme="majorEastAsia"/>
          <w:b w:val="0"/>
          <w:bCs/>
        </w:rPr>
        <w:t xml:space="preserve">není při přenosu poznatků VaV do praxe bezpodmínečně nutná, absence výše zmíněných institucí v kraji ztěžuje přenos poznatků, nových technologií a know-how z výzkumu a vývoje do výrobní praxe. </w:t>
      </w:r>
      <w:r w:rsidRPr="00534316">
        <w:t xml:space="preserve">Veškerá odpovědnost </w:t>
      </w:r>
      <w:r>
        <w:t>z</w:t>
      </w:r>
      <w:r w:rsidRPr="00534316">
        <w:t>a výdaje a aktivity v oblasti VaV tak leží na podnikovém sektoru. Ten však kvůli strukturálním problémům ekonomiky, povaze výroby, stupni zapojení v globálních hodnotových řetězcích i nedostatku kvalifikované pracovní síly nestimuluje dostatečně potřebu větších výdajů do výzkumu a vývoje.</w:t>
      </w:r>
    </w:p>
    <w:p w:rsidR="0082656B" w:rsidRPr="00B35232" w:rsidRDefault="0082656B" w:rsidP="0082656B">
      <w:pPr>
        <w:pStyle w:val="Nadpis2"/>
      </w:pPr>
      <w:r w:rsidRPr="00B35232">
        <w:t>Inovační systém – výstupy</w:t>
      </w:r>
    </w:p>
    <w:p w:rsidR="0082656B" w:rsidRPr="00AE46CF" w:rsidRDefault="0082656B" w:rsidP="0082656B">
      <w:r w:rsidRPr="00AE46CF">
        <w:t xml:space="preserve">Způsobů jak objektivně měřit inovační výstupy není mnoho. Jedním z možných ukazatelů jsou formy jejich ochrany – tedy patentové přihlášky. Patenty národních přihlašovatelů jsou statistikou sledovány a je možné analyzovat i jejich regionální členění. </w:t>
      </w:r>
    </w:p>
    <w:p w:rsidR="0082656B" w:rsidRPr="00AE46CF" w:rsidRDefault="0082656B" w:rsidP="0082656B">
      <w:r w:rsidRPr="00AE46CF">
        <w:t>Informace o strategické ochraně výsledků znalostních aktivit (patentech)</w:t>
      </w:r>
      <w:r>
        <w:t xml:space="preserve"> však</w:t>
      </w:r>
      <w:r w:rsidRPr="00AE46CF">
        <w:t xml:space="preserve"> skýtají určité metod</w:t>
      </w:r>
      <w:r>
        <w:t>olog</w:t>
      </w:r>
      <w:r w:rsidRPr="00AE46CF">
        <w:t>ické problémy. Především není možné pomocí běžné statistiky sledovat jejich skutečný ekonomický přínos pro danou firmu či instituci a jejich využití v praxi. Některé z nich nemusí mít přitom téměř žádný efekt pro regionální ekonomiku, naopak některé inovace či technická vylepšení nemusí být patentována a jejich přínos pro ekonomiku je nesrovnatelně větší. Porovnatelnost ztěžují i značné odvětvové rozdíly ve využívání patentů jako ochrany výstupů znalostních aktivit</w:t>
      </w:r>
      <w:r>
        <w:t xml:space="preserve"> (n</w:t>
      </w:r>
      <w:r w:rsidRPr="00AE46CF">
        <w:t>apř. v IT oblasti je využívání patentů málo používanou formou ochrany</w:t>
      </w:r>
      <w:r>
        <w:t>)</w:t>
      </w:r>
      <w:r w:rsidRPr="00AE46CF">
        <w:t>. I přesto je možné na základě dostupných dat o patentových přihláškách usuzovat o inovačních výstupech v</w:t>
      </w:r>
      <w:r>
        <w:t xml:space="preserve"> jednotlivých </w:t>
      </w:r>
      <w:r w:rsidRPr="00AE46CF">
        <w:t xml:space="preserve">regionech. </w:t>
      </w:r>
    </w:p>
    <w:p w:rsidR="007E563D" w:rsidRDefault="007E563D" w:rsidP="000B3B9C">
      <w:pPr>
        <w:pStyle w:val="Titulek"/>
      </w:pPr>
      <w:bookmarkStart w:id="134" w:name="_Ref464829321"/>
      <w:bookmarkStart w:id="135" w:name="_Toc488233479"/>
      <w:bookmarkStart w:id="136" w:name="_Toc310604007"/>
      <w:bookmarkStart w:id="137" w:name="_Toc310604073"/>
      <w:bookmarkStart w:id="138" w:name="_Toc321406378"/>
      <w:r>
        <w:t xml:space="preserve">Tabulka </w:t>
      </w:r>
      <w:r w:rsidR="008965FE">
        <w:fldChar w:fldCharType="begin"/>
      </w:r>
      <w:r w:rsidR="00B33DFE">
        <w:instrText xml:space="preserve"> STYLEREF 1 \s </w:instrText>
      </w:r>
      <w:r w:rsidR="008965FE">
        <w:fldChar w:fldCharType="separate"/>
      </w:r>
      <w:r w:rsidR="00CB29BD">
        <w:t>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134"/>
      <w:r>
        <w:t>: Patentové přihlášky krajů</w:t>
      </w:r>
      <w:r w:rsidRPr="00AE46CF">
        <w:t xml:space="preserve"> </w:t>
      </w:r>
      <w:r>
        <w:t>v letech 2010 - 2014 a podle typu přihlašovatele v roce 2014</w:t>
      </w:r>
      <w:bookmarkEnd w:id="135"/>
    </w:p>
    <w:tbl>
      <w:tblPr>
        <w:tblW w:w="9225" w:type="dxa"/>
        <w:tblLayout w:type="fixed"/>
        <w:tblCellMar>
          <w:left w:w="70" w:type="dxa"/>
          <w:right w:w="70" w:type="dxa"/>
        </w:tblCellMar>
        <w:tblLook w:val="04A0" w:firstRow="1" w:lastRow="0" w:firstColumn="1" w:lastColumn="0" w:noHBand="0" w:noVBand="1"/>
      </w:tblPr>
      <w:tblGrid>
        <w:gridCol w:w="1560"/>
        <w:gridCol w:w="1181"/>
        <w:gridCol w:w="1181"/>
        <w:gridCol w:w="1176"/>
        <w:gridCol w:w="1024"/>
        <w:gridCol w:w="983"/>
        <w:gridCol w:w="960"/>
        <w:gridCol w:w="1160"/>
      </w:tblGrid>
      <w:tr w:rsidR="007E563D" w:rsidRPr="00B35232" w:rsidTr="002C40B2">
        <w:trPr>
          <w:trHeight w:val="25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63D" w:rsidRPr="00B35232" w:rsidRDefault="004E4996" w:rsidP="002C40B2">
            <w:pPr>
              <w:spacing w:after="0"/>
              <w:jc w:val="center"/>
              <w:rPr>
                <w:rFonts w:asciiTheme="minorHAnsi" w:hAnsiTheme="minorHAnsi" w:cs="Arial"/>
                <w:b/>
                <w:bCs/>
                <w:sz w:val="20"/>
                <w:szCs w:val="20"/>
              </w:rPr>
            </w:pPr>
            <w:r>
              <w:rPr>
                <w:rFonts w:asciiTheme="minorHAnsi" w:hAnsiTheme="minorHAnsi" w:cs="Arial"/>
                <w:b/>
                <w:bCs/>
                <w:sz w:val="20"/>
                <w:szCs w:val="20"/>
              </w:rPr>
              <w:t>ČR, k</w:t>
            </w:r>
            <w:r w:rsidRPr="00DB648E">
              <w:rPr>
                <w:rFonts w:asciiTheme="minorHAnsi" w:hAnsiTheme="minorHAnsi" w:cs="Arial"/>
                <w:b/>
                <w:bCs/>
                <w:sz w:val="20"/>
                <w:szCs w:val="20"/>
              </w:rPr>
              <w:t>raje</w:t>
            </w:r>
          </w:p>
        </w:tc>
        <w:tc>
          <w:tcPr>
            <w:tcW w:w="11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 xml:space="preserve">Počet podaných patentových přihlášek </w:t>
            </w:r>
            <w:r w:rsidRPr="00B35232">
              <w:rPr>
                <w:rFonts w:asciiTheme="minorHAnsi" w:hAnsiTheme="minorHAnsi" w:cs="Arial"/>
                <w:b/>
                <w:bCs/>
                <w:sz w:val="20"/>
                <w:szCs w:val="20"/>
              </w:rPr>
              <w:br/>
              <w:t>v r. 2014</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Počet podaných patentových přihlášek 2010 - 2014</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Podíl kraje na počtu přihlášek 2010 - 2014</w:t>
            </w:r>
          </w:p>
        </w:tc>
        <w:tc>
          <w:tcPr>
            <w:tcW w:w="4127" w:type="dxa"/>
            <w:gridSpan w:val="4"/>
            <w:tcBorders>
              <w:top w:val="single" w:sz="4" w:space="0" w:color="auto"/>
              <w:left w:val="nil"/>
              <w:bottom w:val="single" w:sz="4" w:space="0" w:color="auto"/>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 xml:space="preserve">Podíl podle typu přihlašovatele v roce 2014 </w:t>
            </w:r>
            <w:r w:rsidRPr="00B35232">
              <w:rPr>
                <w:rFonts w:asciiTheme="minorHAnsi" w:hAnsiTheme="minorHAnsi" w:cs="Arial"/>
                <w:b/>
                <w:bCs/>
                <w:sz w:val="20"/>
                <w:szCs w:val="20"/>
              </w:rPr>
              <w:br/>
              <w:t>(v %)</w:t>
            </w:r>
          </w:p>
        </w:tc>
      </w:tr>
      <w:tr w:rsidR="007E563D" w:rsidRPr="00B35232" w:rsidTr="002C40B2">
        <w:trPr>
          <w:trHeight w:val="917"/>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7E563D" w:rsidRPr="00B35232" w:rsidRDefault="007E563D" w:rsidP="002C40B2">
            <w:pPr>
              <w:spacing w:after="0"/>
              <w:jc w:val="center"/>
              <w:rPr>
                <w:rFonts w:asciiTheme="minorHAnsi" w:hAnsiTheme="minorHAnsi" w:cs="Arial"/>
                <w:b/>
                <w:bCs/>
                <w:sz w:val="20"/>
                <w:szCs w:val="20"/>
              </w:rPr>
            </w:pPr>
          </w:p>
        </w:tc>
        <w:tc>
          <w:tcPr>
            <w:tcW w:w="1181" w:type="dxa"/>
            <w:vMerge/>
            <w:tcBorders>
              <w:top w:val="single" w:sz="4" w:space="0" w:color="auto"/>
              <w:left w:val="single" w:sz="4" w:space="0" w:color="auto"/>
              <w:bottom w:val="single" w:sz="4" w:space="0" w:color="000000"/>
              <w:right w:val="single" w:sz="4" w:space="0" w:color="auto"/>
            </w:tcBorders>
            <w:vAlign w:val="center"/>
            <w:hideMark/>
          </w:tcPr>
          <w:p w:rsidR="007E563D" w:rsidRPr="00B35232" w:rsidRDefault="007E563D" w:rsidP="002C40B2">
            <w:pPr>
              <w:spacing w:after="0"/>
              <w:jc w:val="center"/>
              <w:rPr>
                <w:rFonts w:asciiTheme="minorHAnsi" w:hAnsiTheme="minorHAnsi" w:cs="Arial"/>
                <w:b/>
                <w:bCs/>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7E563D" w:rsidRPr="00B35232" w:rsidRDefault="007E563D" w:rsidP="002C40B2">
            <w:pPr>
              <w:spacing w:after="0"/>
              <w:jc w:val="center"/>
              <w:rPr>
                <w:rFonts w:asciiTheme="minorHAnsi" w:hAnsiTheme="minorHAnsi" w:cs="Arial"/>
                <w:b/>
                <w:bCs/>
                <w:sz w:val="20"/>
                <w:szCs w:val="2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7E563D" w:rsidRPr="00B35232" w:rsidRDefault="007E563D" w:rsidP="002C40B2">
            <w:pPr>
              <w:spacing w:after="0"/>
              <w:jc w:val="center"/>
              <w:rPr>
                <w:rFonts w:asciiTheme="minorHAnsi" w:hAnsiTheme="minorHAnsi" w:cs="Arial"/>
                <w:b/>
                <w:bCs/>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soukromé podniky</w:t>
            </w:r>
          </w:p>
        </w:tc>
        <w:tc>
          <w:tcPr>
            <w:tcW w:w="983" w:type="dxa"/>
            <w:tcBorders>
              <w:top w:val="nil"/>
              <w:left w:val="nil"/>
              <w:bottom w:val="single" w:sz="4" w:space="0" w:color="auto"/>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veřejné výzkumné instituce</w:t>
            </w:r>
          </w:p>
        </w:tc>
        <w:tc>
          <w:tcPr>
            <w:tcW w:w="960" w:type="dxa"/>
            <w:tcBorders>
              <w:top w:val="nil"/>
              <w:left w:val="nil"/>
              <w:bottom w:val="single" w:sz="4" w:space="0" w:color="auto"/>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veřejné vysoké</w:t>
            </w:r>
            <w:r w:rsidRPr="00B35232">
              <w:rPr>
                <w:rFonts w:asciiTheme="minorHAnsi" w:hAnsiTheme="minorHAnsi" w:cs="Arial"/>
                <w:b/>
                <w:bCs/>
                <w:sz w:val="20"/>
                <w:szCs w:val="20"/>
              </w:rPr>
              <w:br/>
              <w:t>školy</w:t>
            </w:r>
          </w:p>
        </w:tc>
        <w:tc>
          <w:tcPr>
            <w:tcW w:w="1160" w:type="dxa"/>
            <w:tcBorders>
              <w:top w:val="nil"/>
              <w:left w:val="nil"/>
              <w:bottom w:val="single" w:sz="4" w:space="0" w:color="auto"/>
              <w:right w:val="single" w:sz="4" w:space="0" w:color="auto"/>
            </w:tcBorders>
            <w:shd w:val="clear" w:color="auto" w:fill="auto"/>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soukromé</w:t>
            </w:r>
            <w:r w:rsidRPr="00B35232">
              <w:rPr>
                <w:rFonts w:asciiTheme="minorHAnsi" w:hAnsiTheme="minorHAnsi" w:cs="Arial"/>
                <w:b/>
                <w:bCs/>
                <w:sz w:val="20"/>
                <w:szCs w:val="20"/>
              </w:rPr>
              <w:br/>
              <w:t>osoby</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Hl. m. Praha</w:t>
            </w:r>
          </w:p>
        </w:tc>
        <w:tc>
          <w:tcPr>
            <w:tcW w:w="1181" w:type="dxa"/>
            <w:tcBorders>
              <w:top w:val="nil"/>
              <w:left w:val="nil"/>
              <w:bottom w:val="single" w:sz="4" w:space="0" w:color="auto"/>
              <w:right w:val="single" w:sz="4" w:space="0" w:color="auto"/>
            </w:tcBorders>
            <w:shd w:val="clear" w:color="auto" w:fill="auto"/>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302</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1 501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34,1</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28,8</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18,7</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27,4</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25,1</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Jihomoravský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118</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555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12,6</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25,2</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7,3</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45,7</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21,8</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Moravskoslezský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93</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457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10,4</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41,3</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40,7</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17,0</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Středočeský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78</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393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8,9</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64,8</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4,1</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28,6</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Liberecký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54</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266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6,0</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42,3</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52,2</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5,6</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Pardubický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42</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209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4,8</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58,9</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21,5</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19,7</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Královéhradecký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36</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202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4,6</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65,6</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6,8</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27,6</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Zlínský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35</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196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4,5</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37,4</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30,6</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32,0</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Plzeňský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35</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150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3,4</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38,1</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19,0</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42,9</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Jihočeský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36</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132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3,0</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26,8</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5,6</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11,3</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56,3</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Olomoucký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33</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127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2,9</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34,8</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36,4</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28,8</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Ústecký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30</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117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2,7</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61,2</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8,4</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30,4</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sz w:val="20"/>
                <w:szCs w:val="20"/>
              </w:rPr>
            </w:pPr>
            <w:r w:rsidRPr="00B35232">
              <w:rPr>
                <w:rFonts w:asciiTheme="minorHAnsi" w:hAnsiTheme="minorHAnsi" w:cs="Arial"/>
                <w:sz w:val="20"/>
                <w:szCs w:val="20"/>
              </w:rPr>
              <w:t>Vysočina</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10</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 xml:space="preserve">71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1,6</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73,7</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0,0</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sz w:val="20"/>
                <w:szCs w:val="20"/>
              </w:rPr>
            </w:pPr>
            <w:r w:rsidRPr="00B35232">
              <w:rPr>
                <w:rFonts w:asciiTheme="minorHAnsi" w:hAnsiTheme="minorHAnsi" w:cs="Arial"/>
                <w:sz w:val="20"/>
                <w:szCs w:val="20"/>
              </w:rPr>
              <w:t>26,3</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b/>
                <w:bCs/>
                <w:sz w:val="20"/>
                <w:szCs w:val="20"/>
              </w:rPr>
            </w:pPr>
            <w:r w:rsidRPr="00B35232">
              <w:rPr>
                <w:rFonts w:asciiTheme="minorHAnsi" w:hAnsiTheme="minorHAnsi" w:cs="Arial"/>
                <w:b/>
                <w:bCs/>
                <w:sz w:val="20"/>
                <w:szCs w:val="20"/>
              </w:rPr>
              <w:t>Karlovarský</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6</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 xml:space="preserve">32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0,7</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54,5</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0,0</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0,0</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45,5</w:t>
            </w:r>
          </w:p>
        </w:tc>
      </w:tr>
      <w:tr w:rsidR="007E563D" w:rsidRPr="00B35232" w:rsidTr="002A1FD6">
        <w:trPr>
          <w:trHeight w:val="255"/>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7E563D" w:rsidRPr="00B35232" w:rsidRDefault="007E563D" w:rsidP="002C40B2">
            <w:pPr>
              <w:spacing w:after="0"/>
              <w:jc w:val="left"/>
              <w:rPr>
                <w:rFonts w:asciiTheme="minorHAnsi" w:hAnsiTheme="minorHAnsi" w:cs="Arial"/>
                <w:b/>
                <w:bCs/>
                <w:sz w:val="20"/>
                <w:szCs w:val="20"/>
              </w:rPr>
            </w:pPr>
            <w:r w:rsidRPr="00B35232">
              <w:rPr>
                <w:rFonts w:asciiTheme="minorHAnsi" w:hAnsiTheme="minorHAnsi" w:cs="Arial"/>
                <w:b/>
                <w:bCs/>
                <w:sz w:val="20"/>
                <w:szCs w:val="20"/>
              </w:rPr>
              <w:t>ČR</w:t>
            </w:r>
          </w:p>
        </w:tc>
        <w:tc>
          <w:tcPr>
            <w:tcW w:w="1181"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906</w:t>
            </w:r>
          </w:p>
        </w:tc>
        <w:tc>
          <w:tcPr>
            <w:tcW w:w="1181" w:type="dxa"/>
            <w:tcBorders>
              <w:top w:val="nil"/>
              <w:left w:val="nil"/>
              <w:bottom w:val="single" w:sz="4" w:space="0" w:color="auto"/>
              <w:right w:val="single" w:sz="4" w:space="0" w:color="auto"/>
            </w:tcBorders>
            <w:shd w:val="clear" w:color="auto" w:fill="auto"/>
            <w:noWrap/>
            <w:vAlign w:val="center"/>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 xml:space="preserve">4 408 </w:t>
            </w:r>
          </w:p>
        </w:tc>
        <w:tc>
          <w:tcPr>
            <w:tcW w:w="1176"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100,0</w:t>
            </w:r>
          </w:p>
        </w:tc>
        <w:tc>
          <w:tcPr>
            <w:tcW w:w="1024"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38,7</w:t>
            </w:r>
          </w:p>
        </w:tc>
        <w:tc>
          <w:tcPr>
            <w:tcW w:w="983"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7,8</w:t>
            </w:r>
          </w:p>
        </w:tc>
        <w:tc>
          <w:tcPr>
            <w:tcW w:w="9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28,2</w:t>
            </w:r>
          </w:p>
        </w:tc>
        <w:tc>
          <w:tcPr>
            <w:tcW w:w="1160" w:type="dxa"/>
            <w:tcBorders>
              <w:top w:val="nil"/>
              <w:left w:val="nil"/>
              <w:bottom w:val="single" w:sz="4" w:space="0" w:color="auto"/>
              <w:right w:val="single" w:sz="4" w:space="0" w:color="auto"/>
            </w:tcBorders>
            <w:shd w:val="clear" w:color="auto" w:fill="auto"/>
            <w:noWrap/>
            <w:vAlign w:val="bottom"/>
            <w:hideMark/>
          </w:tcPr>
          <w:p w:rsidR="007E563D" w:rsidRPr="00B35232" w:rsidRDefault="007E563D" w:rsidP="002C40B2">
            <w:pPr>
              <w:spacing w:after="0"/>
              <w:jc w:val="center"/>
              <w:rPr>
                <w:rFonts w:asciiTheme="minorHAnsi" w:hAnsiTheme="minorHAnsi" w:cs="Arial"/>
                <w:b/>
                <w:bCs/>
                <w:sz w:val="20"/>
                <w:szCs w:val="20"/>
              </w:rPr>
            </w:pPr>
            <w:r w:rsidRPr="00B35232">
              <w:rPr>
                <w:rFonts w:asciiTheme="minorHAnsi" w:hAnsiTheme="minorHAnsi" w:cs="Arial"/>
                <w:b/>
                <w:bCs/>
                <w:sz w:val="20"/>
                <w:szCs w:val="20"/>
              </w:rPr>
              <w:t>25,3</w:t>
            </w:r>
          </w:p>
        </w:tc>
      </w:tr>
    </w:tbl>
    <w:bookmarkEnd w:id="136"/>
    <w:bookmarkEnd w:id="137"/>
    <w:bookmarkEnd w:id="138"/>
    <w:p w:rsidR="007E563D" w:rsidRDefault="007E563D" w:rsidP="002C40B2">
      <w:pPr>
        <w:pStyle w:val="poznzdroj"/>
        <w:spacing w:line="276" w:lineRule="auto"/>
      </w:pPr>
      <w:r w:rsidRPr="008750EA">
        <w:t xml:space="preserve">Zdroj: </w:t>
      </w:r>
      <w:r>
        <w:t>ČSÚ – Srovnání krajů v České republice - 2015, Věda a výzkum, vlastní vý</w:t>
      </w:r>
      <w:r w:rsidRPr="008750EA">
        <w:t xml:space="preserve">počty </w:t>
      </w:r>
    </w:p>
    <w:p w:rsidR="0082656B" w:rsidRDefault="0082656B" w:rsidP="0082656B">
      <w:r w:rsidRPr="00AE46CF">
        <w:lastRenderedPageBreak/>
        <w:t>Většina patentových přihlášek je</w:t>
      </w:r>
      <w:r>
        <w:t>,</w:t>
      </w:r>
      <w:r w:rsidRPr="00AE46CF">
        <w:t xml:space="preserve"> obdobně jako tomu bylo u výdajů na VaV</w:t>
      </w:r>
      <w:r>
        <w:t>,</w:t>
      </w:r>
      <w:r w:rsidRPr="00AE46CF">
        <w:t xml:space="preserve"> koncentrována do Prahy, Jihomoravského</w:t>
      </w:r>
      <w:r>
        <w:t>, Moravskoslezského</w:t>
      </w:r>
      <w:r w:rsidRPr="00AE46CF">
        <w:t xml:space="preserve"> a Středočeského kraje (dohromady </w:t>
      </w:r>
      <w:r>
        <w:t>téměř</w:t>
      </w:r>
      <w:r w:rsidRPr="00AE46CF">
        <w:t xml:space="preserve"> </w:t>
      </w:r>
      <w:r>
        <w:t>66</w:t>
      </w:r>
      <w:r w:rsidRPr="00AE46CF">
        <w:t xml:space="preserve"> % všech patentů v Č</w:t>
      </w:r>
      <w:r>
        <w:t>R</w:t>
      </w:r>
      <w:r w:rsidRPr="00AE46CF">
        <w:t xml:space="preserve">). Pozice Karlovarského kraje není vůbec příznivá, neboť firmy a </w:t>
      </w:r>
      <w:r>
        <w:t xml:space="preserve">instituce zde sídlící podaly za sledované období </w:t>
      </w:r>
      <w:r w:rsidRPr="00AE46CF">
        <w:t xml:space="preserve">pouze </w:t>
      </w:r>
      <w:r>
        <w:t xml:space="preserve">32 </w:t>
      </w:r>
      <w:r w:rsidRPr="00AE46CF">
        <w:t xml:space="preserve">patentových přihlášek z celkového počtu přesahující </w:t>
      </w:r>
      <w:r>
        <w:t>4</w:t>
      </w:r>
      <w:r w:rsidRPr="00AE46CF">
        <w:t>,</w:t>
      </w:r>
      <w:r>
        <w:t>4</w:t>
      </w:r>
      <w:r w:rsidRPr="00AE46CF">
        <w:t xml:space="preserve"> tis. To představuje pouze </w:t>
      </w:r>
      <w:r w:rsidRPr="00835607">
        <w:rPr>
          <w:b/>
        </w:rPr>
        <w:t>0,7% podíl na patentových přihláškách v ČR</w:t>
      </w:r>
      <w:r w:rsidRPr="00AE46CF">
        <w:t xml:space="preserve"> a v porovnání s ostatními kraji jednoznačně </w:t>
      </w:r>
      <w:r w:rsidRPr="00835607">
        <w:rPr>
          <w:b/>
        </w:rPr>
        <w:t>nejhorší výsledek</w:t>
      </w:r>
      <w:r w:rsidRPr="00AE46CF">
        <w:t xml:space="preserve">. </w:t>
      </w:r>
      <w:r w:rsidRPr="00835607">
        <w:t>Karlovarský kraj tak obdobně jako u inovačních vstupů výrazně ztrácí na předposlední kraj v pořadí, což je v tomto případě Vysočina</w:t>
      </w:r>
      <w:r w:rsidRPr="00F07C87">
        <w:t xml:space="preserve">. </w:t>
      </w:r>
      <w:r w:rsidRPr="00835607">
        <w:t xml:space="preserve">Úroveň výstupů inovačního systému (měřeno patenty) je v Karlovarském kraji </w:t>
      </w:r>
      <w:r>
        <w:t xml:space="preserve">oproti Vysočině více než </w:t>
      </w:r>
      <w:r w:rsidRPr="00835607">
        <w:t>2krát nižší</w:t>
      </w:r>
      <w:r>
        <w:t>.</w:t>
      </w:r>
      <w:r w:rsidRPr="00AE46CF">
        <w:t xml:space="preserve"> To je značný rozdíl zejména pokud vezmeme v potaz, že Vysočina</w:t>
      </w:r>
      <w:r w:rsidRPr="00823D6D">
        <w:t xml:space="preserve"> </w:t>
      </w:r>
      <w:r>
        <w:t>je</w:t>
      </w:r>
      <w:r w:rsidRPr="00835607">
        <w:t> obdobně velk</w:t>
      </w:r>
      <w:r>
        <w:t>ý</w:t>
      </w:r>
      <w:r w:rsidRPr="00835607">
        <w:t xml:space="preserve"> kraj</w:t>
      </w:r>
      <w:r>
        <w:t>, ve kterém</w:t>
      </w:r>
      <w:r w:rsidRPr="00AE46CF">
        <w:t xml:space="preserve"> také nejsou univerzity či větší počet výzkumných institucí, které by tyto výstupy mohly generovat. </w:t>
      </w:r>
      <w:r w:rsidRPr="00F07C87">
        <w:t>Inovační potenciál těchto dvou krajů výrazně odlišuje pouze větší podíl zpracovatelského průmyslu</w:t>
      </w:r>
      <w:r>
        <w:t xml:space="preserve"> na Vysočině. </w:t>
      </w:r>
      <w:r w:rsidRPr="00AE46CF">
        <w:t>Právě odvětví zpracovatelského průmyslu je podle řady empirických studií největším generátorem technických inovací a jeho malý podíl v ekonomice Karlovarského kraje tak ještě více zhoršuje pozici regionu v hodnocení patentů a inovací.</w:t>
      </w:r>
    </w:p>
    <w:p w:rsidR="0082656B" w:rsidRPr="00AE46CF" w:rsidRDefault="0082656B" w:rsidP="0082656B">
      <w:r w:rsidRPr="00037D89">
        <w:t>Největší p</w:t>
      </w:r>
      <w:r w:rsidRPr="004323F9">
        <w:t xml:space="preserve">odíl </w:t>
      </w:r>
      <w:r w:rsidRPr="00037D89">
        <w:t xml:space="preserve">patentových přihlášek v ČR </w:t>
      </w:r>
      <w:r>
        <w:t xml:space="preserve">podaly v roce 2014 </w:t>
      </w:r>
      <w:r w:rsidRPr="00037D89">
        <w:t>soukromé podniky (</w:t>
      </w:r>
      <w:r w:rsidRPr="004323F9">
        <w:t>38,7</w:t>
      </w:r>
      <w:r w:rsidRPr="00037D89">
        <w:t xml:space="preserve"> %) a veřejné vysoké školy (</w:t>
      </w:r>
      <w:r w:rsidRPr="004323F9">
        <w:t>28,2</w:t>
      </w:r>
      <w:r w:rsidRPr="00037D89">
        <w:t xml:space="preserve"> %)</w:t>
      </w:r>
      <w:r>
        <w:t>. Opačný poměr zaznamenaly kraje Jihomoravský, Liberecký a Olomoucký. Tím, že v Karlovarském k</w:t>
      </w:r>
      <w:r w:rsidR="008E6C54">
        <w:t>r</w:t>
      </w:r>
      <w:r>
        <w:t xml:space="preserve">aji nepůsobí žádná vysoká škola ani veřejná výzkumná instituce, předložilo zde patentovou přihlášku o něco více soukromých podniků než soukromých osob. </w:t>
      </w:r>
    </w:p>
    <w:p w:rsidR="0082656B" w:rsidRDefault="0082656B" w:rsidP="0082656B">
      <w:r w:rsidRPr="00AE46CF">
        <w:t xml:space="preserve">Obecně platí, že příznivý podíl na počtech patentů se promítá do ekonomické úspěšnosti kraje (samozřejmě s přihlédnutím k výše zmíněným omezením vypovídací schopnosti ukazatele). Větší počet přihlášených patentů také pochází z krajů, v jejichž ekonomice hraje velkou roli zpracovatelský průmysl (s výjimkou Prahy), což potvrzuje dominantní roli tohoto odvětví ekonomiky především ve tvorbě technických inovací. Dokládá to </w:t>
      </w:r>
      <w:r>
        <w:t xml:space="preserve">i </w:t>
      </w:r>
      <w:r w:rsidRPr="00AE46CF">
        <w:t>poměrně špatné postavení krajů s málo rozvinu</w:t>
      </w:r>
      <w:r>
        <w:t>tým zpracovatelským průmyslem (</w:t>
      </w:r>
      <w:r w:rsidRPr="00AE46CF">
        <w:t>např. Ústeck</w:t>
      </w:r>
      <w:r>
        <w:t>ého</w:t>
      </w:r>
      <w:r w:rsidRPr="00AE46CF">
        <w:t>, Olomouck</w:t>
      </w:r>
      <w:r>
        <w:t>ého a Karlovarského</w:t>
      </w:r>
      <w:r w:rsidRPr="00AE46CF">
        <w:t xml:space="preserve"> kraj</w:t>
      </w:r>
      <w:r>
        <w:t>e)</w:t>
      </w:r>
      <w:r w:rsidRPr="00AE46CF">
        <w:t xml:space="preserve">. </w:t>
      </w:r>
    </w:p>
    <w:p w:rsidR="007E563D" w:rsidRDefault="007E563D" w:rsidP="000B3B9C">
      <w:pPr>
        <w:pStyle w:val="Titulek"/>
      </w:pPr>
      <w:bookmarkStart w:id="139" w:name="_Ref464481546"/>
      <w:bookmarkStart w:id="140" w:name="_Toc488233480"/>
      <w:bookmarkStart w:id="141" w:name="_Toc310604008"/>
      <w:bookmarkStart w:id="142" w:name="_Toc310604074"/>
      <w:bookmarkStart w:id="143" w:name="_Toc321406379"/>
      <w:r>
        <w:t xml:space="preserve">Tabulka </w:t>
      </w:r>
      <w:r w:rsidR="008965FE">
        <w:fldChar w:fldCharType="begin"/>
      </w:r>
      <w:r w:rsidR="00B33DFE">
        <w:instrText xml:space="preserve"> STYLEREF 1 \s </w:instrText>
      </w:r>
      <w:r w:rsidR="008965FE">
        <w:fldChar w:fldCharType="separate"/>
      </w:r>
      <w:r w:rsidR="00CB29BD">
        <w:t>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139"/>
      <w:r>
        <w:t>: Náklady na technické inovace, tržby za inovované produkty a intenzita technických inovací v krajích v roce 2014</w:t>
      </w:r>
      <w:bookmarkEnd w:id="140"/>
    </w:p>
    <w:tbl>
      <w:tblPr>
        <w:tblW w:w="5000" w:type="pct"/>
        <w:tblCellMar>
          <w:left w:w="70" w:type="dxa"/>
          <w:right w:w="70" w:type="dxa"/>
        </w:tblCellMar>
        <w:tblLook w:val="04A0" w:firstRow="1" w:lastRow="0" w:firstColumn="1" w:lastColumn="0" w:noHBand="0" w:noVBand="1"/>
      </w:tblPr>
      <w:tblGrid>
        <w:gridCol w:w="1536"/>
        <w:gridCol w:w="2063"/>
        <w:gridCol w:w="1065"/>
        <w:gridCol w:w="1815"/>
        <w:gridCol w:w="1441"/>
        <w:gridCol w:w="1292"/>
      </w:tblGrid>
      <w:tr w:rsidR="007E563D" w:rsidRPr="00DB648E" w:rsidTr="002C40B2">
        <w:trPr>
          <w:trHeight w:val="281"/>
          <w:tblHeader/>
        </w:trPr>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63D" w:rsidRPr="00DB648E" w:rsidRDefault="004E4996" w:rsidP="0082656B">
            <w:pPr>
              <w:spacing w:after="0"/>
              <w:jc w:val="left"/>
              <w:rPr>
                <w:rFonts w:asciiTheme="minorHAnsi" w:hAnsiTheme="minorHAnsi" w:cs="Arial"/>
                <w:b/>
                <w:bCs/>
                <w:sz w:val="20"/>
                <w:szCs w:val="20"/>
              </w:rPr>
            </w:pPr>
            <w:r>
              <w:rPr>
                <w:rFonts w:asciiTheme="minorHAnsi" w:hAnsiTheme="minorHAnsi" w:cs="Arial"/>
                <w:b/>
                <w:bCs/>
                <w:sz w:val="20"/>
                <w:szCs w:val="20"/>
              </w:rPr>
              <w:t>ČR, k</w:t>
            </w:r>
            <w:r w:rsidR="007E563D" w:rsidRPr="00DB648E">
              <w:rPr>
                <w:rFonts w:asciiTheme="minorHAnsi" w:hAnsiTheme="minorHAnsi" w:cs="Arial"/>
                <w:b/>
                <w:bCs/>
                <w:sz w:val="20"/>
                <w:szCs w:val="20"/>
              </w:rPr>
              <w:t>raje</w:t>
            </w:r>
          </w:p>
        </w:tc>
        <w:tc>
          <w:tcPr>
            <w:tcW w:w="11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 xml:space="preserve">Náklady na technické inovace celkem </w:t>
            </w:r>
            <w:r w:rsidRPr="00DB648E">
              <w:rPr>
                <w:rFonts w:asciiTheme="minorHAnsi" w:hAnsiTheme="minorHAnsi" w:cs="Arial"/>
                <w:b/>
                <w:bCs/>
                <w:sz w:val="20"/>
                <w:szCs w:val="20"/>
              </w:rPr>
              <w:br/>
              <w:t>v mil. Kč</w:t>
            </w:r>
          </w:p>
        </w:tc>
        <w:tc>
          <w:tcPr>
            <w:tcW w:w="5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Podíl nákladů kraje v %</w:t>
            </w:r>
          </w:p>
        </w:tc>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 xml:space="preserve">Tržby za inovované produkty celkem </w:t>
            </w:r>
            <w:r w:rsidRPr="00DB648E">
              <w:rPr>
                <w:rFonts w:asciiTheme="minorHAnsi" w:hAnsiTheme="minorHAnsi" w:cs="Arial"/>
                <w:b/>
                <w:bCs/>
                <w:sz w:val="20"/>
                <w:szCs w:val="20"/>
              </w:rPr>
              <w:br/>
              <w:t>v mil. Kč</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Podíl tržeb kraje v %</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Intenzita technických inovací</w:t>
            </w:r>
          </w:p>
        </w:tc>
      </w:tr>
      <w:tr w:rsidR="007E563D" w:rsidRPr="00DB648E" w:rsidTr="00A661CD">
        <w:trPr>
          <w:trHeight w:val="450"/>
        </w:trPr>
        <w:tc>
          <w:tcPr>
            <w:tcW w:w="833" w:type="pct"/>
            <w:vMerge/>
            <w:tcBorders>
              <w:top w:val="single" w:sz="4" w:space="0" w:color="auto"/>
              <w:left w:val="single" w:sz="4" w:space="0" w:color="auto"/>
              <w:bottom w:val="single" w:sz="4" w:space="0" w:color="auto"/>
              <w:right w:val="single" w:sz="4" w:space="0" w:color="auto"/>
            </w:tcBorders>
            <w:vAlign w:val="center"/>
            <w:hideMark/>
          </w:tcPr>
          <w:p w:rsidR="007E563D" w:rsidRPr="00DB648E" w:rsidRDefault="007E563D" w:rsidP="002C40B2">
            <w:pPr>
              <w:spacing w:after="0"/>
              <w:jc w:val="left"/>
              <w:rPr>
                <w:rFonts w:asciiTheme="minorHAnsi" w:hAnsiTheme="minorHAnsi" w:cs="Arial"/>
                <w:b/>
                <w:bCs/>
                <w:sz w:val="20"/>
                <w:szCs w:val="20"/>
              </w:rPr>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7E563D" w:rsidRPr="00DB648E" w:rsidRDefault="007E563D" w:rsidP="002C40B2">
            <w:pPr>
              <w:spacing w:after="0"/>
              <w:jc w:val="left"/>
              <w:rPr>
                <w:rFonts w:asciiTheme="minorHAnsi" w:hAnsiTheme="minorHAnsi" w:cs="Arial"/>
                <w:b/>
                <w:bCs/>
                <w:sz w:val="20"/>
                <w:szCs w:val="20"/>
              </w:rPr>
            </w:pPr>
          </w:p>
        </w:tc>
        <w:tc>
          <w:tcPr>
            <w:tcW w:w="578" w:type="pct"/>
            <w:vMerge/>
            <w:tcBorders>
              <w:top w:val="single" w:sz="4" w:space="0" w:color="auto"/>
              <w:left w:val="single" w:sz="4" w:space="0" w:color="auto"/>
              <w:bottom w:val="single" w:sz="4" w:space="0" w:color="000000"/>
              <w:right w:val="single" w:sz="4" w:space="0" w:color="auto"/>
            </w:tcBorders>
            <w:vAlign w:val="center"/>
            <w:hideMark/>
          </w:tcPr>
          <w:p w:rsidR="007E563D" w:rsidRPr="00DB648E" w:rsidRDefault="007E563D" w:rsidP="002C40B2">
            <w:pPr>
              <w:spacing w:after="0"/>
              <w:jc w:val="left"/>
              <w:rPr>
                <w:rFonts w:asciiTheme="minorHAnsi" w:hAnsiTheme="minorHAnsi" w:cs="Arial"/>
                <w:b/>
                <w:bCs/>
                <w:sz w:val="20"/>
                <w:szCs w:val="20"/>
              </w:rPr>
            </w:pPr>
          </w:p>
        </w:tc>
        <w:tc>
          <w:tcPr>
            <w:tcW w:w="985" w:type="pct"/>
            <w:vMerge/>
            <w:tcBorders>
              <w:top w:val="single" w:sz="4" w:space="0" w:color="auto"/>
              <w:left w:val="single" w:sz="4" w:space="0" w:color="auto"/>
              <w:bottom w:val="single" w:sz="4" w:space="0" w:color="000000"/>
              <w:right w:val="single" w:sz="4" w:space="0" w:color="auto"/>
            </w:tcBorders>
            <w:vAlign w:val="center"/>
            <w:hideMark/>
          </w:tcPr>
          <w:p w:rsidR="007E563D" w:rsidRPr="00DB648E" w:rsidRDefault="007E563D" w:rsidP="002C40B2">
            <w:pPr>
              <w:spacing w:after="0"/>
              <w:jc w:val="left"/>
              <w:rPr>
                <w:rFonts w:asciiTheme="minorHAnsi" w:hAnsiTheme="minorHAnsi" w:cs="Arial"/>
                <w:b/>
                <w:bCs/>
                <w:sz w:val="20"/>
                <w:szCs w:val="20"/>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7E563D" w:rsidRPr="00DB648E" w:rsidRDefault="007E563D" w:rsidP="002C40B2">
            <w:pPr>
              <w:spacing w:after="0"/>
              <w:jc w:val="left"/>
              <w:rPr>
                <w:rFonts w:asciiTheme="minorHAnsi" w:hAnsiTheme="minorHAnsi" w:cs="Arial"/>
                <w:b/>
                <w:bCs/>
                <w:sz w:val="20"/>
                <w:szCs w:val="20"/>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rsidR="007E563D" w:rsidRPr="00DB648E" w:rsidRDefault="007E563D" w:rsidP="002C40B2">
            <w:pPr>
              <w:spacing w:after="0"/>
              <w:jc w:val="left"/>
              <w:rPr>
                <w:rFonts w:asciiTheme="minorHAnsi" w:hAnsiTheme="minorHAnsi" w:cs="Arial"/>
                <w:b/>
                <w:bCs/>
                <w:sz w:val="20"/>
                <w:szCs w:val="20"/>
              </w:rPr>
            </w:pP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Středočeský</w:t>
            </w:r>
          </w:p>
        </w:tc>
        <w:tc>
          <w:tcPr>
            <w:tcW w:w="1120"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36 506</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28</w:t>
            </w:r>
          </w:p>
        </w:tc>
        <w:tc>
          <w:tcPr>
            <w:tcW w:w="985"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580 804</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15</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4,8%</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Hl. m. Praha</w:t>
            </w:r>
          </w:p>
        </w:tc>
        <w:tc>
          <w:tcPr>
            <w:tcW w:w="1120" w:type="pct"/>
            <w:tcBorders>
              <w:top w:val="nil"/>
              <w:left w:val="nil"/>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27 352</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21</w:t>
            </w:r>
          </w:p>
        </w:tc>
        <w:tc>
          <w:tcPr>
            <w:tcW w:w="985"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1 342 180</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34</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1,3%</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Jihomoravský</w:t>
            </w:r>
          </w:p>
        </w:tc>
        <w:tc>
          <w:tcPr>
            <w:tcW w:w="1120"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10 435</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8</w:t>
            </w:r>
          </w:p>
        </w:tc>
        <w:tc>
          <w:tcPr>
            <w:tcW w:w="985"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227 172</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6</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3,9%</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Moravskoslezský</w:t>
            </w:r>
          </w:p>
        </w:tc>
        <w:tc>
          <w:tcPr>
            <w:tcW w:w="1120"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8 510</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7</w:t>
            </w:r>
          </w:p>
        </w:tc>
        <w:tc>
          <w:tcPr>
            <w:tcW w:w="985"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455 473</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12</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1,4%</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Pardubický</w:t>
            </w:r>
          </w:p>
        </w:tc>
        <w:tc>
          <w:tcPr>
            <w:tcW w:w="1120" w:type="pct"/>
            <w:tcBorders>
              <w:top w:val="nil"/>
              <w:left w:val="nil"/>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6 939</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5</w:t>
            </w:r>
          </w:p>
        </w:tc>
        <w:tc>
          <w:tcPr>
            <w:tcW w:w="985"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151 718</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4,0%</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Plzeňský</w:t>
            </w:r>
          </w:p>
        </w:tc>
        <w:tc>
          <w:tcPr>
            <w:tcW w:w="1120"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6 831</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5</w:t>
            </w:r>
          </w:p>
        </w:tc>
        <w:tc>
          <w:tcPr>
            <w:tcW w:w="985" w:type="pct"/>
            <w:tcBorders>
              <w:top w:val="nil"/>
              <w:left w:val="nil"/>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160 431</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3,4%</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Zlínský</w:t>
            </w:r>
          </w:p>
        </w:tc>
        <w:tc>
          <w:tcPr>
            <w:tcW w:w="1120"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6 153</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5</w:t>
            </w:r>
          </w:p>
        </w:tc>
        <w:tc>
          <w:tcPr>
            <w:tcW w:w="985"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174 261</w:t>
            </w:r>
          </w:p>
        </w:tc>
        <w:tc>
          <w:tcPr>
            <w:tcW w:w="782"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2,8%</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Vysočina</w:t>
            </w:r>
          </w:p>
        </w:tc>
        <w:tc>
          <w:tcPr>
            <w:tcW w:w="1120"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5 498</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985"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131 437</w:t>
            </w:r>
          </w:p>
        </w:tc>
        <w:tc>
          <w:tcPr>
            <w:tcW w:w="782"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3,5%</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Jihočeský</w:t>
            </w:r>
          </w:p>
        </w:tc>
        <w:tc>
          <w:tcPr>
            <w:tcW w:w="1120"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5 303</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985"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158 841</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2,6%</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Ústecký</w:t>
            </w:r>
          </w:p>
        </w:tc>
        <w:tc>
          <w:tcPr>
            <w:tcW w:w="1120" w:type="pct"/>
            <w:tcBorders>
              <w:top w:val="nil"/>
              <w:left w:val="nil"/>
              <w:bottom w:val="single" w:sz="4" w:space="0" w:color="auto"/>
              <w:right w:val="single" w:sz="4" w:space="0" w:color="auto"/>
            </w:tcBorders>
            <w:shd w:val="clear" w:color="auto" w:fill="auto"/>
            <w:noWrap/>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5 150</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985" w:type="pct"/>
            <w:tcBorders>
              <w:top w:val="nil"/>
              <w:left w:val="nil"/>
              <w:bottom w:val="single" w:sz="4" w:space="0" w:color="auto"/>
              <w:right w:val="single" w:sz="4" w:space="0" w:color="auto"/>
            </w:tcBorders>
            <w:shd w:val="clear" w:color="auto" w:fill="auto"/>
            <w:noWrap/>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147 652</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4</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1,4%</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Liberecký</w:t>
            </w:r>
          </w:p>
        </w:tc>
        <w:tc>
          <w:tcPr>
            <w:tcW w:w="1120" w:type="pct"/>
            <w:tcBorders>
              <w:top w:val="nil"/>
              <w:left w:val="nil"/>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3 827</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w:t>
            </w:r>
          </w:p>
        </w:tc>
        <w:tc>
          <w:tcPr>
            <w:tcW w:w="985" w:type="pct"/>
            <w:tcBorders>
              <w:top w:val="nil"/>
              <w:left w:val="nil"/>
              <w:bottom w:val="single" w:sz="4" w:space="0" w:color="auto"/>
              <w:right w:val="single" w:sz="4" w:space="0" w:color="auto"/>
            </w:tcBorders>
            <w:shd w:val="clear" w:color="auto" w:fill="auto"/>
            <w:noWrap/>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118 684</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2,5%</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Olomoucký</w:t>
            </w:r>
          </w:p>
        </w:tc>
        <w:tc>
          <w:tcPr>
            <w:tcW w:w="1120" w:type="pct"/>
            <w:tcBorders>
              <w:top w:val="nil"/>
              <w:left w:val="nil"/>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3 725</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w:t>
            </w:r>
          </w:p>
        </w:tc>
        <w:tc>
          <w:tcPr>
            <w:tcW w:w="985"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106 533</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2,5%</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Královéhradecký</w:t>
            </w:r>
          </w:p>
        </w:tc>
        <w:tc>
          <w:tcPr>
            <w:tcW w:w="1120" w:type="pct"/>
            <w:tcBorders>
              <w:top w:val="nil"/>
              <w:left w:val="nil"/>
              <w:bottom w:val="single" w:sz="4" w:space="0" w:color="auto"/>
              <w:right w:val="single" w:sz="4" w:space="0" w:color="auto"/>
            </w:tcBorders>
            <w:shd w:val="clear" w:color="auto" w:fill="auto"/>
            <w:noWrap/>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3 409</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w:t>
            </w:r>
          </w:p>
        </w:tc>
        <w:tc>
          <w:tcPr>
            <w:tcW w:w="985" w:type="pct"/>
            <w:tcBorders>
              <w:top w:val="nil"/>
              <w:left w:val="nil"/>
              <w:bottom w:val="single" w:sz="4" w:space="0" w:color="auto"/>
              <w:right w:val="single" w:sz="4" w:space="0" w:color="auto"/>
            </w:tcBorders>
            <w:shd w:val="clear" w:color="auto" w:fill="auto"/>
            <w:noWrap/>
            <w:vAlign w:val="center"/>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115 071</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3</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sz w:val="20"/>
                <w:szCs w:val="20"/>
              </w:rPr>
            </w:pPr>
            <w:r w:rsidRPr="00DB648E">
              <w:rPr>
                <w:rFonts w:asciiTheme="minorHAnsi" w:hAnsiTheme="minorHAnsi" w:cs="Arial"/>
                <w:sz w:val="20"/>
                <w:szCs w:val="20"/>
              </w:rPr>
              <w:t>2,7%</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b/>
                <w:bCs/>
                <w:sz w:val="20"/>
                <w:szCs w:val="20"/>
              </w:rPr>
            </w:pPr>
            <w:r w:rsidRPr="00DB648E">
              <w:rPr>
                <w:rFonts w:asciiTheme="minorHAnsi" w:hAnsiTheme="minorHAnsi" w:cs="Arial"/>
                <w:b/>
                <w:bCs/>
                <w:sz w:val="20"/>
                <w:szCs w:val="20"/>
              </w:rPr>
              <w:t>Karlovarský</w:t>
            </w:r>
          </w:p>
        </w:tc>
        <w:tc>
          <w:tcPr>
            <w:tcW w:w="1120" w:type="pct"/>
            <w:tcBorders>
              <w:top w:val="nil"/>
              <w:left w:val="nil"/>
              <w:bottom w:val="single" w:sz="4" w:space="0" w:color="auto"/>
              <w:right w:val="single" w:sz="4" w:space="0" w:color="auto"/>
            </w:tcBorders>
            <w:shd w:val="clear" w:color="auto" w:fill="auto"/>
            <w:vAlign w:val="center"/>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942</w:t>
            </w:r>
          </w:p>
        </w:tc>
        <w:tc>
          <w:tcPr>
            <w:tcW w:w="578"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1</w:t>
            </w:r>
          </w:p>
        </w:tc>
        <w:tc>
          <w:tcPr>
            <w:tcW w:w="985" w:type="pct"/>
            <w:tcBorders>
              <w:top w:val="nil"/>
              <w:left w:val="nil"/>
              <w:bottom w:val="single" w:sz="4" w:space="0" w:color="auto"/>
              <w:right w:val="single" w:sz="4" w:space="0" w:color="auto"/>
            </w:tcBorders>
            <w:shd w:val="clear" w:color="auto" w:fill="auto"/>
            <w:noWrap/>
            <w:vAlign w:val="center"/>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31 852</w:t>
            </w:r>
          </w:p>
        </w:tc>
        <w:tc>
          <w:tcPr>
            <w:tcW w:w="782" w:type="pct"/>
            <w:tcBorders>
              <w:top w:val="nil"/>
              <w:left w:val="nil"/>
              <w:bottom w:val="single" w:sz="4" w:space="0" w:color="auto"/>
              <w:right w:val="single" w:sz="4" w:space="0" w:color="auto"/>
            </w:tcBorders>
            <w:shd w:val="clear" w:color="auto" w:fill="auto"/>
            <w:noWrap/>
            <w:vAlign w:val="bottom"/>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1</w:t>
            </w:r>
          </w:p>
        </w:tc>
        <w:tc>
          <w:tcPr>
            <w:tcW w:w="701" w:type="pct"/>
            <w:tcBorders>
              <w:top w:val="nil"/>
              <w:left w:val="nil"/>
              <w:bottom w:val="single" w:sz="4" w:space="0" w:color="auto"/>
              <w:right w:val="single" w:sz="4" w:space="0" w:color="auto"/>
            </w:tcBorders>
            <w:shd w:val="clear" w:color="auto" w:fill="auto"/>
            <w:vAlign w:val="bottom"/>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2,6%</w:t>
            </w:r>
          </w:p>
        </w:tc>
      </w:tr>
      <w:tr w:rsidR="007E563D" w:rsidRPr="00DB648E" w:rsidTr="00A661CD">
        <w:trPr>
          <w:trHeight w:val="255"/>
        </w:trPr>
        <w:tc>
          <w:tcPr>
            <w:tcW w:w="833" w:type="pct"/>
            <w:tcBorders>
              <w:top w:val="nil"/>
              <w:left w:val="single" w:sz="4" w:space="0" w:color="auto"/>
              <w:bottom w:val="single" w:sz="4" w:space="0" w:color="auto"/>
              <w:right w:val="single" w:sz="4" w:space="0" w:color="auto"/>
            </w:tcBorders>
            <w:shd w:val="clear" w:color="auto" w:fill="auto"/>
            <w:noWrap/>
            <w:hideMark/>
          </w:tcPr>
          <w:p w:rsidR="007E563D" w:rsidRPr="00DB648E" w:rsidRDefault="007E563D" w:rsidP="002C40B2">
            <w:pPr>
              <w:spacing w:after="0"/>
              <w:jc w:val="left"/>
              <w:rPr>
                <w:rFonts w:asciiTheme="minorHAnsi" w:hAnsiTheme="minorHAnsi" w:cs="Arial"/>
                <w:b/>
                <w:bCs/>
                <w:sz w:val="20"/>
                <w:szCs w:val="20"/>
              </w:rPr>
            </w:pPr>
            <w:r w:rsidRPr="00DB648E">
              <w:rPr>
                <w:rFonts w:asciiTheme="minorHAnsi" w:hAnsiTheme="minorHAnsi" w:cs="Arial"/>
                <w:b/>
                <w:bCs/>
                <w:sz w:val="20"/>
                <w:szCs w:val="20"/>
              </w:rPr>
              <w:lastRenderedPageBreak/>
              <w:t>ČR</w:t>
            </w:r>
          </w:p>
        </w:tc>
        <w:tc>
          <w:tcPr>
            <w:tcW w:w="1120" w:type="pct"/>
            <w:tcBorders>
              <w:top w:val="nil"/>
              <w:left w:val="nil"/>
              <w:bottom w:val="single" w:sz="4" w:space="0" w:color="auto"/>
              <w:right w:val="single" w:sz="4" w:space="0" w:color="auto"/>
            </w:tcBorders>
            <w:shd w:val="clear" w:color="auto" w:fill="auto"/>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130 580</w:t>
            </w:r>
          </w:p>
        </w:tc>
        <w:tc>
          <w:tcPr>
            <w:tcW w:w="578" w:type="pct"/>
            <w:tcBorders>
              <w:top w:val="nil"/>
              <w:left w:val="nil"/>
              <w:bottom w:val="single" w:sz="4" w:space="0" w:color="auto"/>
              <w:right w:val="single" w:sz="4" w:space="0" w:color="auto"/>
            </w:tcBorders>
            <w:shd w:val="clear" w:color="auto" w:fill="auto"/>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100</w:t>
            </w:r>
          </w:p>
        </w:tc>
        <w:tc>
          <w:tcPr>
            <w:tcW w:w="985" w:type="pct"/>
            <w:tcBorders>
              <w:top w:val="nil"/>
              <w:left w:val="nil"/>
              <w:bottom w:val="single" w:sz="4" w:space="0" w:color="auto"/>
              <w:right w:val="single" w:sz="4" w:space="0" w:color="auto"/>
            </w:tcBorders>
            <w:shd w:val="clear" w:color="auto" w:fill="auto"/>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3 902 110</w:t>
            </w:r>
          </w:p>
        </w:tc>
        <w:tc>
          <w:tcPr>
            <w:tcW w:w="782" w:type="pct"/>
            <w:tcBorders>
              <w:top w:val="nil"/>
              <w:left w:val="nil"/>
              <w:bottom w:val="single" w:sz="4" w:space="0" w:color="auto"/>
              <w:right w:val="single" w:sz="4" w:space="0" w:color="auto"/>
            </w:tcBorders>
            <w:shd w:val="clear" w:color="auto" w:fill="auto"/>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100</w:t>
            </w:r>
          </w:p>
        </w:tc>
        <w:tc>
          <w:tcPr>
            <w:tcW w:w="701" w:type="pct"/>
            <w:tcBorders>
              <w:top w:val="nil"/>
              <w:left w:val="nil"/>
              <w:bottom w:val="single" w:sz="4" w:space="0" w:color="auto"/>
              <w:right w:val="single" w:sz="4" w:space="0" w:color="auto"/>
            </w:tcBorders>
            <w:shd w:val="clear" w:color="auto" w:fill="auto"/>
            <w:hideMark/>
          </w:tcPr>
          <w:p w:rsidR="007E563D" w:rsidRPr="00DB648E" w:rsidRDefault="007E563D" w:rsidP="002C40B2">
            <w:pPr>
              <w:spacing w:after="0"/>
              <w:jc w:val="center"/>
              <w:rPr>
                <w:rFonts w:asciiTheme="minorHAnsi" w:hAnsiTheme="minorHAnsi" w:cs="Arial"/>
                <w:b/>
                <w:bCs/>
                <w:sz w:val="20"/>
                <w:szCs w:val="20"/>
              </w:rPr>
            </w:pPr>
            <w:r w:rsidRPr="00DB648E">
              <w:rPr>
                <w:rFonts w:asciiTheme="minorHAnsi" w:hAnsiTheme="minorHAnsi" w:cs="Arial"/>
                <w:b/>
                <w:bCs/>
                <w:sz w:val="20"/>
                <w:szCs w:val="20"/>
              </w:rPr>
              <w:t> </w:t>
            </w:r>
          </w:p>
        </w:tc>
      </w:tr>
    </w:tbl>
    <w:bookmarkEnd w:id="141"/>
    <w:bookmarkEnd w:id="142"/>
    <w:bookmarkEnd w:id="143"/>
    <w:p w:rsidR="007E563D" w:rsidRPr="008B5D6A" w:rsidRDefault="007E563D" w:rsidP="002C40B2">
      <w:pPr>
        <w:pStyle w:val="poznzdroj"/>
        <w:spacing w:line="276" w:lineRule="auto"/>
      </w:pPr>
      <w:r w:rsidRPr="008B5D6A">
        <w:t xml:space="preserve">Zdroj: </w:t>
      </w:r>
      <w:r w:rsidRPr="00612A83">
        <w:t>ČSÚ</w:t>
      </w:r>
      <w:r w:rsidRPr="008B5D6A">
        <w:t xml:space="preserve"> </w:t>
      </w:r>
      <w:r>
        <w:t xml:space="preserve">- </w:t>
      </w:r>
      <w:r w:rsidRPr="008B5D6A">
        <w:t xml:space="preserve">Inovační aktivity podniků v České republice </w:t>
      </w:r>
      <w:r w:rsidR="00DB648E">
        <w:t>-</w:t>
      </w:r>
      <w:r w:rsidRPr="008B5D6A">
        <w:t xml:space="preserve"> 2012 až 2014</w:t>
      </w:r>
    </w:p>
    <w:p w:rsidR="0082656B" w:rsidRDefault="0082656B" w:rsidP="0082656B">
      <w:pPr>
        <w:rPr>
          <w:b/>
        </w:rPr>
      </w:pPr>
      <w:r w:rsidRPr="00BA588B">
        <w:t>Z dat uvedených v </w:t>
      </w:r>
      <w:r w:rsidR="004F2330">
        <w:fldChar w:fldCharType="begin"/>
      </w:r>
      <w:r w:rsidR="004F2330">
        <w:instrText xml:space="preserve"> REF _Ref464829321 \h  \* MERGEFORMAT </w:instrText>
      </w:r>
      <w:r w:rsidR="004F2330">
        <w:fldChar w:fldCharType="separate"/>
      </w:r>
      <w:r w:rsidR="00EB0944">
        <w:t>tabulce</w:t>
      </w:r>
      <w:r w:rsidR="00CB29BD">
        <w:t xml:space="preserve"> 6.2</w:t>
      </w:r>
      <w:r w:rsidR="004F2330">
        <w:fldChar w:fldCharType="end"/>
      </w:r>
      <w:r w:rsidRPr="00BA588B">
        <w:t xml:space="preserve"> a </w:t>
      </w:r>
      <w:r w:rsidR="004F2330">
        <w:fldChar w:fldCharType="begin"/>
      </w:r>
      <w:r w:rsidR="004F2330">
        <w:instrText xml:space="preserve"> REF _Ref464481546 \h  \* MERGEFORMAT </w:instrText>
      </w:r>
      <w:r w:rsidR="004F2330">
        <w:fldChar w:fldCharType="separate"/>
      </w:r>
      <w:r w:rsidR="00EB0944">
        <w:t>tabulce</w:t>
      </w:r>
      <w:r w:rsidR="00CB29BD">
        <w:t xml:space="preserve"> 6.3</w:t>
      </w:r>
      <w:r w:rsidR="004F2330">
        <w:fldChar w:fldCharType="end"/>
      </w:r>
      <w:r w:rsidRPr="00BA588B">
        <w:t xml:space="preserve"> je možné vidět spojitost mezi výstupy inovačních aktivit (viz výše uvedené patenty) a výší vstupů (tj. náklady na inovační aktivity v podnicích): v krajích, které vynakládají více zdrojů na technické inovace</w:t>
      </w:r>
      <w:r w:rsidR="005B2F5E">
        <w:t>,</w:t>
      </w:r>
      <w:r w:rsidRPr="00BA588B">
        <w:t xml:space="preserve"> bylo předloženo více patentových přihlášek (viz údaje za </w:t>
      </w:r>
      <w:r>
        <w:t>H</w:t>
      </w:r>
      <w:r w:rsidRPr="00BA588B">
        <w:t xml:space="preserve">l. m. Praha, Jihomoravský, Středočeský a Moravskoslezský kraj). I zde však existují určité rozdíly, jak vyplývá ze srovnání intenzity technických inovací, tj. podílu nákladů na technické inovace na celkových tržbách podniků s technickou inovací (viz </w:t>
      </w:r>
      <w:r w:rsidR="004F2330">
        <w:fldChar w:fldCharType="begin"/>
      </w:r>
      <w:r w:rsidR="004F2330">
        <w:instrText xml:space="preserve"> REF _Ref464481546 \h  \* MERGEFORMAT </w:instrText>
      </w:r>
      <w:r w:rsidR="004F2330">
        <w:fldChar w:fldCharType="separate"/>
      </w:r>
      <w:r w:rsidR="00EB0944">
        <w:t>t</w:t>
      </w:r>
      <w:r w:rsidR="00CB29BD">
        <w:t>abulka 6.3</w:t>
      </w:r>
      <w:r w:rsidR="004F2330">
        <w:fldChar w:fldCharType="end"/>
      </w:r>
      <w:r w:rsidRPr="00BA588B">
        <w:t xml:space="preserve">). Z porovnání nákladů a tržeb lze vidět, že i malé náklady do technických inovací mohou mít vysokou míru aplikace v praxi, resp. přinést vyšší tržby. Tak tomu bylo např. v případě </w:t>
      </w:r>
      <w:r>
        <w:t xml:space="preserve">Hl. m. </w:t>
      </w:r>
      <w:r w:rsidRPr="00BA588B">
        <w:t xml:space="preserve">Prahy, Ústeckého a Moravskoslezského kraje. Zároveň je nutno připomenout, že z údajů nelze identifikovat náročnost inovace, tedy výši vstupních investic či počet pokusů na náročnější zdařilý výstup. </w:t>
      </w:r>
      <w:r w:rsidRPr="00BA588B">
        <w:rPr>
          <w:b/>
        </w:rPr>
        <w:t>Ačkoliv je podíl nákladů na inovace na tržbách za inovované produkty pro Karlovarský kraj příznivý (2,5 %), ve výši nákladů na inovace, ve v</w:t>
      </w:r>
      <w:r>
        <w:rPr>
          <w:b/>
        </w:rPr>
        <w:t>ýši tržeb za inovované produkty,</w:t>
      </w:r>
      <w:r w:rsidRPr="00BA588B">
        <w:rPr>
          <w:b/>
        </w:rPr>
        <w:t xml:space="preserve"> i v počtu patentů zaujímá Karlovarský kraj poslední místo v ČR.</w:t>
      </w:r>
      <w:r w:rsidRPr="0034270F">
        <w:rPr>
          <w:b/>
        </w:rPr>
        <w:t xml:space="preserve"> </w:t>
      </w:r>
    </w:p>
    <w:p w:rsidR="0082656B" w:rsidRPr="009877B1" w:rsidRDefault="0082656B" w:rsidP="0082656B">
      <w:r w:rsidRPr="00DB648E">
        <w:t>Celkový přínos inovací pro ekonomiku kraje lze možná lépe odhadnout na základě struktury tržeb podle typu inovace</w:t>
      </w:r>
      <w:r w:rsidRPr="00AE46CF">
        <w:t xml:space="preserve"> – </w:t>
      </w:r>
      <w:r w:rsidRPr="0082656B">
        <w:rPr>
          <w:b/>
        </w:rPr>
        <w:t>zda šlo o zavedení úplně nového produktu na trh, nového produktu pro podnik nebo částečnou modifikaci produktu. Tento ukazatel již prokazuje větší souvislosti mezi typem a potenciálním přínosem dané inovace.</w:t>
      </w:r>
      <w:r w:rsidRPr="00AE46CF">
        <w:t xml:space="preserve"> </w:t>
      </w:r>
    </w:p>
    <w:p w:rsidR="00A363A8" w:rsidRDefault="00FD378B" w:rsidP="00FD378B">
      <w:pPr>
        <w:pStyle w:val="Titulek"/>
      </w:pPr>
      <w:bookmarkStart w:id="144" w:name="_Toc488234352"/>
      <w:r>
        <w:t xml:space="preserve">Graf </w:t>
      </w:r>
      <w:r w:rsidR="004F2330">
        <w:fldChar w:fldCharType="begin"/>
      </w:r>
      <w:r w:rsidR="004F2330">
        <w:instrText xml:space="preserve"> STYLEREF 1 \s </w:instrText>
      </w:r>
      <w:r w:rsidR="004F2330">
        <w:fldChar w:fldCharType="separate"/>
      </w:r>
      <w:r w:rsidR="00CB29BD">
        <w:t>6</w:t>
      </w:r>
      <w:r w:rsidR="004F2330">
        <w:fldChar w:fldCharType="end"/>
      </w:r>
      <w:r>
        <w:t>.</w:t>
      </w:r>
      <w:r w:rsidR="004F2330">
        <w:fldChar w:fldCharType="begin"/>
      </w:r>
      <w:r w:rsidR="004F2330">
        <w:instrText xml:space="preserve"> SEQ Graf \* ARABIC \s 1 </w:instrText>
      </w:r>
      <w:r w:rsidR="004F2330">
        <w:fldChar w:fldCharType="separate"/>
      </w:r>
      <w:r w:rsidR="00CB29BD">
        <w:t>5</w:t>
      </w:r>
      <w:r w:rsidR="004F2330">
        <w:fldChar w:fldCharType="end"/>
      </w:r>
      <w:r w:rsidR="007E563D">
        <w:t xml:space="preserve">: </w:t>
      </w:r>
      <w:r w:rsidR="007E563D" w:rsidRPr="004715B5">
        <w:t xml:space="preserve">Struktura tržeb za inovované produkty u podniků s produktovou inovací podle krajů </w:t>
      </w:r>
      <w:r w:rsidR="007E563D">
        <w:br/>
        <w:t>v roce 2014</w:t>
      </w:r>
      <w:bookmarkEnd w:id="144"/>
    </w:p>
    <w:p w:rsidR="007E563D" w:rsidRDefault="007E563D" w:rsidP="002C40B2">
      <w:r>
        <w:rPr>
          <w:noProof/>
        </w:rPr>
        <w:drawing>
          <wp:inline distT="0" distB="0" distL="0" distR="0">
            <wp:extent cx="5695950" cy="3623945"/>
            <wp:effectExtent l="0" t="0" r="0" b="1460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E563D" w:rsidRPr="008B5D6A" w:rsidRDefault="007E563D" w:rsidP="002C40B2">
      <w:pPr>
        <w:pStyle w:val="poznzdroj"/>
        <w:spacing w:line="276" w:lineRule="auto"/>
      </w:pPr>
      <w:r w:rsidRPr="008B5D6A">
        <w:t xml:space="preserve">Zdroj: </w:t>
      </w:r>
      <w:r w:rsidRPr="00612A83">
        <w:t>ČSÚ</w:t>
      </w:r>
      <w:r w:rsidRPr="008B5D6A">
        <w:t xml:space="preserve"> </w:t>
      </w:r>
      <w:r>
        <w:t xml:space="preserve">- </w:t>
      </w:r>
      <w:r w:rsidRPr="008B5D6A">
        <w:t xml:space="preserve">Inovační aktivity podniků v České republice </w:t>
      </w:r>
      <w:r w:rsidR="00DB648E">
        <w:t>-</w:t>
      </w:r>
      <w:r w:rsidRPr="008B5D6A">
        <w:t xml:space="preserve"> 2012 až 2014</w:t>
      </w:r>
    </w:p>
    <w:p w:rsidR="004C76C6" w:rsidRPr="007177C2" w:rsidRDefault="004C76C6" w:rsidP="004C76C6">
      <w:r>
        <w:lastRenderedPageBreak/>
        <w:t>U všech krajů vedla k největšímu podílu na tržbách pouze částečná</w:t>
      </w:r>
      <w:r w:rsidRPr="00AE46CF">
        <w:t xml:space="preserve"> vylepšení stávajících výrobků, kter</w:t>
      </w:r>
      <w:r>
        <w:t>á</w:t>
      </w:r>
      <w:r w:rsidRPr="00AE46CF">
        <w:t xml:space="preserve"> jsou generován</w:t>
      </w:r>
      <w:r>
        <w:t>a</w:t>
      </w:r>
      <w:r w:rsidRPr="00AE46CF">
        <w:t xml:space="preserve"> poptávkou</w:t>
      </w:r>
      <w:r>
        <w:t>. Tento typ inovací přinesl nejvyšší podíl na tržbách za inovované produkty krajům Jihočeskému (téměř 85% podíl), Ústeckému (téměř 82% podíl) a Vysočině (cca 78% podíl). Inovace z hlediska zavedení nového produktu pro podnik přinesly nejvyšší podíl na tržbách jednoznačně Moravskoslezskému kraji (28,4 %). Největší podíl tržeb plynoucích ze zavedení zcela nových produktů na trh měly v roce 2014 kraje Karlovarský (32,5 %) a Středočeský (cca 28%).</w:t>
      </w:r>
    </w:p>
    <w:p w:rsidR="004C76C6" w:rsidRPr="00330E18" w:rsidRDefault="004C76C6" w:rsidP="004C76C6">
      <w:pPr>
        <w:spacing w:after="120"/>
      </w:pPr>
      <w:r>
        <w:t>P</w:t>
      </w:r>
      <w:r w:rsidRPr="00AE46CF">
        <w:t xml:space="preserve">odle uvedených ukazatelů </w:t>
      </w:r>
      <w:r>
        <w:t>se i</w:t>
      </w:r>
      <w:r w:rsidRPr="00AE46CF">
        <w:t>novace v</w:t>
      </w:r>
      <w:r>
        <w:t xml:space="preserve"> Karlovarském </w:t>
      </w:r>
      <w:r w:rsidRPr="00AE46CF">
        <w:t xml:space="preserve">kraji týkají především </w:t>
      </w:r>
      <w:r w:rsidRPr="00330E18">
        <w:t>inkrementálních inovac</w:t>
      </w:r>
      <w:r>
        <w:t>í. Ve srovnání struktury tržeb však významný podíl zaujímají i tržby ze zavedení nových výrobků pro podnik i na trhu, což naznačuje určitý inovační potenciál firem. Tomu nasvědčuje i fakt, že v roce 2008 tvořil podíl tržeb firem v Karlovarském kraji za nové produkty na trhu či pro podnik necelých </w:t>
      </w:r>
      <w:r>
        <w:br/>
        <w:t xml:space="preserve">37 % (ČSÚ - </w:t>
      </w:r>
      <w:r w:rsidRPr="00D357EA">
        <w:rPr>
          <w:i/>
        </w:rPr>
        <w:t xml:space="preserve">Inovační aktivity podniků v České republice </w:t>
      </w:r>
      <w:r>
        <w:rPr>
          <w:i/>
        </w:rPr>
        <w:t>-</w:t>
      </w:r>
      <w:r w:rsidRPr="00D357EA">
        <w:rPr>
          <w:i/>
        </w:rPr>
        <w:t xml:space="preserve"> 2006 až 2008</w:t>
      </w:r>
      <w:r>
        <w:t>).</w:t>
      </w:r>
    </w:p>
    <w:p w:rsidR="004C76C6" w:rsidRPr="00AE46CF" w:rsidRDefault="004C76C6" w:rsidP="004C76C6">
      <w:pPr>
        <w:spacing w:after="120"/>
      </w:pPr>
      <w:r w:rsidRPr="00AE46CF">
        <w:t xml:space="preserve">Dalším dostupným ukazatelem inovačního </w:t>
      </w:r>
      <w:r>
        <w:t>potenciál</w:t>
      </w:r>
      <w:r w:rsidRPr="00AE46CF">
        <w:t>u v regionech ČR je podíl inovujících podniků na celkovém počtu podniků v kraji (</w:t>
      </w:r>
      <w:r>
        <w:t xml:space="preserve">viz </w:t>
      </w:r>
      <w:r w:rsidR="004F2330">
        <w:fldChar w:fldCharType="begin"/>
      </w:r>
      <w:r w:rsidR="004F2330">
        <w:instrText xml:space="preserve"> REF _Ref465154506 \h  \* MERGEFORMAT </w:instrText>
      </w:r>
      <w:r w:rsidR="004F2330">
        <w:fldChar w:fldCharType="separate"/>
      </w:r>
      <w:r w:rsidR="00EB0944">
        <w:t>t</w:t>
      </w:r>
      <w:r w:rsidR="00CB29BD">
        <w:t xml:space="preserve">abulka </w:t>
      </w:r>
      <w:r w:rsidR="00CB29BD">
        <w:rPr>
          <w:noProof/>
        </w:rPr>
        <w:t>6</w:t>
      </w:r>
      <w:r w:rsidR="00CB29BD">
        <w:t>.4</w:t>
      </w:r>
      <w:r w:rsidR="004F2330">
        <w:fldChar w:fldCharType="end"/>
      </w:r>
      <w:r w:rsidRPr="00AE46CF">
        <w:t xml:space="preserve">). </w:t>
      </w:r>
    </w:p>
    <w:p w:rsidR="007E563D" w:rsidRPr="00AE46CF" w:rsidRDefault="007E563D" w:rsidP="000B3B9C">
      <w:pPr>
        <w:pStyle w:val="Titulek"/>
      </w:pPr>
      <w:bookmarkStart w:id="145" w:name="_Ref465154506"/>
      <w:bookmarkStart w:id="146" w:name="_Toc488233481"/>
      <w:bookmarkStart w:id="147" w:name="_Toc310604009"/>
      <w:bookmarkStart w:id="148" w:name="_Toc310604075"/>
      <w:bookmarkStart w:id="149" w:name="_Toc321406380"/>
      <w:r>
        <w:t xml:space="preserve">Tabulka </w:t>
      </w:r>
      <w:r w:rsidR="008965FE">
        <w:fldChar w:fldCharType="begin"/>
      </w:r>
      <w:r w:rsidR="00B33DFE">
        <w:instrText xml:space="preserve"> STYLEREF 1 \s </w:instrText>
      </w:r>
      <w:r w:rsidR="008965FE">
        <w:fldChar w:fldCharType="separate"/>
      </w:r>
      <w:r w:rsidR="00CB29BD">
        <w:t>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4</w:t>
      </w:r>
      <w:r w:rsidR="004F2330">
        <w:fldChar w:fldCharType="end"/>
      </w:r>
      <w:bookmarkEnd w:id="145"/>
      <w:r>
        <w:t xml:space="preserve">: </w:t>
      </w:r>
      <w:r w:rsidRPr="00AE46CF">
        <w:t>Podíl inovačních podniků na celkovém počtu podniků v</w:t>
      </w:r>
      <w:r>
        <w:t> </w:t>
      </w:r>
      <w:r w:rsidRPr="00AE46CF">
        <w:t>kraji</w:t>
      </w:r>
      <w:r>
        <w:t xml:space="preserve"> v letech</w:t>
      </w:r>
      <w:r w:rsidRPr="00AE46CF">
        <w:t xml:space="preserve"> 20</w:t>
      </w:r>
      <w:r>
        <w:t>12</w:t>
      </w:r>
      <w:r w:rsidR="002172C6">
        <w:t xml:space="preserve"> </w:t>
      </w:r>
      <w:r w:rsidRPr="00AE46CF">
        <w:t>-</w:t>
      </w:r>
      <w:r w:rsidR="002172C6">
        <w:t xml:space="preserve"> </w:t>
      </w:r>
      <w:r w:rsidRPr="00AE46CF">
        <w:t>20</w:t>
      </w:r>
      <w:r>
        <w:t>14 (v %)</w:t>
      </w:r>
      <w:bookmarkEnd w:id="146"/>
    </w:p>
    <w:tbl>
      <w:tblPr>
        <w:tblW w:w="2640" w:type="dxa"/>
        <w:tblCellMar>
          <w:left w:w="70" w:type="dxa"/>
          <w:right w:w="70" w:type="dxa"/>
        </w:tblCellMar>
        <w:tblLook w:val="04A0" w:firstRow="1" w:lastRow="0" w:firstColumn="1" w:lastColumn="0" w:noHBand="0" w:noVBand="1"/>
      </w:tblPr>
      <w:tblGrid>
        <w:gridCol w:w="1720"/>
        <w:gridCol w:w="920"/>
      </w:tblGrid>
      <w:tr w:rsidR="007E563D" w:rsidRPr="00DB648E" w:rsidTr="002A1FD6">
        <w:trPr>
          <w:trHeight w:val="255"/>
        </w:trPr>
        <w:tc>
          <w:tcPr>
            <w:tcW w:w="1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bookmarkEnd w:id="147"/>
          <w:bookmarkEnd w:id="148"/>
          <w:bookmarkEnd w:id="149"/>
          <w:p w:rsidR="007E563D" w:rsidRPr="00DB648E" w:rsidRDefault="007E563D" w:rsidP="002C40B2">
            <w:pPr>
              <w:spacing w:after="0"/>
              <w:jc w:val="left"/>
              <w:rPr>
                <w:rFonts w:asciiTheme="minorHAnsi" w:hAnsiTheme="minorHAnsi" w:cs="Arial"/>
                <w:b/>
                <w:sz w:val="20"/>
                <w:szCs w:val="20"/>
              </w:rPr>
            </w:pPr>
            <w:r w:rsidRPr="00DB648E">
              <w:rPr>
                <w:rFonts w:asciiTheme="minorHAnsi" w:hAnsiTheme="minorHAnsi" w:cs="Arial"/>
                <w:b/>
                <w:sz w:val="20"/>
                <w:szCs w:val="20"/>
              </w:rPr>
              <w:t>Karlovarský</w:t>
            </w:r>
          </w:p>
        </w:tc>
        <w:tc>
          <w:tcPr>
            <w:tcW w:w="920" w:type="dxa"/>
            <w:tcBorders>
              <w:top w:val="single" w:sz="8" w:space="0" w:color="auto"/>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b/>
                <w:color w:val="000000"/>
                <w:sz w:val="20"/>
                <w:szCs w:val="20"/>
              </w:rPr>
            </w:pPr>
            <w:r w:rsidRPr="00DB648E">
              <w:rPr>
                <w:rFonts w:asciiTheme="minorHAnsi" w:hAnsiTheme="minorHAnsi" w:cs="Arial"/>
                <w:b/>
                <w:color w:val="000000"/>
                <w:sz w:val="20"/>
                <w:szCs w:val="20"/>
              </w:rPr>
              <w:t>26,4</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Plzeňský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33,5</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Ústecký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35,9</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Moravskoslezský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38,4</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Středočeský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39,6</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Zlínský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40,2</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Královehradecký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42,5</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Vysočina</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42,7</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Jihomoravský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42,7</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Jihočeský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43,0</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Liberecký</w:t>
            </w:r>
          </w:p>
        </w:tc>
        <w:tc>
          <w:tcPr>
            <w:tcW w:w="920" w:type="dxa"/>
            <w:tcBorders>
              <w:top w:val="nil"/>
              <w:left w:val="nil"/>
              <w:bottom w:val="single" w:sz="4" w:space="0" w:color="auto"/>
              <w:right w:val="single" w:sz="8" w:space="0" w:color="auto"/>
            </w:tcBorders>
            <w:shd w:val="clear" w:color="000000" w:fill="FFFFFF"/>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43,4</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Pardubický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44,1</w:t>
            </w:r>
          </w:p>
        </w:tc>
      </w:tr>
      <w:tr w:rsidR="007E563D" w:rsidRPr="00DB648E" w:rsidTr="002A1FD6">
        <w:trPr>
          <w:trHeight w:val="25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Olomoucký</w:t>
            </w:r>
          </w:p>
        </w:tc>
        <w:tc>
          <w:tcPr>
            <w:tcW w:w="920" w:type="dxa"/>
            <w:tcBorders>
              <w:top w:val="nil"/>
              <w:left w:val="nil"/>
              <w:bottom w:val="single" w:sz="4"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46,2</w:t>
            </w:r>
          </w:p>
        </w:tc>
      </w:tr>
      <w:tr w:rsidR="007E563D" w:rsidRPr="00DB648E" w:rsidTr="002A1FD6">
        <w:trPr>
          <w:trHeight w:val="270"/>
        </w:trPr>
        <w:tc>
          <w:tcPr>
            <w:tcW w:w="1720" w:type="dxa"/>
            <w:tcBorders>
              <w:top w:val="nil"/>
              <w:left w:val="single" w:sz="8" w:space="0" w:color="auto"/>
              <w:bottom w:val="single" w:sz="8" w:space="0" w:color="auto"/>
              <w:right w:val="single" w:sz="4" w:space="0" w:color="auto"/>
            </w:tcBorders>
            <w:shd w:val="clear" w:color="auto" w:fill="auto"/>
            <w:noWrap/>
            <w:vAlign w:val="center"/>
            <w:hideMark/>
          </w:tcPr>
          <w:p w:rsidR="007E563D" w:rsidRPr="00DB648E" w:rsidRDefault="007E563D" w:rsidP="002C40B2">
            <w:pPr>
              <w:spacing w:after="0"/>
              <w:jc w:val="left"/>
              <w:rPr>
                <w:rFonts w:asciiTheme="minorHAnsi" w:hAnsiTheme="minorHAnsi" w:cs="Arial"/>
                <w:sz w:val="20"/>
                <w:szCs w:val="20"/>
              </w:rPr>
            </w:pPr>
            <w:r w:rsidRPr="00DB648E">
              <w:rPr>
                <w:rFonts w:asciiTheme="minorHAnsi" w:hAnsiTheme="minorHAnsi" w:cs="Arial"/>
                <w:sz w:val="20"/>
                <w:szCs w:val="20"/>
              </w:rPr>
              <w:t>Praha</w:t>
            </w:r>
          </w:p>
        </w:tc>
        <w:tc>
          <w:tcPr>
            <w:tcW w:w="920" w:type="dxa"/>
            <w:tcBorders>
              <w:top w:val="nil"/>
              <w:left w:val="nil"/>
              <w:bottom w:val="single" w:sz="8" w:space="0" w:color="auto"/>
              <w:right w:val="single" w:sz="8" w:space="0" w:color="auto"/>
            </w:tcBorders>
            <w:shd w:val="clear" w:color="auto" w:fill="auto"/>
            <w:noWrap/>
            <w:vAlign w:val="bottom"/>
            <w:hideMark/>
          </w:tcPr>
          <w:p w:rsidR="007E563D" w:rsidRPr="00DB648E" w:rsidRDefault="007E563D" w:rsidP="002C40B2">
            <w:pPr>
              <w:spacing w:after="0"/>
              <w:jc w:val="right"/>
              <w:rPr>
                <w:rFonts w:asciiTheme="minorHAnsi" w:hAnsiTheme="minorHAnsi" w:cs="Arial"/>
                <w:color w:val="000000"/>
                <w:sz w:val="20"/>
                <w:szCs w:val="20"/>
              </w:rPr>
            </w:pPr>
            <w:r w:rsidRPr="00DB648E">
              <w:rPr>
                <w:rFonts w:asciiTheme="minorHAnsi" w:hAnsiTheme="minorHAnsi" w:cs="Arial"/>
                <w:color w:val="000000"/>
                <w:sz w:val="20"/>
                <w:szCs w:val="20"/>
              </w:rPr>
              <w:t>47,6</w:t>
            </w:r>
          </w:p>
        </w:tc>
      </w:tr>
    </w:tbl>
    <w:p w:rsidR="007E563D" w:rsidRPr="008B5D6A" w:rsidRDefault="007E563D" w:rsidP="002C40B2">
      <w:pPr>
        <w:pStyle w:val="poznzdroj"/>
        <w:spacing w:line="276" w:lineRule="auto"/>
      </w:pPr>
      <w:r w:rsidRPr="008B5D6A">
        <w:t xml:space="preserve">Zdroj: </w:t>
      </w:r>
      <w:r w:rsidRPr="00612A83">
        <w:t>ČSÚ</w:t>
      </w:r>
      <w:r w:rsidRPr="008B5D6A">
        <w:t xml:space="preserve"> </w:t>
      </w:r>
      <w:r>
        <w:t xml:space="preserve">- </w:t>
      </w:r>
      <w:r w:rsidRPr="008B5D6A">
        <w:t xml:space="preserve">Inovační aktivity podniků v České republice </w:t>
      </w:r>
      <w:r w:rsidR="00DB648E">
        <w:t>-</w:t>
      </w:r>
      <w:r w:rsidR="002172C6">
        <w:t xml:space="preserve"> </w:t>
      </w:r>
      <w:r w:rsidRPr="008B5D6A">
        <w:t xml:space="preserve"> 2012 až 2014</w:t>
      </w:r>
    </w:p>
    <w:p w:rsidR="00EB551E" w:rsidRPr="00AE46CF" w:rsidRDefault="00EB551E" w:rsidP="00EB551E">
      <w:r w:rsidRPr="00AE46CF">
        <w:t xml:space="preserve">Tento ukazatel je však nutné brát s rezervou a v kombinaci s údaji o struktuře a typu realizovaných inovací. Jeho hodnoty pocházejí z šetření </w:t>
      </w:r>
      <w:r w:rsidRPr="00AE46CF">
        <w:rPr>
          <w:i/>
        </w:rPr>
        <w:t xml:space="preserve">ČSÚ - Inovační aktivity podniků v České republice </w:t>
      </w:r>
      <w:r>
        <w:rPr>
          <w:i/>
        </w:rPr>
        <w:t>-</w:t>
      </w:r>
      <w:r w:rsidRPr="00AE46CF">
        <w:rPr>
          <w:i/>
        </w:rPr>
        <w:t xml:space="preserve"> 20</w:t>
      </w:r>
      <w:r>
        <w:rPr>
          <w:i/>
        </w:rPr>
        <w:t>12</w:t>
      </w:r>
      <w:r w:rsidRPr="00AE46CF">
        <w:rPr>
          <w:i/>
        </w:rPr>
        <w:t xml:space="preserve"> až 20</w:t>
      </w:r>
      <w:r>
        <w:rPr>
          <w:i/>
        </w:rPr>
        <w:t>14</w:t>
      </w:r>
      <w:r w:rsidRPr="00AE46CF">
        <w:rPr>
          <w:i/>
        </w:rPr>
        <w:t>,</w:t>
      </w:r>
      <w:r w:rsidRPr="00AE46CF">
        <w:t xml:space="preserve"> a proto je nutné mít toto při interpretaci výsledků šetření na paměti. Toto šetření je prováděné na základě subjektivního hodnocení respondentů a získané údaje a odpovědi není možné prakticky nijak verifikovat. Z výsledků šetření také není možné zjistit, zda se jedná o inovace vzniklé soustavnou výzkumnou či vývojovou aktivitou firem, nebo zda jde o inovace generované poptávkou. Důležité pro potenciální efekt inovace je také informace o oboru/odvětví, kde daná inovace vzniká a jaké jsou možnosti jejího využití i v jiných příbuzných oborech. Tyto a další faktory mají zásadní vliv na celkový přínos konkrétní inovace pro výkonnost regionální ekonomiky.</w:t>
      </w:r>
    </w:p>
    <w:p w:rsidR="00EB551E" w:rsidRPr="00AE46CF" w:rsidRDefault="00EB551E" w:rsidP="00EB551E">
      <w:r w:rsidRPr="00AE46CF">
        <w:rPr>
          <w:b/>
        </w:rPr>
        <w:t xml:space="preserve">V Karlovarském kraji byl podle šetření ČSÚ </w:t>
      </w:r>
      <w:r>
        <w:rPr>
          <w:b/>
        </w:rPr>
        <w:t xml:space="preserve">zjištěn nejmenší podíl inovačních podniků. </w:t>
      </w:r>
      <w:r w:rsidRPr="004715B5">
        <w:t xml:space="preserve">Karlovarský kraj na předposlední Plzeňský kraj ztrácí zhruba 7%, což je největší rozdíl mezi kraji. Zároveň podíl inovačních podniků na celkovém počtu podniků v Praze je oproti Karlovarskému kraji skoro dvojnásobný. Připomeňme, že hodnoty tohoto ukazatele příliš nevypovídají o přínosu pro ekonomiku </w:t>
      </w:r>
      <w:r w:rsidRPr="004715B5">
        <w:lastRenderedPageBreak/>
        <w:t xml:space="preserve">kraje. Uvedený ukazatel také nezohledňuje, zda daný subjekt za sledované období inovoval pouze jednou nebo provedl několik desítek inovací a tento fakt tak výsledky zkresluje. I přesto je patrné, že určitý potenciál a aktivita v inovační oblasti v kraji existuje. </w:t>
      </w:r>
    </w:p>
    <w:p w:rsidR="00EB551E" w:rsidRDefault="00EB551E" w:rsidP="00EB551E">
      <w:r w:rsidRPr="00AE46CF">
        <w:t xml:space="preserve">Celková situace v oblasti inovací a rozvoje znalostní ekonomiky v Karlovarském kraji není nikterak příznivá. </w:t>
      </w:r>
      <w:r>
        <w:t>Z tvrdých dat vyplývá, že je kraj na posledním místě ve všech uvedených ukazatelích (</w:t>
      </w:r>
      <w:r w:rsidRPr="004715B5">
        <w:t>výdaje na VaV a inovace, inovační výstupy</w:t>
      </w:r>
      <w:r>
        <w:t xml:space="preserve">, náklady na inovace, tržby za inovované produkty, podíl inovačních podniků). </w:t>
      </w:r>
      <w:r w:rsidRPr="00AE46CF">
        <w:t xml:space="preserve">Kraj doplácí na jednodušší a málo znalostně náročnou povahu aktivit zdejších podniků. </w:t>
      </w:r>
      <w:r>
        <w:t xml:space="preserve">I když díky např. inovačním voucherům a růstu firem se postupně firmy zapojují do inovačních procesů. Zároveň jsou pozice firem dány - </w:t>
      </w:r>
      <w:r w:rsidRPr="00AE46CF">
        <w:t xml:space="preserve">především </w:t>
      </w:r>
      <w:r>
        <w:t>postavením</w:t>
      </w:r>
      <w:r w:rsidRPr="00AE46CF">
        <w:t xml:space="preserve"> v globálních hodnotových řetězcích</w:t>
      </w:r>
      <w:r>
        <w:t xml:space="preserve"> (matky-dcery),</w:t>
      </w:r>
      <w:r w:rsidRPr="00AE46CF">
        <w:t xml:space="preserve"> a z toho </w:t>
      </w:r>
      <w:r>
        <w:t xml:space="preserve">pak </w:t>
      </w:r>
      <w:r w:rsidRPr="00AE46CF">
        <w:t>vyplýv</w:t>
      </w:r>
      <w:r>
        <w:t>á</w:t>
      </w:r>
      <w:r w:rsidRPr="00AE46CF">
        <w:t xml:space="preserve"> </w:t>
      </w:r>
      <w:r>
        <w:t xml:space="preserve">jejich </w:t>
      </w:r>
      <w:r w:rsidRPr="00AE46CF">
        <w:t>orientac</w:t>
      </w:r>
      <w:r>
        <w:t>e</w:t>
      </w:r>
      <w:r w:rsidRPr="00AE46CF">
        <w:t xml:space="preserve"> na málo sofistikovanou zakázkovou výrobu </w:t>
      </w:r>
      <w:r>
        <w:t>(</w:t>
      </w:r>
      <w:r w:rsidRPr="00AE46CF">
        <w:t>především pro německé firmy</w:t>
      </w:r>
      <w:r>
        <w:t>)</w:t>
      </w:r>
      <w:r w:rsidRPr="00AE46CF">
        <w:t>. Určitý kvalitativní posun v těchto strukturách (tzv. upgrading) je pro firmy v kraji velmi složitý</w:t>
      </w:r>
      <w:r>
        <w:t>, nicméně se zde pomalu rozvíjí</w:t>
      </w:r>
      <w:r w:rsidRPr="00AE46CF">
        <w:t>.</w:t>
      </w:r>
      <w:r>
        <w:t xml:space="preserve"> Vznikají zde totiž firmy, které poskytují i náročnější služby.</w:t>
      </w:r>
      <w:r w:rsidRPr="00AE46CF">
        <w:t xml:space="preserve"> Většímu důrazu na znalostně založené ekonomické aktivity brání </w:t>
      </w:r>
      <w:r>
        <w:t xml:space="preserve">rovněž </w:t>
      </w:r>
      <w:r w:rsidRPr="00AE46CF">
        <w:t>nepříznivá vzdělanostní struktura populace a malá atraktivita kraje pro investory přicházející s kvalitativně náročnější výrobou. Většímu využití endogenního potenciálu kraje brání jeho relativně malá velikost, periferní poloha a také absence silného ekonomického centra regionu. To je také jeden z</w:t>
      </w:r>
      <w:r>
        <w:t> </w:t>
      </w:r>
      <w:r w:rsidRPr="00AE46CF">
        <w:t>důvodů</w:t>
      </w:r>
      <w:r>
        <w:t>,</w:t>
      </w:r>
      <w:r w:rsidRPr="00AE46CF">
        <w:t xml:space="preserve"> proč v kraji není umístěna univerzita či významnější vědecko-výzkumné ústavy, které by mohly generovat nové poznatky, technologie a inovace a jejich přenos do výrobní praxe by mohl pomoci nastartovat ekonomickou výkonnost kraje. Pro konkrétní zjištění inovační výkonnosti podniků v kraji by bylo nutné provést detailní kvalitativní šetření.</w:t>
      </w:r>
    </w:p>
    <w:p w:rsidR="00EB551E" w:rsidRPr="007E563D" w:rsidRDefault="00EB551E" w:rsidP="00EB551E">
      <w:pPr>
        <w:pStyle w:val="Nadpis2"/>
        <w:rPr>
          <w:rStyle w:val="Siln"/>
          <w:rFonts w:cstheme="majorBidi"/>
          <w:b/>
        </w:rPr>
      </w:pPr>
      <w:r w:rsidRPr="007E563D">
        <w:t>Klíčové výzvy</w:t>
      </w:r>
      <w:r w:rsidRPr="007E563D">
        <w:rPr>
          <w:rStyle w:val="Siln"/>
          <w:rFonts w:cstheme="majorBidi"/>
          <w:b/>
        </w:rPr>
        <w:t>/problémy</w:t>
      </w:r>
    </w:p>
    <w:p w:rsidR="00EB551E" w:rsidRPr="002A1FD6" w:rsidRDefault="00EB551E" w:rsidP="00EB551E">
      <w:pPr>
        <w:rPr>
          <w:b/>
        </w:rPr>
      </w:pPr>
      <w:r w:rsidRPr="002A1FD6">
        <w:rPr>
          <w:b/>
        </w:rPr>
        <w:t>Extrémně nízká úroveň inovačních vstupů a výstupů</w:t>
      </w:r>
    </w:p>
    <w:p w:rsidR="00EB551E" w:rsidRDefault="00EB551E" w:rsidP="00EB551E">
      <w:pPr>
        <w:rPr>
          <w:rStyle w:val="Siln"/>
          <w:rFonts w:eastAsiaTheme="majorEastAsia"/>
          <w:b w:val="0"/>
          <w:bCs/>
        </w:rPr>
      </w:pPr>
      <w:r w:rsidRPr="003563AE">
        <w:rPr>
          <w:rStyle w:val="Siln"/>
          <w:rFonts w:eastAsiaTheme="majorEastAsia"/>
          <w:b w:val="0"/>
          <w:bCs/>
        </w:rPr>
        <w:t xml:space="preserve">Ačkoliv vysoká míra inovačních vstupů </w:t>
      </w:r>
      <w:r>
        <w:rPr>
          <w:rStyle w:val="Siln"/>
          <w:rFonts w:eastAsiaTheme="majorEastAsia"/>
          <w:b w:val="0"/>
          <w:bCs/>
        </w:rPr>
        <w:t xml:space="preserve">do VaV </w:t>
      </w:r>
      <w:r w:rsidRPr="003563AE">
        <w:rPr>
          <w:rStyle w:val="Siln"/>
          <w:rFonts w:eastAsiaTheme="majorEastAsia"/>
          <w:b w:val="0"/>
          <w:bCs/>
        </w:rPr>
        <w:t xml:space="preserve">nezaručuje automaticky i adekvátní míru výstupů VaV, velmi malá pozornost věnovaná </w:t>
      </w:r>
      <w:r>
        <w:rPr>
          <w:rStyle w:val="Siln"/>
          <w:rFonts w:eastAsiaTheme="majorEastAsia"/>
          <w:b w:val="0"/>
          <w:bCs/>
        </w:rPr>
        <w:t xml:space="preserve">systému </w:t>
      </w:r>
      <w:r w:rsidRPr="003563AE">
        <w:rPr>
          <w:rStyle w:val="Siln"/>
          <w:rFonts w:eastAsiaTheme="majorEastAsia"/>
          <w:b w:val="0"/>
          <w:bCs/>
        </w:rPr>
        <w:t>inova</w:t>
      </w:r>
      <w:r>
        <w:rPr>
          <w:rStyle w:val="Siln"/>
          <w:rFonts w:eastAsiaTheme="majorEastAsia"/>
          <w:b w:val="0"/>
          <w:bCs/>
        </w:rPr>
        <w:t>cí</w:t>
      </w:r>
      <w:r w:rsidRPr="003563AE">
        <w:rPr>
          <w:rStyle w:val="Siln"/>
          <w:rFonts w:eastAsiaTheme="majorEastAsia"/>
          <w:b w:val="0"/>
          <w:bCs/>
        </w:rPr>
        <w:t xml:space="preserve"> je v Karlovarském kraji problémem. Region je s výrazným odstupem na posledním místě ve výdajích na VaV, počtu </w:t>
      </w:r>
      <w:r>
        <w:rPr>
          <w:rStyle w:val="Siln"/>
          <w:rFonts w:eastAsiaTheme="majorEastAsia"/>
          <w:b w:val="0"/>
          <w:bCs/>
        </w:rPr>
        <w:t>pracovníků ve výzkumu a vývoji, v</w:t>
      </w:r>
      <w:r w:rsidRPr="003563AE">
        <w:rPr>
          <w:rStyle w:val="Siln"/>
          <w:rFonts w:eastAsiaTheme="majorEastAsia"/>
          <w:b w:val="0"/>
          <w:bCs/>
        </w:rPr>
        <w:t xml:space="preserve"> podílu VŠ </w:t>
      </w:r>
      <w:r>
        <w:rPr>
          <w:rStyle w:val="Siln"/>
          <w:rFonts w:eastAsiaTheme="majorEastAsia"/>
          <w:b w:val="0"/>
          <w:bCs/>
        </w:rPr>
        <w:t xml:space="preserve">zaměstnanosti </w:t>
      </w:r>
      <w:r w:rsidRPr="003563AE">
        <w:rPr>
          <w:rStyle w:val="Siln"/>
          <w:rFonts w:eastAsiaTheme="majorEastAsia"/>
          <w:b w:val="0"/>
          <w:bCs/>
        </w:rPr>
        <w:t xml:space="preserve">a </w:t>
      </w:r>
      <w:r>
        <w:rPr>
          <w:rStyle w:val="Siln"/>
          <w:rFonts w:eastAsiaTheme="majorEastAsia"/>
          <w:b w:val="0"/>
          <w:bCs/>
        </w:rPr>
        <w:t>v podílu zaměstnaných na odborných pozicích.</w:t>
      </w:r>
    </w:p>
    <w:p w:rsidR="00EB551E" w:rsidRPr="002A1FD6" w:rsidRDefault="00EB551E" w:rsidP="00EB551E">
      <w:pPr>
        <w:rPr>
          <w:b/>
          <w:i/>
        </w:rPr>
      </w:pPr>
      <w:r w:rsidRPr="002A1FD6">
        <w:rPr>
          <w:b/>
          <w:i/>
        </w:rPr>
        <w:t>Příčiny</w:t>
      </w:r>
    </w:p>
    <w:p w:rsidR="00EB551E" w:rsidRPr="003563AE" w:rsidRDefault="00EB551E" w:rsidP="00EB551E">
      <w:pPr>
        <w:rPr>
          <w:rStyle w:val="Siln"/>
          <w:rFonts w:eastAsiaTheme="majorEastAsia"/>
          <w:b w:val="0"/>
          <w:bCs/>
        </w:rPr>
      </w:pPr>
      <w:r w:rsidRPr="003563AE">
        <w:rPr>
          <w:rStyle w:val="Siln"/>
          <w:rFonts w:eastAsiaTheme="majorEastAsia"/>
          <w:b w:val="0"/>
          <w:bCs/>
        </w:rPr>
        <w:t xml:space="preserve">Tento stav nejvíce ovlivňuje povaha aktivit místních firem. Ty se až na výjimky vůbec nevěnují systematickému výzkumu či vývoji. Situaci ještě zhoršuje absence univerzity či výzkumného ústavu </w:t>
      </w:r>
      <w:r>
        <w:rPr>
          <w:rStyle w:val="Siln"/>
          <w:rFonts w:eastAsiaTheme="majorEastAsia"/>
          <w:b w:val="0"/>
          <w:bCs/>
        </w:rPr>
        <w:br/>
      </w:r>
      <w:r w:rsidRPr="003563AE">
        <w:rPr>
          <w:rStyle w:val="Siln"/>
          <w:rFonts w:eastAsiaTheme="majorEastAsia"/>
          <w:b w:val="0"/>
          <w:bCs/>
        </w:rPr>
        <w:t>v kraji. Tyto instituce mohou generovat cenné výzkumné poznatky a podílet se na jejich aplikaci do firemní praxe (transfer technologií, vznik spin-off firem apod.)</w:t>
      </w:r>
      <w:r>
        <w:rPr>
          <w:rStyle w:val="Siln"/>
          <w:rFonts w:eastAsiaTheme="majorEastAsia"/>
          <w:b w:val="0"/>
          <w:bCs/>
        </w:rPr>
        <w:t>.</w:t>
      </w:r>
    </w:p>
    <w:p w:rsidR="00EB551E" w:rsidRPr="002A1FD6" w:rsidRDefault="00EB551E" w:rsidP="00EB551E">
      <w:pPr>
        <w:rPr>
          <w:b/>
          <w:i/>
        </w:rPr>
      </w:pPr>
      <w:r w:rsidRPr="002A1FD6">
        <w:rPr>
          <w:b/>
          <w:i/>
        </w:rPr>
        <w:t xml:space="preserve">Důsledky </w:t>
      </w:r>
    </w:p>
    <w:p w:rsidR="00EB551E" w:rsidRPr="00F51B47" w:rsidRDefault="00EB551E" w:rsidP="00EB551E">
      <w:pPr>
        <w:rPr>
          <w:rStyle w:val="Siln"/>
          <w:rFonts w:eastAsiaTheme="majorEastAsia"/>
          <w:b w:val="0"/>
          <w:bCs/>
        </w:rPr>
      </w:pPr>
      <w:r w:rsidRPr="003563AE">
        <w:rPr>
          <w:rStyle w:val="Siln"/>
          <w:rFonts w:eastAsiaTheme="majorEastAsia"/>
          <w:b w:val="0"/>
          <w:bCs/>
        </w:rPr>
        <w:t>Přímým důsledkem je nízký počet inovačních výstupů (měřeno patenty) ve srovnání s ostatními kraji. Nicméně v podílu s vloženými náklady na inovace</w:t>
      </w:r>
      <w:r w:rsidRPr="00E80417">
        <w:rPr>
          <w:rStyle w:val="Siln"/>
          <w:rFonts w:eastAsiaTheme="majorEastAsia"/>
          <w:b w:val="0"/>
          <w:bCs/>
        </w:rPr>
        <w:t xml:space="preserve"> a následnými tržbami, zastává Karlovarský kraj průměrnou pozici mezi k</w:t>
      </w:r>
      <w:r w:rsidRPr="00F51B47">
        <w:rPr>
          <w:rStyle w:val="Siln"/>
          <w:rFonts w:eastAsiaTheme="majorEastAsia"/>
          <w:b w:val="0"/>
          <w:bCs/>
        </w:rPr>
        <w:t>raji. Bohužel však není možné změřit náročnost inovačních aktivit a patentů. Důsledkem může být také převažující jednodušší povaha inovačních aktivit, které jen výjimečně vedou k uvedení nového produktu na trh</w:t>
      </w:r>
      <w:r>
        <w:rPr>
          <w:rStyle w:val="Siln"/>
          <w:rFonts w:eastAsiaTheme="majorEastAsia"/>
          <w:b w:val="0"/>
          <w:bCs/>
        </w:rPr>
        <w:t>,</w:t>
      </w:r>
      <w:r w:rsidRPr="00F51B47">
        <w:rPr>
          <w:rStyle w:val="Siln"/>
          <w:rFonts w:eastAsiaTheme="majorEastAsia"/>
          <w:b w:val="0"/>
          <w:bCs/>
        </w:rPr>
        <w:t xml:space="preserve"> případně vzniku úplně nových trhů. Kraj bude při zachování této situace jen velmi složitě postupovat ke znalostně založené regionální ekonomice.</w:t>
      </w:r>
    </w:p>
    <w:p w:rsidR="00EB551E" w:rsidRPr="002A1FD6" w:rsidRDefault="00EB551E" w:rsidP="00EB551E">
      <w:pPr>
        <w:rPr>
          <w:b/>
        </w:rPr>
      </w:pPr>
      <w:r w:rsidRPr="002A1FD6">
        <w:rPr>
          <w:b/>
        </w:rPr>
        <w:lastRenderedPageBreak/>
        <w:t>Absence univerzity či vědecko-výzkumných institucí v kraji</w:t>
      </w:r>
    </w:p>
    <w:p w:rsidR="00EB551E" w:rsidRDefault="00EB551E" w:rsidP="00EB551E">
      <w:pPr>
        <w:rPr>
          <w:rStyle w:val="Siln"/>
          <w:rFonts w:eastAsiaTheme="majorEastAsia"/>
          <w:b w:val="0"/>
          <w:bCs/>
        </w:rPr>
      </w:pPr>
      <w:r w:rsidRPr="003563AE">
        <w:rPr>
          <w:rStyle w:val="Siln"/>
          <w:rFonts w:eastAsiaTheme="majorEastAsia"/>
          <w:b w:val="0"/>
          <w:bCs/>
        </w:rPr>
        <w:t>V Karlovarském kraji se nenachází univerzita ani významnější vědecko-výzkumná instituce. Jsou zde pouze pobočky vysokých škol.</w:t>
      </w:r>
    </w:p>
    <w:p w:rsidR="00EB551E" w:rsidRPr="002A1FD6" w:rsidRDefault="00EB551E" w:rsidP="00EB551E">
      <w:pPr>
        <w:rPr>
          <w:b/>
          <w:i/>
        </w:rPr>
      </w:pPr>
      <w:r w:rsidRPr="002A1FD6">
        <w:rPr>
          <w:b/>
          <w:i/>
        </w:rPr>
        <w:t>Příčiny</w:t>
      </w:r>
    </w:p>
    <w:p w:rsidR="00EB551E" w:rsidRPr="00E80417" w:rsidRDefault="00EB551E" w:rsidP="00EB551E">
      <w:pPr>
        <w:rPr>
          <w:rStyle w:val="Siln"/>
          <w:rFonts w:eastAsiaTheme="majorEastAsia"/>
          <w:b w:val="0"/>
          <w:bCs/>
        </w:rPr>
      </w:pPr>
      <w:r w:rsidRPr="003563AE">
        <w:rPr>
          <w:rStyle w:val="Siln"/>
          <w:rFonts w:eastAsiaTheme="majorEastAsia"/>
          <w:b w:val="0"/>
          <w:bCs/>
        </w:rPr>
        <w:t>Příčinou je především periferní poloha kraje, jeho malá populační velikost a historické okolnosti, které nepřispívaly ke vzniku univerzity. Zároveň je tu malá tradice v průmyslových oborech, které ve velké míře využívají VaV poznatků a inovací, a proto zde nebyl prostor pro vznik významnější vědecko-výzkumné instituce.</w:t>
      </w:r>
    </w:p>
    <w:p w:rsidR="00EB551E" w:rsidRPr="002A1FD6" w:rsidRDefault="00EB551E" w:rsidP="00EB551E">
      <w:pPr>
        <w:rPr>
          <w:b/>
          <w:sz w:val="20"/>
          <w:szCs w:val="20"/>
        </w:rPr>
      </w:pPr>
      <w:r w:rsidRPr="002A1FD6">
        <w:rPr>
          <w:b/>
          <w:i/>
        </w:rPr>
        <w:t>Důsledky</w:t>
      </w:r>
    </w:p>
    <w:p w:rsidR="00EB551E" w:rsidRDefault="00EB551E" w:rsidP="00EB551E">
      <w:pPr>
        <w:rPr>
          <w:rStyle w:val="Siln"/>
          <w:rFonts w:eastAsiaTheme="majorEastAsia"/>
          <w:b w:val="0"/>
          <w:bCs/>
        </w:rPr>
      </w:pPr>
      <w:r>
        <w:rPr>
          <w:rStyle w:val="Siln"/>
          <w:rFonts w:eastAsiaTheme="majorEastAsia"/>
          <w:b w:val="0"/>
          <w:bCs/>
        </w:rPr>
        <w:t>N</w:t>
      </w:r>
      <w:r w:rsidRPr="003563AE">
        <w:rPr>
          <w:rStyle w:val="Siln"/>
          <w:rFonts w:eastAsiaTheme="majorEastAsia"/>
          <w:b w:val="0"/>
          <w:bCs/>
        </w:rPr>
        <w:t>ízká vzdělanostní úroveň obyvatel</w:t>
      </w:r>
      <w:r>
        <w:rPr>
          <w:rStyle w:val="Siln"/>
          <w:rFonts w:eastAsiaTheme="majorEastAsia"/>
          <w:b w:val="0"/>
          <w:bCs/>
        </w:rPr>
        <w:t xml:space="preserve"> a</w:t>
      </w:r>
      <w:r w:rsidRPr="003563AE">
        <w:rPr>
          <w:rStyle w:val="Siln"/>
          <w:rFonts w:eastAsiaTheme="majorEastAsia"/>
          <w:b w:val="0"/>
          <w:bCs/>
        </w:rPr>
        <w:t xml:space="preserve"> efekt „odsávání“ vzdělaných absolventů VŠ do metropolitních regionů (především Prahy) oslabuj</w:t>
      </w:r>
      <w:r>
        <w:rPr>
          <w:rStyle w:val="Siln"/>
          <w:rFonts w:eastAsiaTheme="majorEastAsia"/>
          <w:b w:val="0"/>
          <w:bCs/>
        </w:rPr>
        <w:t>í</w:t>
      </w:r>
      <w:r w:rsidRPr="003563AE">
        <w:rPr>
          <w:rStyle w:val="Siln"/>
          <w:rFonts w:eastAsiaTheme="majorEastAsia"/>
          <w:b w:val="0"/>
          <w:bCs/>
        </w:rPr>
        <w:t xml:space="preserve"> vzdělanostní úroveň regionu a ten se stává cílem firem, které využívají spíše méně kvalifikovanou pracovní sílu a jejichž hlavním motivem jsou nízké výrobní náklady. Kraj vzhledem k výše popsaným problémům nemá šanci získat univerzitu či její fakultativní pracoviště. Vhodné je spíše se pokusit o navázání spolupráce mezi firmami v Karlovarském kraji a případný</w:t>
      </w:r>
      <w:r w:rsidRPr="00E80417">
        <w:rPr>
          <w:rStyle w:val="Siln"/>
          <w:rFonts w:eastAsiaTheme="majorEastAsia"/>
          <w:b w:val="0"/>
          <w:bCs/>
        </w:rPr>
        <w:t xml:space="preserve"> transfer technologií z některé VŠ okolních regionů (Plzeň, Ústí, Praha).</w:t>
      </w:r>
    </w:p>
    <w:p w:rsidR="00EB551E" w:rsidRDefault="00EB551E" w:rsidP="00EB551E">
      <w:pPr>
        <w:rPr>
          <w:b/>
        </w:rPr>
      </w:pPr>
      <w:r>
        <w:rPr>
          <w:b/>
        </w:rPr>
        <w:t>Rozvoj balneologie jako zdravotnického oboru</w:t>
      </w:r>
    </w:p>
    <w:p w:rsidR="00EB551E" w:rsidRDefault="00EB551E" w:rsidP="00EB551E">
      <w:r>
        <w:t>Společenské změny na konci 20. a začátku 21. století vedly k modifikaci spotřebního chování a trávení volného času a většímu zájmu společnosti o vlastní zdraví a pohodu. Z tohoto důvodu nastal intenzivní příklon ke krátkodobým pobytům typu wellness. Tím se také změnil charakter ekonomického chování lázeňských měst (kratší turnusy, větší frekvence obměny lázeňských hostů). Postupně se vytvořila úzká vazba mezi lázeňstvím a cestovním ruchem a z obecného povědomí se postupně vytratilo vnímání lázeňství jako zdravotnického oboru. Je proto nutné vrátit lázeňství jeho zdravotnický význam a prohlubovat výzkum balneologie.</w:t>
      </w:r>
    </w:p>
    <w:p w:rsidR="00EB551E" w:rsidRDefault="00EB551E" w:rsidP="00EB551E">
      <w:r>
        <w:rPr>
          <w:b/>
          <w:i/>
        </w:rPr>
        <w:t>Příčiny</w:t>
      </w:r>
    </w:p>
    <w:p w:rsidR="00EB551E" w:rsidRDefault="00EB551E" w:rsidP="00EB551E">
      <w:r>
        <w:t>Po transformaci ekonomiky se řada původně lázeňských provozů transformovala na turistická zařízení nabízející komerční wellness. Zpomalil či se zcela pozastavil výzkum v oblasti balneologie. Klíčový obor Karlovarského kraje tímto také postupně ztrácí odborný balneologický personál.</w:t>
      </w:r>
    </w:p>
    <w:p w:rsidR="00EB551E" w:rsidRDefault="00EB551E" w:rsidP="00EB551E">
      <w:pPr>
        <w:rPr>
          <w:b/>
          <w:i/>
        </w:rPr>
      </w:pPr>
      <w:r>
        <w:rPr>
          <w:b/>
          <w:i/>
        </w:rPr>
        <w:t>Důsledky</w:t>
      </w:r>
    </w:p>
    <w:p w:rsidR="00EB551E" w:rsidRDefault="00EB551E" w:rsidP="00EB551E">
      <w:r>
        <w:t>Je nutné využívat endogenní konkurenční výhody kraje, přičemž Karlovarský kraj nutně musí stavět na unikátních přírodních zdrojích a na ně navázaných, po staletí ověřených tradičních oborech. Rozvoj balneologického výzkumu povede nejen k udržení této tradiční krajské domény, ale také k posílení zájmu specifické odborné veřejnosti o Karlovarský kraj. Výzkum a inovace v oblasti balneologie povedou k posílení odborných kapacit v kraji, k příchodu vysoce kvalifikovaných osob do regionu a zvýšení prestiže kraje.</w:t>
      </w:r>
    </w:p>
    <w:p w:rsidR="00EB551E" w:rsidRDefault="00EB551E" w:rsidP="00EB551E">
      <w:pPr>
        <w:rPr>
          <w:b/>
        </w:rPr>
      </w:pPr>
      <w:r>
        <w:rPr>
          <w:b/>
        </w:rPr>
        <w:t>Využití potenciálu dynamicky se rozvíjejících průmyslových odvětví</w:t>
      </w:r>
    </w:p>
    <w:p w:rsidR="00EB551E" w:rsidRDefault="00EB551E" w:rsidP="00EB551E">
      <w:r w:rsidRPr="00B630F3">
        <w:t xml:space="preserve">Nástup </w:t>
      </w:r>
      <w:r>
        <w:t>Průmyslu 4.0</w:t>
      </w:r>
      <w:r w:rsidRPr="00B630F3">
        <w:t xml:space="preserve"> zásadním způsobem mění povahu průmysl</w:t>
      </w:r>
      <w:r>
        <w:t>ových odvětví</w:t>
      </w:r>
      <w:r w:rsidRPr="00B630F3">
        <w:t xml:space="preserve">, energetiky, obchodu, logistiky a dalších částí hospodářství i celé společnosti. </w:t>
      </w:r>
      <w:r>
        <w:t xml:space="preserve">K tomu, aby se ekonomické aktivity v kraji </w:t>
      </w:r>
      <w:r>
        <w:lastRenderedPageBreak/>
        <w:t xml:space="preserve">nefixovaly na nižších hodnotových řetězcích, je potřeba rozvíjet potenciál v  dynamicky se rozvíjejících oborech. Karlovarský kraj může stavět na tradičních oborech (výroba skla, porcelánu, hudebních nástrojů), kde v rámci tzv. </w:t>
      </w:r>
      <w:r w:rsidRPr="00B630F3">
        <w:t xml:space="preserve">čtvrté průmyslové revoluce </w:t>
      </w:r>
      <w:r>
        <w:t xml:space="preserve">najdou kreativita a design zcela jistě své uplatnění. Na významu nabývají rovněž </w:t>
      </w:r>
      <w:r w:rsidRPr="00B630F3">
        <w:t xml:space="preserve">kulturní a </w:t>
      </w:r>
      <w:r w:rsidRPr="00B630F3" w:rsidDel="00003B2A">
        <w:t>kreativní průmysl</w:t>
      </w:r>
      <w:r w:rsidRPr="00B630F3">
        <w:t>.</w:t>
      </w:r>
      <w:r>
        <w:t xml:space="preserve"> </w:t>
      </w:r>
    </w:p>
    <w:p w:rsidR="00EB551E" w:rsidRDefault="00EB551E" w:rsidP="00EB551E">
      <w:pPr>
        <w:rPr>
          <w:b/>
          <w:i/>
        </w:rPr>
      </w:pPr>
      <w:r>
        <w:rPr>
          <w:b/>
          <w:i/>
        </w:rPr>
        <w:t>Příčiny</w:t>
      </w:r>
    </w:p>
    <w:p w:rsidR="00EB551E" w:rsidRDefault="00EB551E" w:rsidP="00EB551E">
      <w:r>
        <w:t xml:space="preserve">V globalizovaném světě musí na významu nabírat necenová konkurence, ekonomika postavená na lokálních a regionálních jedinečnostech. Průmysl 4.0 bude vyžadovat zcela nové odborné kapacity, přičemž se nejedná jen o digitalizaci a virtualizaci, ale i s nimi provázaná kreativní odvětví. </w:t>
      </w:r>
    </w:p>
    <w:p w:rsidR="00EB551E" w:rsidRDefault="00EB551E" w:rsidP="00EB551E">
      <w:pPr>
        <w:rPr>
          <w:b/>
          <w:i/>
        </w:rPr>
      </w:pPr>
      <w:r>
        <w:rPr>
          <w:b/>
          <w:i/>
        </w:rPr>
        <w:t>Důsledky</w:t>
      </w:r>
    </w:p>
    <w:p w:rsidR="00EB551E" w:rsidRPr="00E37B10" w:rsidRDefault="00EB551E" w:rsidP="00EB551E">
      <w:r>
        <w:t xml:space="preserve">Pokud Karlovarský kraj včas podchytí změny související se čtvrtou průmyslovou revolucí a rozvoj kreativního a kulturního průmyslu, bude to mít pozitivní vliv na ekonomický i sociální vývoj v kraji. </w:t>
      </w:r>
    </w:p>
    <w:p w:rsidR="00EB551E" w:rsidRPr="002172C6" w:rsidRDefault="00EB551E" w:rsidP="00EB551E">
      <w:pPr>
        <w:pStyle w:val="Nadpis3"/>
        <w:spacing w:line="276" w:lineRule="auto"/>
        <w:rPr>
          <w:rStyle w:val="Odkazjemn"/>
          <w:rFonts w:ascii="Calibri" w:hAnsi="Calibri"/>
          <w:b w:val="0"/>
          <w:color w:val="000000"/>
        </w:rPr>
      </w:pPr>
      <w:r w:rsidRPr="002172C6">
        <w:rPr>
          <w:rStyle w:val="Odkazjemn"/>
          <w:rFonts w:ascii="Calibri" w:hAnsi="Calibri"/>
          <w:b w:val="0"/>
          <w:color w:val="000000"/>
        </w:rPr>
        <w:t>Literatura:</w:t>
      </w:r>
    </w:p>
    <w:p w:rsidR="00EB551E" w:rsidRPr="0060599C" w:rsidRDefault="00EB551E" w:rsidP="00EB551E">
      <w:r w:rsidRPr="0060599C">
        <w:t>Berman Group.</w:t>
      </w:r>
      <w:r w:rsidRPr="0060599C">
        <w:rPr>
          <w:i/>
        </w:rPr>
        <w:t xml:space="preserve"> Analýza inovačního potenciálu firem Karlovarského kraje </w:t>
      </w:r>
      <w:r w:rsidRPr="0060599C">
        <w:rPr>
          <w:color w:val="000000"/>
        </w:rPr>
        <w:t xml:space="preserve">[online]. </w:t>
      </w:r>
      <w:r w:rsidRPr="0060599C">
        <w:t xml:space="preserve">2010. Dostupné z: </w:t>
      </w:r>
      <w:hyperlink r:id="rId61" w:history="1">
        <w:r w:rsidRPr="0060599C">
          <w:rPr>
            <w:rStyle w:val="Hypertextovodkaz"/>
          </w:rPr>
          <w:t>http://www.karp-kv.cz/cz/Documents/Analyza_inovacniho_potencialu_firem_KK.pdf</w:t>
        </w:r>
      </w:hyperlink>
      <w:r w:rsidRPr="0060599C">
        <w:t>.</w:t>
      </w:r>
    </w:p>
    <w:p w:rsidR="00EB551E" w:rsidRPr="0060599C" w:rsidRDefault="00EB551E" w:rsidP="00EB551E">
      <w:r w:rsidRPr="0060599C">
        <w:t>ČSÚ.</w:t>
      </w:r>
      <w:r w:rsidRPr="0060599C">
        <w:rPr>
          <w:i/>
        </w:rPr>
        <w:t xml:space="preserve"> Inovační aktivity podniků v České republice - 2006 až 2008 </w:t>
      </w:r>
      <w:r w:rsidRPr="0060599C">
        <w:rPr>
          <w:color w:val="000000"/>
        </w:rPr>
        <w:t>[online]</w:t>
      </w:r>
      <w:r w:rsidRPr="0060599C">
        <w:t xml:space="preserve">. 2010. Dostupné z: </w:t>
      </w:r>
      <w:hyperlink r:id="rId62" w:history="1">
        <w:r w:rsidRPr="0060599C">
          <w:rPr>
            <w:rStyle w:val="Hypertextovodkaz"/>
          </w:rPr>
          <w:t>https://www.czso.cz/csu/czso/inovacni-aktivity-podniku-v-ceske-republice-v-letech-2006-az-2008-n-887wivbmq3</w:t>
        </w:r>
      </w:hyperlink>
      <w:r w:rsidRPr="0060599C">
        <w:t>.</w:t>
      </w:r>
    </w:p>
    <w:p w:rsidR="00EB551E" w:rsidRPr="0060599C" w:rsidRDefault="00EB551E" w:rsidP="00EB551E">
      <w:r w:rsidRPr="0060599C">
        <w:t>ČSÚ.</w:t>
      </w:r>
      <w:r w:rsidRPr="0060599C">
        <w:rPr>
          <w:i/>
        </w:rPr>
        <w:t xml:space="preserve"> Inovační aktivity podniků v České republice - 2008 až 2010</w:t>
      </w:r>
      <w:r w:rsidRPr="0060599C">
        <w:t xml:space="preserve"> </w:t>
      </w:r>
      <w:r w:rsidRPr="0060599C">
        <w:rPr>
          <w:color w:val="000000"/>
        </w:rPr>
        <w:t>[online]</w:t>
      </w:r>
      <w:r w:rsidRPr="0060599C">
        <w:t xml:space="preserve">. 2012. Dostupné z: </w:t>
      </w:r>
      <w:hyperlink r:id="rId63" w:history="1">
        <w:r w:rsidRPr="0060599C">
          <w:rPr>
            <w:rStyle w:val="Hypertextovodkaz"/>
          </w:rPr>
          <w:t>https://www.czso.cz/csu/czso/inovacni-aktivity-podniku-v-ceske-republice-2008-az-2010-1209129u35</w:t>
        </w:r>
      </w:hyperlink>
      <w:r w:rsidRPr="0060599C">
        <w:t>.</w:t>
      </w:r>
    </w:p>
    <w:p w:rsidR="00EB551E" w:rsidRDefault="00EB551E" w:rsidP="00EB551E">
      <w:r w:rsidRPr="0060599C">
        <w:t>ČSÚ.</w:t>
      </w:r>
      <w:r w:rsidRPr="0060599C">
        <w:rPr>
          <w:i/>
        </w:rPr>
        <w:t xml:space="preserve"> Inovační aktivity podniků v České republice - 2012 až 2014 </w:t>
      </w:r>
      <w:r w:rsidRPr="0060599C">
        <w:rPr>
          <w:color w:val="000000"/>
        </w:rPr>
        <w:t>[online]</w:t>
      </w:r>
      <w:r w:rsidRPr="0060599C">
        <w:t xml:space="preserve">. 2016. Dostupné z: </w:t>
      </w:r>
      <w:hyperlink r:id="rId64" w:history="1">
        <w:r w:rsidRPr="0060599C">
          <w:rPr>
            <w:rStyle w:val="Hypertextovodkaz"/>
          </w:rPr>
          <w:t>https://www.czso.cz/csu/czso/inovacni-aktivity-podniku-v-cr-2012-az-2014</w:t>
        </w:r>
      </w:hyperlink>
      <w:r w:rsidRPr="0060599C">
        <w:t>.</w:t>
      </w:r>
    </w:p>
    <w:p w:rsidR="00F84B78" w:rsidRDefault="00F84B78" w:rsidP="002C40B2">
      <w:pPr>
        <w:spacing w:after="160"/>
        <w:jc w:val="left"/>
      </w:pPr>
      <w:r>
        <w:br w:type="page"/>
      </w:r>
    </w:p>
    <w:p w:rsidR="00267549" w:rsidRPr="00037495" w:rsidRDefault="00F84B78" w:rsidP="00094A5B">
      <w:pPr>
        <w:pStyle w:val="Nadpis1"/>
      </w:pPr>
      <w:bookmarkStart w:id="150" w:name="_Toc488233392"/>
      <w:r w:rsidRPr="00037495">
        <w:lastRenderedPageBreak/>
        <w:t>Informační a komunikační technologie</w:t>
      </w:r>
      <w:bookmarkEnd w:id="150"/>
    </w:p>
    <w:p w:rsidR="00495E3A" w:rsidRDefault="00495E3A" w:rsidP="00495E3A">
      <w:pPr>
        <w:spacing w:before="240" w:after="160"/>
        <w:rPr>
          <w:lang w:eastAsia="en-US"/>
        </w:rPr>
      </w:pPr>
      <w:r w:rsidRPr="00037495">
        <w:rPr>
          <w:lang w:eastAsia="en-US"/>
        </w:rPr>
        <w:t>Informační a komunikační technologie (dále jen ICT), které usnadňují komunikaci a získávání informací, jsou dnes běžnou součástí života a prochází velmi dynamickým vývojem. Z tohoto důvodu se Karlovarský kraj zabývá</w:t>
      </w:r>
      <w:r>
        <w:rPr>
          <w:lang w:eastAsia="en-US"/>
        </w:rPr>
        <w:t xml:space="preserve"> budováním infrastruktury pro jejich další rozvoj a současně věnuje pozornost úskalím spojeným s jejich užíváním, a to zejména co se týče zajištění bezpečnosti dat ve veřejné správě, kterou se kraj snaží zajistit prostřednictvím právních úprav (vyhlášky, interní řízení atd.), technologií (budování infrastruktury, realizací preventivních opatření a programů atd.) a realizací školení.</w:t>
      </w:r>
    </w:p>
    <w:p w:rsidR="00495E3A" w:rsidRDefault="00495E3A" w:rsidP="00495E3A">
      <w:pPr>
        <w:spacing w:after="160"/>
      </w:pPr>
      <w:r>
        <w:t>V souvislosti s tím je třeba respektovat / řídit se následujícími stávajícími legislativními úpravami:</w:t>
      </w:r>
    </w:p>
    <w:p w:rsidR="00495E3A" w:rsidRPr="00131A3A" w:rsidRDefault="00495E3A" w:rsidP="00495E3A">
      <w:pPr>
        <w:pStyle w:val="Odstavecseseznamem"/>
        <w:numPr>
          <w:ilvl w:val="0"/>
          <w:numId w:val="25"/>
        </w:numPr>
        <w:spacing w:after="160"/>
        <w:rPr>
          <w:lang w:eastAsia="en-US"/>
        </w:rPr>
      </w:pPr>
      <w:r w:rsidRPr="00131A3A">
        <w:t xml:space="preserve">Zákon č. 181/2014 Sb., o kybernetické bezpečnosti a o změně souvisejících zákonů (zákon </w:t>
      </w:r>
      <w:r>
        <w:br/>
      </w:r>
      <w:r w:rsidRPr="00131A3A">
        <w:t>o kybernetické bezpečnosti), a vyhláška č. 316/2014 Sb., o bezpečnostních incidentech, reaktivních opatřeních a stanovení náležitostí podání v oblasti kybernetické bezpečnosti</w:t>
      </w:r>
    </w:p>
    <w:p w:rsidR="00495E3A" w:rsidRDefault="00495E3A" w:rsidP="00495E3A">
      <w:pPr>
        <w:spacing w:after="160"/>
      </w:pPr>
      <w:r>
        <w:t xml:space="preserve">Zákon, který nabyl účinnosti dne 1. ledna 2015, upravuje práva a povinnosti osob a působnost pravomoci orgánů veřejné moci v oblasti kybernetické bezpečnosti. Zákon mj. definuje orgány a osoby, kterým se ukládají povinnosti v oblasti kybernetické bezpečnosti, a definuje povinnosti těchto osob. </w:t>
      </w:r>
    </w:p>
    <w:p w:rsidR="00495E3A" w:rsidRDefault="00495E3A" w:rsidP="00495E3A">
      <w:pPr>
        <w:spacing w:after="160"/>
      </w:pPr>
      <w:r>
        <w:t xml:space="preserve">Současně dne 1. ledna 2015 nabyla účinnosti vyhláška č. 316/2014 Sb., o bezpečnostních incidentech, reaktivních opatřeních a stanovení náležitostí podání v oblasti kybernetické bezpečnosti (vyhláška </w:t>
      </w:r>
      <w:r>
        <w:br/>
        <w:t>o kybernetické bezpečnosti). Předmětnou vyhláškou byl stanoven obsah a struktura bezpečnostní dokumentace pro informační systém kritické informační infrastruktury, komunikační systém kritické informační infrastruktury nebo významný informační systém, obsah bezpečnostních opatření, rozsah jejich zavedení, typy a kategorie bezpečnostních incidentů, náležitosti a způsob hlášení kybernetického bezpečnostního incidentu, náležitosti oznámení o provedení reaktivních opatření a jeho výsledku a vzor oznámení kontaktních údajů a jeho formu.</w:t>
      </w:r>
    </w:p>
    <w:p w:rsidR="00495E3A" w:rsidRDefault="00495E3A" w:rsidP="00495E3A">
      <w:pPr>
        <w:pStyle w:val="Odstavecseseznamem"/>
        <w:numPr>
          <w:ilvl w:val="0"/>
          <w:numId w:val="25"/>
        </w:numPr>
        <w:spacing w:after="160"/>
        <w:rPr>
          <w:lang w:eastAsia="en-US"/>
        </w:rPr>
      </w:pPr>
      <w:r>
        <w:rPr>
          <w:lang w:eastAsia="en-US"/>
        </w:rPr>
        <w:t xml:space="preserve">Vyhláška č. 317/2014 Sb., kterou se stanoví významné informační systémy a jejich určující kritéria </w:t>
      </w:r>
    </w:p>
    <w:p w:rsidR="00495E3A" w:rsidRDefault="00495E3A" w:rsidP="00495E3A">
      <w:pPr>
        <w:pStyle w:val="Odstavecseseznamem"/>
        <w:numPr>
          <w:ilvl w:val="0"/>
          <w:numId w:val="25"/>
        </w:numPr>
        <w:spacing w:after="160"/>
        <w:rPr>
          <w:lang w:eastAsia="en-US"/>
        </w:rPr>
      </w:pPr>
      <w:r>
        <w:rPr>
          <w:lang w:eastAsia="en-US"/>
        </w:rPr>
        <w:t>Novelizované nařízení vlády ze dne 22. prosince 2010 č. 432/2010 Sb., o kritériích pro určení prvku kritické infrastruktury</w:t>
      </w:r>
    </w:p>
    <w:p w:rsidR="00495E3A" w:rsidRDefault="00495E3A" w:rsidP="00495E3A">
      <w:pPr>
        <w:pStyle w:val="Odstavecseseznamem"/>
        <w:numPr>
          <w:ilvl w:val="0"/>
          <w:numId w:val="25"/>
        </w:numPr>
        <w:spacing w:after="160"/>
        <w:rPr>
          <w:lang w:eastAsia="en-US"/>
        </w:rPr>
      </w:pPr>
      <w:r>
        <w:t>Zákon č. 127/2005 Sb., o elektronických komunikacích;</w:t>
      </w:r>
    </w:p>
    <w:p w:rsidR="00495E3A" w:rsidRDefault="00495E3A" w:rsidP="00495E3A">
      <w:pPr>
        <w:pStyle w:val="Odstavecseseznamem"/>
        <w:numPr>
          <w:ilvl w:val="0"/>
          <w:numId w:val="25"/>
        </w:numPr>
        <w:spacing w:after="160"/>
        <w:rPr>
          <w:lang w:eastAsia="en-US"/>
        </w:rPr>
      </w:pPr>
      <w:r>
        <w:t>Zákon č. 240/2000 Sb., o krizovém řízení a o změně některých zákonů</w:t>
      </w:r>
    </w:p>
    <w:p w:rsidR="00495E3A" w:rsidRDefault="00495E3A" w:rsidP="00495E3A">
      <w:pPr>
        <w:spacing w:after="160"/>
      </w:pPr>
      <w:r>
        <w:t xml:space="preserve">Dále je třeba, aby kraj respektoval nařízení a opatření Národního bezpečnostního úřadu (dále jen NBÚ), který působí v České republice od roku 2011 a který je gestorem a národní autoritou pro oblast kybernetické bezpečnosti. Kraj je povinen činit opatření vydané NBÚ. Dále by měl nahlašovat kybernetické bezpečnostní incidenty a zavádět bezpečnostní opatření. </w:t>
      </w:r>
    </w:p>
    <w:p w:rsidR="00495E3A" w:rsidRDefault="00495E3A" w:rsidP="00495E3A">
      <w:pPr>
        <w:spacing w:after="160"/>
      </w:pPr>
      <w:r>
        <w:t>Současně by měl kraj plnit povinnosti, které vyplývají z Národní strategie kybernetické bezpečnosti České republiky na období let 2015 až 2020</w:t>
      </w:r>
      <w:r>
        <w:rPr>
          <w:rStyle w:val="Znakapoznpodarou"/>
        </w:rPr>
        <w:footnoteReference w:id="7"/>
      </w:r>
      <w:r>
        <w:t xml:space="preserve">, která je základním koncepčním dokumentem vlády České republiky pro tuto oblast. V jejím Akčním plánu jsou definovány kroky, které vedou </w:t>
      </w:r>
      <w:r>
        <w:lastRenderedPageBreak/>
        <w:t>k naplňování strategie. Je-li krajům stanovena zodpovědnost, termíny plnění a kontroly u projektů, které se jich týkají, je třeba, aby se kraj jimi zabýval. Kraj by měl činit kroky i v souladu se Strategií kybernetické bezpečnosti EU</w:t>
      </w:r>
      <w:r>
        <w:rPr>
          <w:rStyle w:val="Znakapoznpodarou"/>
        </w:rPr>
        <w:footnoteReference w:id="8"/>
      </w:r>
      <w:r>
        <w:t xml:space="preserve">, která se zabývá předcházením narušení a útokům zasahujícím evropské telekomunikační systémy a pro reakci na taková narušení a útoky. </w:t>
      </w:r>
    </w:p>
    <w:p w:rsidR="00495E3A" w:rsidRDefault="00495E3A" w:rsidP="00495E3A">
      <w:pPr>
        <w:spacing w:after="160"/>
      </w:pPr>
      <w:r>
        <w:t>Dalším právním předpisem, kterým by se měl kraj řídit, je Směrnice Evropského parlamentu a Rady (EU) 2016/1148 ze dne 6. července 2016, o opatřeních k zajištění vysoké společné úrovně bezpečnosti sítí a informačních systémů v Unii. Směrnice stanovuje opatření pro dosažení vysoké společné úrovně bezpečnosti sítí a informačních systémů v rámci Unie s cílem zlepšení fungování vnitřního trhu. Směrnice tedy:</w:t>
      </w:r>
    </w:p>
    <w:p w:rsidR="00495E3A" w:rsidRDefault="00495E3A" w:rsidP="00495E3A">
      <w:pPr>
        <w:shd w:val="clear" w:color="auto" w:fill="FFFFFF"/>
        <w:spacing w:before="120" w:after="0"/>
        <w:ind w:left="567" w:hanging="283"/>
        <w:textAlignment w:val="baseline"/>
      </w:pPr>
      <w:r>
        <w:t>a)</w:t>
      </w:r>
      <w:r>
        <w:tab/>
        <w:t xml:space="preserve">ukládá všem členským státům povinnost přijmout národní strategii pro bezpečnost sítí </w:t>
      </w:r>
      <w:r>
        <w:br/>
        <w:t>a informačních systémů;</w:t>
      </w:r>
    </w:p>
    <w:p w:rsidR="00495E3A" w:rsidRDefault="00495E3A" w:rsidP="00495E3A">
      <w:pPr>
        <w:shd w:val="clear" w:color="auto" w:fill="FFFFFF"/>
        <w:spacing w:before="120" w:after="0"/>
        <w:ind w:left="567" w:hanging="283"/>
        <w:textAlignment w:val="baseline"/>
      </w:pPr>
      <w:r>
        <w:t>b)</w:t>
      </w:r>
      <w:r>
        <w:tab/>
        <w:t>ustavuje skupinu pro spolupráci, jejímž účelem je podporovat a usnadňovat strategickou spolupráci a výměnu informací mezi členskými státy a budovat vzájemnou důvěru;</w:t>
      </w:r>
    </w:p>
    <w:p w:rsidR="00495E3A" w:rsidRDefault="00495E3A" w:rsidP="00495E3A">
      <w:pPr>
        <w:shd w:val="clear" w:color="auto" w:fill="FFFFFF"/>
        <w:spacing w:before="120" w:after="0"/>
        <w:ind w:left="567" w:hanging="283"/>
        <w:textAlignment w:val="baseline"/>
      </w:pPr>
      <w:r>
        <w:t>c)</w:t>
      </w:r>
      <w:r>
        <w:tab/>
        <w:t>ustavuje síť bezpečnostních týmů typu CSIRT (dále jen „síť CSIRT“), jejímž účelem je přispívat k budování důvěry mezi členskými státy a podporovat rychlou a účinnou operativní spolupráci;</w:t>
      </w:r>
    </w:p>
    <w:p w:rsidR="00495E3A" w:rsidRDefault="00495E3A" w:rsidP="00495E3A">
      <w:pPr>
        <w:shd w:val="clear" w:color="auto" w:fill="FFFFFF"/>
        <w:spacing w:before="120" w:after="0"/>
        <w:ind w:left="567" w:hanging="283"/>
        <w:textAlignment w:val="baseline"/>
      </w:pPr>
      <w:r>
        <w:t>d)</w:t>
      </w:r>
      <w:r>
        <w:tab/>
        <w:t>zavádí bezpečnostní požadavky a požadavky na hlášení incidentů pro provozovatele základních služeb a pro poskytovatele digitálních služeb;</w:t>
      </w:r>
    </w:p>
    <w:p w:rsidR="00495E3A" w:rsidRDefault="00495E3A" w:rsidP="00495E3A">
      <w:pPr>
        <w:shd w:val="clear" w:color="auto" w:fill="FFFFFF"/>
        <w:spacing w:before="120" w:after="0"/>
        <w:ind w:left="567" w:hanging="283"/>
        <w:textAlignment w:val="baseline"/>
      </w:pPr>
      <w:r>
        <w:t>e)</w:t>
      </w:r>
      <w:r>
        <w:tab/>
        <w:t>ukládá členským státům povinnost určit vnitrostátní příslušné orgány, jednotná kontaktní místa a týmy CSIRT, jejichž úkoly budou souviset s bezpečností sítí a informačních systémů.</w:t>
      </w:r>
    </w:p>
    <w:p w:rsidR="00495E3A" w:rsidRDefault="00495E3A" w:rsidP="00495E3A">
      <w:pPr>
        <w:spacing w:before="240" w:after="160"/>
      </w:pPr>
      <w:r>
        <w:rPr>
          <w:lang w:eastAsia="en-US"/>
        </w:rPr>
        <w:t xml:space="preserve">Karlovarský kraj má pro správu svého informačního systému veřejné správy (dále jen ISVS), který představuje soubor informačních systémů sloužících výkonu veřejné správy, zpracovanou Informační koncepci na roky 2013–2018, a to na základě zákona č. 365/2000 Sb., o ISVS, ve znění pozdějších předpisů. V této koncepci si kraj stanovil </w:t>
      </w:r>
      <w:r>
        <w:t>pro všechny spravované ISVS své dlouhodobé cíle v oblasti řízení kvality a bezpečnosti těchto systémů a současně definoval obecné principy pořizování, vytváření a provozování těchto systémů. Koncepce obsahuje oblasti zaměřené na kvalitu zpracovávaných dat, zajišťovaných služeb a kvalitu technické a programové infrastruktury. V rámci jednotlivých cílů se pak zaměřuje např. na zvýšení integrity dat, efektivitu systému, provozní stabilitu a výkon atd.</w:t>
      </w:r>
    </w:p>
    <w:p w:rsidR="00495E3A" w:rsidRDefault="00495E3A" w:rsidP="00495E3A">
      <w:pPr>
        <w:spacing w:after="160"/>
        <w:rPr>
          <w:lang w:eastAsia="en-US"/>
        </w:rPr>
      </w:pPr>
      <w:r>
        <w:rPr>
          <w:lang w:eastAsia="en-US"/>
        </w:rPr>
        <w:t>Dále kraj v posledních letech realizoval (zejména v rámci Regionálního akčního plánu k Programu rozvoje Karlovarského kraje na období 2007–2013) projekty, které byly zaměřené na rozvoj služeb a bezpečnost v ICT (viz níže). Řada těchto projektů byla realizována i v souvislosti se zaváděním a rozvojem konceptu eGovernment, k jehož fungování bylo třeba vytvořit, zajistit provoz a údržbu infrastruktury pro zpracování klíčových dat regionu prostřednictvím aplikací a systémů (např. spisové služby, datových skladů, digitální mapy veřejné správy atd.). Více viz kapitola Smart veřejná správa.</w:t>
      </w:r>
    </w:p>
    <w:p w:rsidR="00495E3A" w:rsidRDefault="00495E3A" w:rsidP="00495E3A">
      <w:pPr>
        <w:pStyle w:val="Odstavecseseznamem"/>
        <w:numPr>
          <w:ilvl w:val="0"/>
          <w:numId w:val="26"/>
        </w:numPr>
        <w:spacing w:after="160"/>
        <w:rPr>
          <w:b/>
          <w:lang w:eastAsia="en-US"/>
        </w:rPr>
      </w:pPr>
      <w:r>
        <w:rPr>
          <w:b/>
          <w:lang w:eastAsia="en-US"/>
        </w:rPr>
        <w:t>INDIVIDUÁLNÍ PROJEKT VZDĚLÁVÁNÍ V EGON CENTRU KARLOVARSKÉHO KRAJE</w:t>
      </w:r>
    </w:p>
    <w:p w:rsidR="00495E3A" w:rsidRDefault="00495E3A" w:rsidP="00495E3A">
      <w:pPr>
        <w:spacing w:after="160"/>
        <w:rPr>
          <w:lang w:eastAsia="en-US"/>
        </w:rPr>
      </w:pPr>
      <w:r>
        <w:rPr>
          <w:lang w:eastAsia="en-US"/>
        </w:rPr>
        <w:t xml:space="preserve">Projekt byl realizován za účelem posílení institucionální kapacity a efektivnosti výkonu veřejné správy a veřejných služeb. V rámci projektu došlo k realizaci školení v oblasti eGovernmentu pro úředníky, zaměstnance, členy zastupitelstva kraje a zaměstnance krajem zřizovaných organizací. Školení byla </w:t>
      </w:r>
      <w:r>
        <w:rPr>
          <w:lang w:eastAsia="en-US"/>
        </w:rPr>
        <w:lastRenderedPageBreak/>
        <w:t>zaměřena na ovládání všech funkcionalit CzechPOINT, vidimaci, legalizaci, konverzi dokumentů, znalost práce se SSL (</w:t>
      </w:r>
      <w:r>
        <w:rPr>
          <w:rStyle w:val="Zdraznn"/>
          <w:rFonts w:eastAsiaTheme="majorEastAsia"/>
        </w:rPr>
        <w:t>Secure Sockets Layer</w:t>
      </w:r>
      <w:r>
        <w:rPr>
          <w:lang w:eastAsia="en-US"/>
        </w:rPr>
        <w:t>) nebo Dokument Management Systémem, ovládání datových schránek, práci se základními registry, práce s datovými úložišti, vytvořením Digitální mapy veřejné správy (DMVS) atd.</w:t>
      </w:r>
    </w:p>
    <w:p w:rsidR="00495E3A" w:rsidRDefault="00495E3A" w:rsidP="00495E3A">
      <w:pPr>
        <w:pStyle w:val="Odstavecseseznamem"/>
        <w:numPr>
          <w:ilvl w:val="0"/>
          <w:numId w:val="26"/>
        </w:numPr>
        <w:spacing w:after="160"/>
        <w:rPr>
          <w:b/>
          <w:lang w:eastAsia="en-US"/>
        </w:rPr>
      </w:pPr>
      <w:r>
        <w:rPr>
          <w:b/>
          <w:lang w:eastAsia="en-US"/>
        </w:rPr>
        <w:t>ROZVOJ SLUŽEB EGOVERNMENTU V KRAJÍCH</w:t>
      </w:r>
    </w:p>
    <w:p w:rsidR="00495E3A" w:rsidRDefault="00495E3A" w:rsidP="00495E3A">
      <w:pPr>
        <w:spacing w:after="160"/>
        <w:rPr>
          <w:lang w:eastAsia="en-US"/>
        </w:rPr>
      </w:pPr>
      <w:r>
        <w:rPr>
          <w:lang w:eastAsia="en-US"/>
        </w:rPr>
        <w:t xml:space="preserve">Realizace projektu Rozvoj služeb eGovernmentu v krajích umožnila reálný rozvoj konceptu eGovernmentu - projekt souvisel s celkovou realizací strategie zavádění eGovernmentu v ČR (více viz kapitola Smart veřejná správa). </w:t>
      </w:r>
    </w:p>
    <w:p w:rsidR="00495E3A" w:rsidRDefault="00495E3A" w:rsidP="00495E3A">
      <w:pPr>
        <w:spacing w:after="160"/>
        <w:rPr>
          <w:lang w:eastAsia="en-US"/>
        </w:rPr>
      </w:pPr>
      <w:r>
        <w:rPr>
          <w:lang w:eastAsia="en-US"/>
        </w:rPr>
        <w:t>Projekt byl zaměřen na integraci s centrálními projekty, sdílení dat s centrálními registry ve veřejné správě, zřízení technologického centra kraje (dále jen TCK), včetně zajištění povinných služeb, realizace „rolloutu“ typového projektu TCK a vytváření dalších relevantních registrů pro potřeby územní veřejné správy. V rámci projektu došlo k vybudování komunikační infrastruktury územní veřejné správy, vybudování přístupových míst pro komunikaci s informačními systémy veřejné správy a elektronizaci služeb veřejné správy, a to zejména formou elektronizace procesních postupů u jednotlivých agend vykonávaných orgány územní veřejné správy.</w:t>
      </w:r>
    </w:p>
    <w:p w:rsidR="00495E3A" w:rsidRDefault="00495E3A" w:rsidP="00495E3A">
      <w:pPr>
        <w:spacing w:after="160"/>
        <w:rPr>
          <w:lang w:eastAsia="en-US"/>
        </w:rPr>
      </w:pPr>
      <w:r>
        <w:rPr>
          <w:lang w:eastAsia="en-US"/>
        </w:rPr>
        <w:t xml:space="preserve">Projekt byl složen z 6 částí: </w:t>
      </w:r>
    </w:p>
    <w:p w:rsidR="00495E3A" w:rsidRDefault="00495E3A" w:rsidP="00495E3A">
      <w:pPr>
        <w:pStyle w:val="Odstavecseseznamem"/>
        <w:numPr>
          <w:ilvl w:val="0"/>
          <w:numId w:val="27"/>
        </w:numPr>
        <w:spacing w:after="160"/>
        <w:rPr>
          <w:lang w:eastAsia="en-US"/>
        </w:rPr>
      </w:pPr>
      <w:r>
        <w:rPr>
          <w:lang w:eastAsia="en-US"/>
        </w:rPr>
        <w:t>Elektronická spisová služba;</w:t>
      </w:r>
    </w:p>
    <w:p w:rsidR="00495E3A" w:rsidRDefault="00495E3A" w:rsidP="00495E3A">
      <w:pPr>
        <w:pStyle w:val="Odstavecseseznamem"/>
        <w:numPr>
          <w:ilvl w:val="0"/>
          <w:numId w:val="27"/>
        </w:numPr>
        <w:spacing w:after="160"/>
        <w:rPr>
          <w:lang w:eastAsia="en-US"/>
        </w:rPr>
      </w:pPr>
      <w:r>
        <w:rPr>
          <w:lang w:eastAsia="en-US"/>
        </w:rPr>
        <w:t>Digitální mapa veřejné správy;</w:t>
      </w:r>
    </w:p>
    <w:p w:rsidR="00495E3A" w:rsidRDefault="00495E3A" w:rsidP="00495E3A">
      <w:pPr>
        <w:pStyle w:val="Odstavecseseznamem"/>
        <w:numPr>
          <w:ilvl w:val="0"/>
          <w:numId w:val="27"/>
        </w:numPr>
        <w:spacing w:after="160"/>
        <w:rPr>
          <w:lang w:eastAsia="en-US"/>
        </w:rPr>
      </w:pPr>
      <w:r>
        <w:rPr>
          <w:lang w:eastAsia="en-US"/>
        </w:rPr>
        <w:t>Digitalizace a ukládání dat;</w:t>
      </w:r>
    </w:p>
    <w:p w:rsidR="00495E3A" w:rsidRDefault="00495E3A" w:rsidP="00495E3A">
      <w:pPr>
        <w:pStyle w:val="Odstavecseseznamem"/>
        <w:numPr>
          <w:ilvl w:val="0"/>
          <w:numId w:val="27"/>
        </w:numPr>
        <w:spacing w:after="160"/>
        <w:rPr>
          <w:lang w:eastAsia="en-US"/>
        </w:rPr>
      </w:pPr>
      <w:r>
        <w:rPr>
          <w:lang w:eastAsia="en-US"/>
        </w:rPr>
        <w:t>Vnitřní integrace úřadu a integrace s informačním systémem veřejné správy;</w:t>
      </w:r>
    </w:p>
    <w:p w:rsidR="00495E3A" w:rsidRDefault="00495E3A" w:rsidP="00495E3A">
      <w:pPr>
        <w:pStyle w:val="Odstavecseseznamem"/>
        <w:numPr>
          <w:ilvl w:val="0"/>
          <w:numId w:val="27"/>
        </w:numPr>
        <w:spacing w:after="160"/>
        <w:rPr>
          <w:lang w:eastAsia="en-US"/>
        </w:rPr>
      </w:pPr>
      <w:r>
        <w:rPr>
          <w:lang w:eastAsia="en-US"/>
        </w:rPr>
        <w:t>Datové sklady, manažerské informační systémy a nástroje Bussines intelligence;</w:t>
      </w:r>
    </w:p>
    <w:p w:rsidR="00495E3A" w:rsidRDefault="00495E3A" w:rsidP="00495E3A">
      <w:pPr>
        <w:pStyle w:val="Odstavecseseznamem"/>
        <w:numPr>
          <w:ilvl w:val="0"/>
          <w:numId w:val="27"/>
        </w:numPr>
        <w:spacing w:after="160"/>
        <w:rPr>
          <w:lang w:eastAsia="en-US"/>
        </w:rPr>
      </w:pPr>
      <w:r>
        <w:rPr>
          <w:lang w:eastAsia="en-US"/>
        </w:rPr>
        <w:t>Zřízení technologického centra na úrovni kraje vč. zajištění povinných služeb.</w:t>
      </w:r>
    </w:p>
    <w:p w:rsidR="00495E3A" w:rsidRDefault="00495E3A" w:rsidP="00495E3A">
      <w:pPr>
        <w:spacing w:after="160"/>
        <w:rPr>
          <w:lang w:eastAsia="en-US"/>
        </w:rPr>
      </w:pPr>
      <w:r>
        <w:rPr>
          <w:lang w:eastAsia="en-US"/>
        </w:rPr>
        <w:t xml:space="preserve">V oblasti ICT infrastruktury se jednalo zejména o zajištění následujícího: </w:t>
      </w:r>
    </w:p>
    <w:p w:rsidR="00495E3A" w:rsidRDefault="00495E3A" w:rsidP="00495E3A">
      <w:pPr>
        <w:pStyle w:val="Odstavecseseznamem"/>
        <w:numPr>
          <w:ilvl w:val="1"/>
          <w:numId w:val="26"/>
        </w:numPr>
        <w:spacing w:after="160"/>
        <w:contextualSpacing w:val="0"/>
        <w:rPr>
          <w:b/>
          <w:lang w:eastAsia="en-US"/>
        </w:rPr>
      </w:pPr>
      <w:r>
        <w:rPr>
          <w:b/>
          <w:lang w:eastAsia="en-US"/>
        </w:rPr>
        <w:t>ELEKTRONICKÁ SPISOVÁ SLUŽBA</w:t>
      </w:r>
    </w:p>
    <w:p w:rsidR="00495E3A" w:rsidRDefault="00495E3A" w:rsidP="00495E3A">
      <w:pPr>
        <w:pStyle w:val="Odstavecseseznamem"/>
        <w:spacing w:before="240" w:after="160"/>
        <w:ind w:left="0"/>
        <w:contextualSpacing w:val="0"/>
        <w:rPr>
          <w:b/>
          <w:lang w:eastAsia="en-US"/>
        </w:rPr>
      </w:pPr>
      <w:r>
        <w:rPr>
          <w:lang w:eastAsia="en-US"/>
        </w:rPr>
        <w:t xml:space="preserve">Tato část projektu se zaměřila na </w:t>
      </w:r>
      <w:r>
        <w:t>realizaci hostované elektronické spisové služby, negarantovaného a garantovaného úložiště dokumentů.</w:t>
      </w:r>
    </w:p>
    <w:p w:rsidR="00495E3A" w:rsidRDefault="00495E3A" w:rsidP="00495E3A">
      <w:pPr>
        <w:pStyle w:val="Odstavecseseznamem"/>
        <w:numPr>
          <w:ilvl w:val="1"/>
          <w:numId w:val="26"/>
        </w:numPr>
        <w:spacing w:after="160"/>
        <w:contextualSpacing w:val="0"/>
        <w:rPr>
          <w:b/>
          <w:lang w:eastAsia="en-US"/>
        </w:rPr>
      </w:pPr>
      <w:r>
        <w:rPr>
          <w:b/>
          <w:lang w:eastAsia="en-US"/>
        </w:rPr>
        <w:t>DIGITÁLNÍ MAPA VEŘEJNÉ SPRÁVY</w:t>
      </w:r>
    </w:p>
    <w:p w:rsidR="00495E3A" w:rsidRDefault="00495E3A" w:rsidP="00495E3A">
      <w:pPr>
        <w:pStyle w:val="Odstavecseseznamem"/>
        <w:spacing w:before="240" w:after="160"/>
        <w:ind w:left="0"/>
        <w:contextualSpacing w:val="0"/>
        <w:rPr>
          <w:lang w:eastAsia="en-US"/>
        </w:rPr>
      </w:pPr>
      <w:r>
        <w:rPr>
          <w:lang w:eastAsia="en-US"/>
        </w:rPr>
        <w:t xml:space="preserve">Cílem projektu bylo vytvoření řešení pokrývající ucelenou funkcionalitu nutnou z pohledu územního plánování a digitální technické mapy kraje. Tento přístup umožňuje postupné zapojování subjektů působících na území kraje, správců sítí, obcí s pověřeným obecním úřadem či obcí s rozšířenou působností. </w:t>
      </w:r>
      <w:r>
        <w:t>Základními uživateli DMVS jsou subjekty veřejné správy, veřejnost, složky Integrovaného záchranného systému České republiky (IZS) a správci inženýrských sítí.</w:t>
      </w:r>
    </w:p>
    <w:p w:rsidR="00495E3A" w:rsidRDefault="00495E3A" w:rsidP="00495E3A">
      <w:pPr>
        <w:pStyle w:val="Odstavecseseznamem"/>
        <w:spacing w:before="240" w:after="0"/>
        <w:ind w:left="0"/>
        <w:rPr>
          <w:lang w:eastAsia="en-US"/>
        </w:rPr>
      </w:pPr>
      <w:r>
        <w:rPr>
          <w:lang w:eastAsia="en-US"/>
        </w:rPr>
        <w:t xml:space="preserve">Projekt DMVS se skládal ze tří dílčích projektů: </w:t>
      </w:r>
    </w:p>
    <w:p w:rsidR="00495E3A" w:rsidRDefault="00495E3A" w:rsidP="00495E3A">
      <w:pPr>
        <w:pStyle w:val="Odstavecseseznamem"/>
        <w:numPr>
          <w:ilvl w:val="0"/>
          <w:numId w:val="28"/>
        </w:numPr>
        <w:spacing w:after="0"/>
        <w:rPr>
          <w:lang w:eastAsia="en-US"/>
        </w:rPr>
      </w:pPr>
      <w:r>
        <w:rPr>
          <w:lang w:eastAsia="en-US"/>
        </w:rPr>
        <w:t xml:space="preserve">Účelová katastrální mapa (UKM); </w:t>
      </w:r>
    </w:p>
    <w:p w:rsidR="00495E3A" w:rsidRDefault="00495E3A" w:rsidP="00495E3A">
      <w:pPr>
        <w:pStyle w:val="Odstavecseseznamem"/>
        <w:numPr>
          <w:ilvl w:val="0"/>
          <w:numId w:val="28"/>
        </w:numPr>
        <w:spacing w:after="0"/>
        <w:contextualSpacing w:val="0"/>
        <w:rPr>
          <w:lang w:eastAsia="en-US"/>
        </w:rPr>
      </w:pPr>
      <w:r>
        <w:rPr>
          <w:lang w:eastAsia="en-US"/>
        </w:rPr>
        <w:t>Digitálně technická mapa (DTM);</w:t>
      </w:r>
    </w:p>
    <w:p w:rsidR="00273579" w:rsidRDefault="00495E3A" w:rsidP="00495E3A">
      <w:pPr>
        <w:pStyle w:val="Odstavecseseznamem"/>
        <w:numPr>
          <w:ilvl w:val="0"/>
          <w:numId w:val="28"/>
        </w:numPr>
        <w:spacing w:after="160"/>
        <w:contextualSpacing w:val="0"/>
        <w:rPr>
          <w:lang w:eastAsia="en-US"/>
        </w:rPr>
      </w:pPr>
      <w:r>
        <w:rPr>
          <w:lang w:eastAsia="en-US"/>
        </w:rPr>
        <w:t>Nástroje pro tvorbu a údržbu územně analytických podkladů (ÚAP).</w:t>
      </w:r>
    </w:p>
    <w:p w:rsidR="00273579" w:rsidRDefault="00273579">
      <w:pPr>
        <w:spacing w:after="160" w:line="259" w:lineRule="auto"/>
        <w:jc w:val="left"/>
        <w:rPr>
          <w:lang w:eastAsia="en-US"/>
        </w:rPr>
      </w:pPr>
      <w:r>
        <w:rPr>
          <w:lang w:eastAsia="en-US"/>
        </w:rPr>
        <w:br w:type="page"/>
      </w:r>
    </w:p>
    <w:p w:rsidR="00495E3A" w:rsidRDefault="00495E3A" w:rsidP="00495E3A">
      <w:pPr>
        <w:pStyle w:val="Odstavecseseznamem"/>
        <w:numPr>
          <w:ilvl w:val="1"/>
          <w:numId w:val="26"/>
        </w:numPr>
        <w:spacing w:after="160"/>
        <w:contextualSpacing w:val="0"/>
        <w:rPr>
          <w:b/>
          <w:lang w:eastAsia="en-US"/>
        </w:rPr>
      </w:pPr>
      <w:r>
        <w:rPr>
          <w:b/>
          <w:lang w:eastAsia="en-US"/>
        </w:rPr>
        <w:lastRenderedPageBreak/>
        <w:t>DIGITALIZACE A UKLÁDÁNÍ DAT</w:t>
      </w:r>
    </w:p>
    <w:p w:rsidR="00495E3A" w:rsidRDefault="00495E3A" w:rsidP="00495E3A">
      <w:pPr>
        <w:pStyle w:val="Odstavecseseznamem"/>
        <w:spacing w:before="240" w:after="160"/>
        <w:ind w:left="0"/>
        <w:contextualSpacing w:val="0"/>
      </w:pPr>
      <w:r>
        <w:t>Realizace této části projektu vycházela z potřeby uchování značného množství elektronických dokumentů a dat nejrůznějších typů, které vznikají v agendách veřejné správy na jednotlivých úrovních státní správy i samosprávy (vč. dokumentů neúředního charakteru). Z tohoto důvodu bylo podpořeno vytvoření následujících úložišť:</w:t>
      </w:r>
    </w:p>
    <w:p w:rsidR="00495E3A" w:rsidRDefault="00495E3A" w:rsidP="00495E3A">
      <w:pPr>
        <w:pStyle w:val="Odstavecseseznamem"/>
        <w:numPr>
          <w:ilvl w:val="0"/>
          <w:numId w:val="28"/>
        </w:numPr>
        <w:spacing w:after="0"/>
        <w:rPr>
          <w:lang w:eastAsia="en-US"/>
        </w:rPr>
      </w:pPr>
      <w:r>
        <w:rPr>
          <w:lang w:eastAsia="en-US"/>
        </w:rPr>
        <w:t>Krajská digitální spisovna (KDS);</w:t>
      </w:r>
    </w:p>
    <w:p w:rsidR="00495E3A" w:rsidRDefault="00495E3A" w:rsidP="00495E3A">
      <w:pPr>
        <w:pStyle w:val="Odstavecseseznamem"/>
        <w:numPr>
          <w:ilvl w:val="0"/>
          <w:numId w:val="28"/>
        </w:numPr>
        <w:spacing w:after="0"/>
        <w:rPr>
          <w:lang w:eastAsia="en-US"/>
        </w:rPr>
      </w:pPr>
      <w:r>
        <w:rPr>
          <w:lang w:eastAsia="en-US"/>
        </w:rPr>
        <w:t>Krajský digitální repozitář (KDR);</w:t>
      </w:r>
    </w:p>
    <w:p w:rsidR="00495E3A" w:rsidRDefault="00495E3A" w:rsidP="00495E3A">
      <w:pPr>
        <w:pStyle w:val="Odstavecseseznamem"/>
        <w:numPr>
          <w:ilvl w:val="0"/>
          <w:numId w:val="28"/>
        </w:numPr>
        <w:spacing w:after="0"/>
        <w:rPr>
          <w:lang w:eastAsia="en-US"/>
        </w:rPr>
      </w:pPr>
      <w:r>
        <w:rPr>
          <w:lang w:eastAsia="en-US"/>
        </w:rPr>
        <w:t>Krajské digitální úložiště (KDU);</w:t>
      </w:r>
    </w:p>
    <w:p w:rsidR="00495E3A" w:rsidRDefault="00495E3A" w:rsidP="00495E3A">
      <w:pPr>
        <w:pStyle w:val="Odstavecseseznamem"/>
        <w:numPr>
          <w:ilvl w:val="0"/>
          <w:numId w:val="28"/>
        </w:numPr>
        <w:spacing w:after="0"/>
        <w:rPr>
          <w:lang w:eastAsia="en-US"/>
        </w:rPr>
      </w:pPr>
      <w:r>
        <w:rPr>
          <w:lang w:eastAsia="en-US"/>
        </w:rPr>
        <w:t>Krajská digitalizační jednotka;</w:t>
      </w:r>
    </w:p>
    <w:p w:rsidR="00495E3A" w:rsidRDefault="00495E3A" w:rsidP="00495E3A">
      <w:pPr>
        <w:pStyle w:val="Odstavecseseznamem"/>
        <w:numPr>
          <w:ilvl w:val="0"/>
          <w:numId w:val="28"/>
        </w:numPr>
        <w:spacing w:after="0"/>
        <w:rPr>
          <w:lang w:eastAsia="en-US"/>
        </w:rPr>
      </w:pPr>
      <w:r>
        <w:rPr>
          <w:lang w:eastAsia="en-US"/>
        </w:rPr>
        <w:t>Digitalizované a uložené dokumenty.</w:t>
      </w:r>
    </w:p>
    <w:p w:rsidR="00495E3A" w:rsidRDefault="00495E3A" w:rsidP="00495E3A">
      <w:pPr>
        <w:pStyle w:val="Odstavecseseznamem"/>
        <w:numPr>
          <w:ilvl w:val="1"/>
          <w:numId w:val="26"/>
        </w:numPr>
        <w:spacing w:before="240" w:after="160"/>
        <w:ind w:left="1434" w:hanging="357"/>
        <w:contextualSpacing w:val="0"/>
        <w:rPr>
          <w:b/>
          <w:lang w:eastAsia="en-US"/>
        </w:rPr>
      </w:pPr>
      <w:r>
        <w:rPr>
          <w:b/>
          <w:lang w:eastAsia="en-US"/>
        </w:rPr>
        <w:t>VNITŘNÍ INTEGRACE ÚŘADU A INTEGRACE S INFORMAČNÍM SYSTÉMEM VEŘEJNÉ SPRÁVY</w:t>
      </w:r>
    </w:p>
    <w:p w:rsidR="00495E3A" w:rsidRDefault="00495E3A" w:rsidP="00495E3A">
      <w:pPr>
        <w:spacing w:after="160"/>
        <w:rPr>
          <w:lang w:eastAsia="en-US"/>
        </w:rPr>
      </w:pPr>
      <w:r>
        <w:rPr>
          <w:lang w:eastAsia="en-US"/>
        </w:rPr>
        <w:t xml:space="preserve">Vnitřní integrace úřadu se zabývala propojením </w:t>
      </w:r>
      <w:r>
        <w:t>vytvoření a provozování integračních služeb</w:t>
      </w:r>
      <w:r>
        <w:rPr>
          <w:lang w:eastAsia="en-US"/>
        </w:rPr>
        <w:t xml:space="preserve">, </w:t>
      </w:r>
      <w:r>
        <w:rPr>
          <w:lang w:eastAsia="en-US"/>
        </w:rPr>
        <w:br/>
        <w:t xml:space="preserve">tj. stávajících systémů a optimalizací jejich chodu. Cílem byla </w:t>
      </w:r>
      <w:r>
        <w:t xml:space="preserve">integrace současných služeb a jejich vazeb se službami nižších územně správních celků a centrálními službami státu. Současně projekt cílil na rozšíření spektra a kvality integračních služeb v souladu s poptávkou a zájmem subjektů veřejné správy, které působí v území. </w:t>
      </w:r>
    </w:p>
    <w:p w:rsidR="00495E3A" w:rsidRDefault="00495E3A" w:rsidP="00495E3A">
      <w:pPr>
        <w:spacing w:after="160"/>
        <w:rPr>
          <w:lang w:eastAsia="en-US"/>
        </w:rPr>
      </w:pPr>
      <w:r>
        <w:rPr>
          <w:lang w:eastAsia="en-US"/>
        </w:rPr>
        <w:t>Pro její naplnění byly realizovány následující aktivity:</w:t>
      </w:r>
    </w:p>
    <w:p w:rsidR="00495E3A" w:rsidRDefault="008E6C54" w:rsidP="00495E3A">
      <w:pPr>
        <w:pStyle w:val="Odstavecseseznamem"/>
        <w:numPr>
          <w:ilvl w:val="0"/>
          <w:numId w:val="28"/>
        </w:numPr>
        <w:tabs>
          <w:tab w:val="num" w:pos="1128"/>
          <w:tab w:val="num" w:pos="1440"/>
        </w:tabs>
        <w:spacing w:after="0"/>
        <w:rPr>
          <w:lang w:eastAsia="en-US"/>
        </w:rPr>
      </w:pPr>
      <w:r>
        <w:rPr>
          <w:lang w:eastAsia="en-US"/>
        </w:rPr>
        <w:t>a</w:t>
      </w:r>
      <w:r w:rsidR="00495E3A">
        <w:rPr>
          <w:lang w:eastAsia="en-US"/>
        </w:rPr>
        <w:t>nalýza současného stavu systému řízení úřadu a návrh realizace jeho úprav;</w:t>
      </w:r>
    </w:p>
    <w:p w:rsidR="00495E3A" w:rsidRDefault="008E6C54" w:rsidP="00495E3A">
      <w:pPr>
        <w:pStyle w:val="Odstavecseseznamem"/>
        <w:numPr>
          <w:ilvl w:val="0"/>
          <w:numId w:val="28"/>
        </w:numPr>
        <w:tabs>
          <w:tab w:val="num" w:pos="1128"/>
          <w:tab w:val="num" w:pos="1440"/>
        </w:tabs>
        <w:spacing w:after="0"/>
        <w:rPr>
          <w:lang w:eastAsia="en-US"/>
        </w:rPr>
      </w:pPr>
      <w:r>
        <w:rPr>
          <w:lang w:eastAsia="en-US"/>
        </w:rPr>
        <w:t>a</w:t>
      </w:r>
      <w:r w:rsidR="00495E3A">
        <w:rPr>
          <w:lang w:eastAsia="en-US"/>
        </w:rPr>
        <w:t>nalýza současného stavu rozvoje ICT systémů úřadu ve vazbě na centrální projekty a návrh realizace úprav;</w:t>
      </w:r>
    </w:p>
    <w:p w:rsidR="00495E3A" w:rsidRDefault="008E6C54" w:rsidP="00495E3A">
      <w:pPr>
        <w:pStyle w:val="Odstavecseseznamem"/>
        <w:numPr>
          <w:ilvl w:val="0"/>
          <w:numId w:val="28"/>
        </w:numPr>
        <w:tabs>
          <w:tab w:val="num" w:pos="1128"/>
          <w:tab w:val="num" w:pos="1440"/>
        </w:tabs>
        <w:spacing w:after="0"/>
        <w:rPr>
          <w:lang w:eastAsia="en-US"/>
        </w:rPr>
      </w:pPr>
      <w:r>
        <w:rPr>
          <w:lang w:eastAsia="en-US"/>
        </w:rPr>
        <w:t>a</w:t>
      </w:r>
      <w:r w:rsidR="00495E3A">
        <w:rPr>
          <w:lang w:eastAsia="en-US"/>
        </w:rPr>
        <w:t>utorizace, identifikace a autentizace konkrétního úředníka;</w:t>
      </w:r>
    </w:p>
    <w:p w:rsidR="00495E3A" w:rsidRDefault="008E6C54" w:rsidP="00495E3A">
      <w:pPr>
        <w:pStyle w:val="Odstavecseseznamem"/>
        <w:numPr>
          <w:ilvl w:val="0"/>
          <w:numId w:val="28"/>
        </w:numPr>
        <w:tabs>
          <w:tab w:val="num" w:pos="1128"/>
          <w:tab w:val="num" w:pos="1440"/>
        </w:tabs>
        <w:spacing w:after="0"/>
        <w:rPr>
          <w:lang w:eastAsia="en-US"/>
        </w:rPr>
      </w:pPr>
      <w:r>
        <w:rPr>
          <w:lang w:eastAsia="en-US"/>
        </w:rPr>
        <w:t>i</w:t>
      </w:r>
      <w:r w:rsidR="00495E3A">
        <w:rPr>
          <w:lang w:eastAsia="en-US"/>
        </w:rPr>
        <w:t>ntegrace personálního systému s identitním a autorizačním systémem úřadu;</w:t>
      </w:r>
    </w:p>
    <w:p w:rsidR="00495E3A" w:rsidRDefault="008E6C54" w:rsidP="00495E3A">
      <w:pPr>
        <w:pStyle w:val="Odstavecseseznamem"/>
        <w:numPr>
          <w:ilvl w:val="0"/>
          <w:numId w:val="28"/>
        </w:numPr>
        <w:tabs>
          <w:tab w:val="num" w:pos="1128"/>
          <w:tab w:val="num" w:pos="1440"/>
        </w:tabs>
        <w:spacing w:after="0"/>
        <w:rPr>
          <w:lang w:eastAsia="en-US"/>
        </w:rPr>
      </w:pPr>
      <w:r>
        <w:rPr>
          <w:lang w:eastAsia="en-US"/>
        </w:rPr>
        <w:t>i</w:t>
      </w:r>
      <w:r w:rsidR="00495E3A">
        <w:rPr>
          <w:lang w:eastAsia="en-US"/>
        </w:rPr>
        <w:t>ntegrace s Portálem veřejné správy;</w:t>
      </w:r>
    </w:p>
    <w:p w:rsidR="00495E3A" w:rsidRDefault="00495E3A" w:rsidP="00495E3A">
      <w:pPr>
        <w:pStyle w:val="Odstavecseseznamem"/>
        <w:numPr>
          <w:ilvl w:val="0"/>
          <w:numId w:val="28"/>
        </w:numPr>
        <w:tabs>
          <w:tab w:val="num" w:pos="1128"/>
          <w:tab w:val="num" w:pos="1440"/>
        </w:tabs>
        <w:spacing w:after="0"/>
        <w:rPr>
          <w:lang w:eastAsia="en-US"/>
        </w:rPr>
      </w:pPr>
      <w:r>
        <w:rPr>
          <w:lang w:eastAsia="en-US"/>
        </w:rPr>
        <w:t>IS integrované se základními registry;</w:t>
      </w:r>
    </w:p>
    <w:p w:rsidR="00495E3A" w:rsidRDefault="008E6C54" w:rsidP="00495E3A">
      <w:pPr>
        <w:pStyle w:val="Odstavecseseznamem"/>
        <w:numPr>
          <w:ilvl w:val="0"/>
          <w:numId w:val="28"/>
        </w:numPr>
        <w:tabs>
          <w:tab w:val="num" w:pos="1128"/>
          <w:tab w:val="num" w:pos="1440"/>
        </w:tabs>
        <w:spacing w:after="0"/>
        <w:rPr>
          <w:lang w:eastAsia="en-US"/>
        </w:rPr>
      </w:pPr>
      <w:r>
        <w:rPr>
          <w:lang w:eastAsia="en-US"/>
        </w:rPr>
        <w:t>i</w:t>
      </w:r>
      <w:r w:rsidR="00495E3A">
        <w:rPr>
          <w:lang w:eastAsia="en-US"/>
        </w:rPr>
        <w:t>ntegrace s dalšími centrálními informačními systémy dle potřeby;</w:t>
      </w:r>
    </w:p>
    <w:p w:rsidR="00495E3A" w:rsidRDefault="008E6C54" w:rsidP="00495E3A">
      <w:pPr>
        <w:pStyle w:val="Odstavecseseznamem"/>
        <w:numPr>
          <w:ilvl w:val="0"/>
          <w:numId w:val="28"/>
        </w:numPr>
        <w:tabs>
          <w:tab w:val="num" w:pos="1128"/>
          <w:tab w:val="num" w:pos="1440"/>
        </w:tabs>
        <w:spacing w:after="0"/>
        <w:rPr>
          <w:lang w:eastAsia="en-US"/>
        </w:rPr>
      </w:pPr>
      <w:r>
        <w:rPr>
          <w:lang w:eastAsia="en-US"/>
        </w:rPr>
        <w:t>p</w:t>
      </w:r>
      <w:r w:rsidR="00495E3A">
        <w:rPr>
          <w:lang w:eastAsia="en-US"/>
        </w:rPr>
        <w:t>ořízení, implementace a integrace dalších informačních systémů.</w:t>
      </w:r>
    </w:p>
    <w:p w:rsidR="00495E3A" w:rsidRDefault="00495E3A" w:rsidP="00495E3A">
      <w:pPr>
        <w:pStyle w:val="Odstavecseseznamem"/>
        <w:numPr>
          <w:ilvl w:val="1"/>
          <w:numId w:val="26"/>
        </w:numPr>
        <w:spacing w:before="240" w:after="160"/>
        <w:ind w:left="1434" w:hanging="357"/>
        <w:contextualSpacing w:val="0"/>
        <w:rPr>
          <w:b/>
          <w:lang w:eastAsia="en-US"/>
        </w:rPr>
      </w:pPr>
      <w:r>
        <w:rPr>
          <w:b/>
          <w:lang w:eastAsia="en-US"/>
        </w:rPr>
        <w:t>DATOVÉ SKLADY, MANAŽERSKÉ INFORMAČNÍ SYSTÉMY A NÁSTROJE BUSSINES INTELLIGENCE</w:t>
      </w:r>
    </w:p>
    <w:p w:rsidR="00495E3A" w:rsidRDefault="00495E3A" w:rsidP="00495E3A">
      <w:pPr>
        <w:pStyle w:val="Odstavecseseznamem"/>
        <w:spacing w:before="240" w:after="160"/>
        <w:ind w:left="0"/>
        <w:rPr>
          <w:lang w:eastAsia="en-US"/>
        </w:rPr>
      </w:pPr>
      <w:r>
        <w:rPr>
          <w:lang w:eastAsia="en-US"/>
        </w:rPr>
        <w:t xml:space="preserve">Hlavním záměrem této části projektu bylo pořízení nástrojů datových skladů a s tím související zvýšení využitelnosti všech relevantních dat krajské veřejné správy včetně zvýšení zpřístupnění zainteresovaným subjektům atd. Pro dosažení těchto záměrů bylo realizováno následující: </w:t>
      </w:r>
    </w:p>
    <w:p w:rsidR="00495E3A" w:rsidRDefault="00495E3A" w:rsidP="00495E3A">
      <w:pPr>
        <w:pStyle w:val="Odstavecseseznamem"/>
        <w:numPr>
          <w:ilvl w:val="0"/>
          <w:numId w:val="28"/>
        </w:numPr>
        <w:tabs>
          <w:tab w:val="num" w:pos="1128"/>
          <w:tab w:val="num" w:pos="1440"/>
        </w:tabs>
        <w:spacing w:after="0"/>
        <w:rPr>
          <w:lang w:eastAsia="en-US"/>
        </w:rPr>
      </w:pPr>
      <w:r>
        <w:rPr>
          <w:lang w:eastAsia="en-US"/>
        </w:rPr>
        <w:t>základní datový sklad kraje;</w:t>
      </w:r>
    </w:p>
    <w:p w:rsidR="00495E3A" w:rsidRDefault="00495E3A" w:rsidP="00495E3A">
      <w:pPr>
        <w:pStyle w:val="Odstavecseseznamem"/>
        <w:numPr>
          <w:ilvl w:val="0"/>
          <w:numId w:val="28"/>
        </w:numPr>
        <w:tabs>
          <w:tab w:val="num" w:pos="1128"/>
          <w:tab w:val="num" w:pos="1440"/>
        </w:tabs>
        <w:spacing w:after="0"/>
        <w:rPr>
          <w:lang w:eastAsia="en-US"/>
        </w:rPr>
      </w:pPr>
      <w:r>
        <w:rPr>
          <w:lang w:eastAsia="en-US"/>
        </w:rPr>
        <w:t>data - další možná datová tržiště;</w:t>
      </w:r>
    </w:p>
    <w:p w:rsidR="00495E3A" w:rsidRDefault="00495E3A" w:rsidP="00495E3A">
      <w:pPr>
        <w:pStyle w:val="Odstavecseseznamem"/>
        <w:numPr>
          <w:ilvl w:val="0"/>
          <w:numId w:val="28"/>
        </w:numPr>
        <w:tabs>
          <w:tab w:val="num" w:pos="1128"/>
          <w:tab w:val="num" w:pos="1440"/>
        </w:tabs>
        <w:spacing w:after="0"/>
        <w:rPr>
          <w:lang w:eastAsia="en-US"/>
        </w:rPr>
      </w:pPr>
      <w:r>
        <w:rPr>
          <w:lang w:eastAsia="en-US"/>
        </w:rPr>
        <w:t>software - transformační mechanismy a analytická vrstva - nestrukturovaná data a nástroje kvality;</w:t>
      </w:r>
    </w:p>
    <w:p w:rsidR="00495E3A" w:rsidRDefault="00495E3A" w:rsidP="00495E3A">
      <w:pPr>
        <w:pStyle w:val="Odstavecseseznamem"/>
        <w:numPr>
          <w:ilvl w:val="0"/>
          <w:numId w:val="28"/>
        </w:numPr>
        <w:tabs>
          <w:tab w:val="num" w:pos="1128"/>
          <w:tab w:val="num" w:pos="1440"/>
        </w:tabs>
        <w:spacing w:after="0"/>
        <w:rPr>
          <w:lang w:eastAsia="en-US"/>
        </w:rPr>
      </w:pPr>
      <w:r>
        <w:rPr>
          <w:lang w:eastAsia="en-US"/>
        </w:rPr>
        <w:t>software - prezentační vrstva a další nástroje BI - pokročilé nástroje.</w:t>
      </w:r>
    </w:p>
    <w:p w:rsidR="008E6C54" w:rsidRDefault="008E6C54" w:rsidP="008E6C54">
      <w:pPr>
        <w:spacing w:after="0"/>
        <w:rPr>
          <w:lang w:eastAsia="en-US"/>
        </w:rPr>
      </w:pPr>
    </w:p>
    <w:p w:rsidR="00495E3A" w:rsidRDefault="00495E3A" w:rsidP="00495E3A">
      <w:pPr>
        <w:pStyle w:val="Odstavecseseznamem"/>
        <w:numPr>
          <w:ilvl w:val="1"/>
          <w:numId w:val="26"/>
        </w:numPr>
        <w:spacing w:before="240" w:after="160"/>
        <w:ind w:left="1434" w:hanging="357"/>
        <w:contextualSpacing w:val="0"/>
        <w:rPr>
          <w:b/>
          <w:lang w:eastAsia="en-US"/>
        </w:rPr>
      </w:pPr>
      <w:r>
        <w:rPr>
          <w:b/>
          <w:lang w:eastAsia="en-US"/>
        </w:rPr>
        <w:lastRenderedPageBreak/>
        <w:t xml:space="preserve">ZŘÍZENÍ TECHNOLOGICKÉHO CENTRA NA ÚROVNI KRAJE VČ. ZAJIŠTĚNÍ POVINNÝCH SLUŽEB </w:t>
      </w:r>
    </w:p>
    <w:p w:rsidR="00495E3A" w:rsidRDefault="00495E3A" w:rsidP="00495E3A">
      <w:pPr>
        <w:spacing w:after="160"/>
        <w:rPr>
          <w:lang w:eastAsia="en-US"/>
        </w:rPr>
      </w:pPr>
      <w:r>
        <w:rPr>
          <w:lang w:eastAsia="en-US"/>
        </w:rPr>
        <w:t xml:space="preserve">V roce 2012 bylo dokončeno Technologické centrum kraje, které je klíčovým prvkem pro zabezpečení služeb eGovernmentu a jejich dostupnosti. TCK představuje komplex technologií, které umožňují provoz aplikací a softwaru a jsou zvoleny tak, aby byly odolné vůči výpadkům a garantovaly vysokou míru škálovatelnosti. Jednoznačně je upřednostňována virtualizace, která umožňuje provoz služeb a aplikací bez ohledu na fyzickou lokalizaci a přesun služeb a aplikací mezi datovými centry bez dopadu na uživatele. </w:t>
      </w:r>
    </w:p>
    <w:p w:rsidR="00495E3A" w:rsidRDefault="00495E3A" w:rsidP="00495E3A">
      <w:pPr>
        <w:spacing w:after="160"/>
        <w:rPr>
          <w:rFonts w:cs="Arial"/>
          <w:color w:val="213141"/>
          <w:sz w:val="18"/>
          <w:szCs w:val="18"/>
        </w:rPr>
      </w:pPr>
      <w:r>
        <w:rPr>
          <w:lang w:eastAsia="en-US"/>
        </w:rPr>
        <w:t>Technologické centrum zajišťuje tyto služby:</w:t>
      </w:r>
      <w:r>
        <w:rPr>
          <w:rFonts w:cs="Arial"/>
          <w:color w:val="213141"/>
          <w:sz w:val="18"/>
          <w:szCs w:val="18"/>
        </w:rPr>
        <w:t> </w:t>
      </w:r>
    </w:p>
    <w:p w:rsidR="00495E3A" w:rsidRDefault="00495E3A" w:rsidP="00495E3A">
      <w:pPr>
        <w:numPr>
          <w:ilvl w:val="0"/>
          <w:numId w:val="29"/>
        </w:numPr>
        <w:shd w:val="clear" w:color="auto" w:fill="FFFFFF"/>
        <w:spacing w:after="0"/>
        <w:ind w:left="851"/>
        <w:jc w:val="left"/>
        <w:textAlignment w:val="baseline"/>
        <w:rPr>
          <w:rFonts w:cs="Arial"/>
        </w:rPr>
      </w:pPr>
      <w:r>
        <w:rPr>
          <w:rFonts w:cs="Arial"/>
        </w:rPr>
        <w:t>hostování serverů a dalších technologií Krajského úřadu;</w:t>
      </w:r>
    </w:p>
    <w:p w:rsidR="00495E3A" w:rsidRDefault="00495E3A" w:rsidP="00495E3A">
      <w:pPr>
        <w:numPr>
          <w:ilvl w:val="0"/>
          <w:numId w:val="29"/>
        </w:numPr>
        <w:shd w:val="clear" w:color="auto" w:fill="FFFFFF"/>
        <w:spacing w:after="0"/>
        <w:ind w:left="851"/>
        <w:jc w:val="left"/>
        <w:textAlignment w:val="baseline"/>
        <w:rPr>
          <w:rFonts w:cs="Arial"/>
        </w:rPr>
      </w:pPr>
      <w:r>
        <w:rPr>
          <w:rFonts w:cs="Arial"/>
        </w:rPr>
        <w:t>virtuální privátní servery (VPS) pro zřizované a zakládané organizace;</w:t>
      </w:r>
    </w:p>
    <w:p w:rsidR="00495E3A" w:rsidRDefault="00495E3A" w:rsidP="00495E3A">
      <w:pPr>
        <w:numPr>
          <w:ilvl w:val="0"/>
          <w:numId w:val="29"/>
        </w:numPr>
        <w:shd w:val="clear" w:color="auto" w:fill="FFFFFF"/>
        <w:spacing w:after="0"/>
        <w:ind w:left="851"/>
        <w:jc w:val="left"/>
        <w:textAlignment w:val="baseline"/>
        <w:rPr>
          <w:rFonts w:cs="Arial"/>
        </w:rPr>
      </w:pPr>
      <w:r>
        <w:rPr>
          <w:rFonts w:cs="Arial"/>
        </w:rPr>
        <w:t>Geoportál kraje – interní i externí zákazník.</w:t>
      </w:r>
    </w:p>
    <w:p w:rsidR="00495E3A" w:rsidRDefault="00495E3A" w:rsidP="00495E3A">
      <w:pPr>
        <w:spacing w:after="160"/>
        <w:rPr>
          <w:lang w:eastAsia="en-US"/>
        </w:rPr>
      </w:pPr>
      <w:r>
        <w:rPr>
          <w:lang w:eastAsia="en-US"/>
        </w:rPr>
        <w:t xml:space="preserve">Za účelem zpřístupnění aplikací a služeb TCK byla vybudována Regionální komunikační infrastruktura (více viz níže). TCK tvoří dvě datová centra (v objektu Krajského úřadu Karlovarského kraje a v Krajské nemocnici), která jsou od sebe vzdálena ca 10 km. Jejich propojení je realizováno optickými spoji s přenosovou rychlostí v řádech desítek gigabajtů. Díky tomuto geografickému rozložení je zvýšena odolnost proti výpadkům. S ostatními sítěmi (komerčními, vládními, metropolitními) je Technologické centrum propojeno prostřednictvím bezpečnostního modulu, který zajišťuje ochranu služeb a dat. </w:t>
      </w:r>
    </w:p>
    <w:p w:rsidR="00495E3A" w:rsidRDefault="00495E3A" w:rsidP="00495E3A">
      <w:pPr>
        <w:spacing w:after="160"/>
        <w:rPr>
          <w:lang w:eastAsia="en-US"/>
        </w:rPr>
      </w:pPr>
      <w:r>
        <w:rPr>
          <w:lang w:eastAsia="en-US"/>
        </w:rPr>
        <w:t>Do budoucna TCK plánuje tyto aktivity:</w:t>
      </w:r>
    </w:p>
    <w:p w:rsidR="00495E3A" w:rsidRDefault="00495E3A" w:rsidP="00495E3A">
      <w:pPr>
        <w:numPr>
          <w:ilvl w:val="0"/>
          <w:numId w:val="29"/>
        </w:numPr>
        <w:shd w:val="clear" w:color="auto" w:fill="FFFFFF"/>
        <w:spacing w:after="0"/>
        <w:ind w:left="851"/>
        <w:jc w:val="left"/>
        <w:textAlignment w:val="baseline"/>
        <w:rPr>
          <w:rFonts w:cs="Arial"/>
        </w:rPr>
      </w:pPr>
      <w:r>
        <w:rPr>
          <w:rFonts w:cs="Arial"/>
        </w:rPr>
        <w:t>centralizace základních provozních agend poskytovaných zřizovaným a zakládaným organizacím (ZZO);</w:t>
      </w:r>
    </w:p>
    <w:p w:rsidR="00495E3A" w:rsidRDefault="00495E3A" w:rsidP="00495E3A">
      <w:pPr>
        <w:numPr>
          <w:ilvl w:val="0"/>
          <w:numId w:val="29"/>
        </w:numPr>
        <w:shd w:val="clear" w:color="auto" w:fill="FFFFFF"/>
        <w:spacing w:after="0"/>
        <w:ind w:left="851"/>
        <w:jc w:val="left"/>
        <w:textAlignment w:val="baseline"/>
        <w:rPr>
          <w:rFonts w:cs="Arial"/>
        </w:rPr>
      </w:pPr>
      <w:r>
        <w:rPr>
          <w:rFonts w:cs="Arial"/>
        </w:rPr>
        <w:t>přístupové spoje k ZZO (střední školy);</w:t>
      </w:r>
    </w:p>
    <w:p w:rsidR="00495E3A" w:rsidRDefault="00495E3A" w:rsidP="00495E3A">
      <w:pPr>
        <w:numPr>
          <w:ilvl w:val="0"/>
          <w:numId w:val="29"/>
        </w:numPr>
        <w:shd w:val="clear" w:color="auto" w:fill="FFFFFF"/>
        <w:spacing w:after="0"/>
        <w:ind w:left="851"/>
        <w:jc w:val="left"/>
        <w:textAlignment w:val="baseline"/>
        <w:rPr>
          <w:rFonts w:cs="Arial"/>
        </w:rPr>
      </w:pPr>
      <w:r>
        <w:rPr>
          <w:rFonts w:cs="Arial"/>
        </w:rPr>
        <w:t>kapacitní přístup k síti Internet pro připojené organizace;</w:t>
      </w:r>
    </w:p>
    <w:p w:rsidR="00495E3A" w:rsidRDefault="00495E3A" w:rsidP="00495E3A">
      <w:pPr>
        <w:numPr>
          <w:ilvl w:val="0"/>
          <w:numId w:val="29"/>
        </w:numPr>
        <w:shd w:val="clear" w:color="auto" w:fill="FFFFFF"/>
        <w:spacing w:after="240"/>
        <w:ind w:left="850" w:hanging="357"/>
        <w:jc w:val="left"/>
        <w:textAlignment w:val="baseline"/>
        <w:rPr>
          <w:rFonts w:cs="Arial"/>
        </w:rPr>
      </w:pPr>
      <w:r>
        <w:rPr>
          <w:rFonts w:cs="Arial"/>
        </w:rPr>
        <w:t>přístup k Centrálnímu místu služeb a Informačnímu Systému Základních Registrů (ORP).</w:t>
      </w:r>
    </w:p>
    <w:p w:rsidR="00495E3A" w:rsidRDefault="00495E3A" w:rsidP="00495E3A">
      <w:pPr>
        <w:pStyle w:val="Odstavecseseznamem"/>
        <w:spacing w:after="160"/>
        <w:ind w:left="0"/>
        <w:rPr>
          <w:b/>
          <w:u w:val="single"/>
          <w:lang w:eastAsia="en-US"/>
        </w:rPr>
      </w:pPr>
      <w:r>
        <w:rPr>
          <w:b/>
          <w:u w:val="single"/>
          <w:lang w:eastAsia="en-US"/>
        </w:rPr>
        <w:t>Regionální komunikační infrastruktura</w:t>
      </w:r>
    </w:p>
    <w:p w:rsidR="00495E3A" w:rsidRDefault="00495E3A" w:rsidP="00495E3A">
      <w:pPr>
        <w:spacing w:after="160"/>
        <w:rPr>
          <w:lang w:eastAsia="en-US"/>
        </w:rPr>
      </w:pPr>
      <w:r>
        <w:rPr>
          <w:lang w:eastAsia="en-US"/>
        </w:rPr>
        <w:t>Zpřístupnění aplikací a služeb Technologického centra v území kraje bylo dosaženo propojením všech obcí s rozšířenou působností a některých obcí s pověřeným úřadem pomocí kapacitních optických spojů (obrázek 7.1). Páteřní spoje o kapacitě 4 Gb propojují distribuční lokality Krajský úřad Karlovarského kraje, Sokolov, Cheb, Chodov. Odtud jsou spoji o kapacitě 1 Gb napojeny přístupové lokality Město Karlovy Vary, Mariánské Lázně, Aš, Kraslice, Ostrov, Žlutice, Toužim. Aktivní prvky jsou umístěny v objektech magistrátů, kde je zajištěno vhodné prostředí a potřebné zázemí v podobě klimatizovaných serveroven a nepřerušovaných zdrojů napájení. Klíčovou funkcí komunikační infrastruktury je propojení obou lokalit Technologického centra, které je realizováno dvěma nezávislými trasami. Samotná realizace probíhala ve dvou etapách, a to buď formou výstavby nových tras, nebo odkupem existujících kabelů na dálkových trasách.</w:t>
      </w:r>
    </w:p>
    <w:p w:rsidR="00495E3A" w:rsidRDefault="00495E3A" w:rsidP="00495E3A">
      <w:pPr>
        <w:spacing w:after="160"/>
        <w:rPr>
          <w:lang w:eastAsia="en-US"/>
        </w:rPr>
      </w:pPr>
      <w:r>
        <w:rPr>
          <w:lang w:eastAsia="en-US"/>
        </w:rPr>
        <w:t xml:space="preserve">Karlovarský kraj úspěšně dokončil výstavbu Regionální komunikační infrastruktury a zahájil poskytování služeb. Poslední optické spoje byly předány v srpnu 2012. Definitivní konfigurace aktivních prvků a spuštění dohledu proběhlo v září téhož roku (spolu s akceptací druhé etapy projektu). </w:t>
      </w:r>
    </w:p>
    <w:p w:rsidR="00495E3A" w:rsidRDefault="00495E3A" w:rsidP="000B3B9C">
      <w:pPr>
        <w:pStyle w:val="Titulek"/>
        <w:rPr>
          <w:rFonts w:cs="Arial"/>
          <w:color w:val="213141"/>
          <w:sz w:val="18"/>
          <w:szCs w:val="18"/>
          <w:shd w:val="clear" w:color="auto" w:fill="FFFFFF"/>
        </w:rPr>
      </w:pPr>
      <w:bookmarkStart w:id="151" w:name="_Toc488234394"/>
      <w:r>
        <w:lastRenderedPageBreak/>
        <w:t xml:space="preserve">Obrázek </w:t>
      </w:r>
      <w:r w:rsidR="004F2330">
        <w:fldChar w:fldCharType="begin"/>
      </w:r>
      <w:r w:rsidR="004F2330">
        <w:instrText xml:space="preserve"> STYLEREF 1 \s </w:instrText>
      </w:r>
      <w:r w:rsidR="004F2330">
        <w:fldChar w:fldCharType="separate"/>
      </w:r>
      <w:r w:rsidR="00CB29BD">
        <w:t>7</w:t>
      </w:r>
      <w:r w:rsidR="004F2330">
        <w:fldChar w:fldCharType="end"/>
      </w:r>
      <w:r>
        <w:t>.</w:t>
      </w:r>
      <w:r w:rsidR="004F2330">
        <w:fldChar w:fldCharType="begin"/>
      </w:r>
      <w:r w:rsidR="004F2330">
        <w:instrText xml:space="preserve"> SEQ Obrázek \* ARABIC \s 1 </w:instrText>
      </w:r>
      <w:r w:rsidR="004F2330">
        <w:fldChar w:fldCharType="separate"/>
      </w:r>
      <w:r w:rsidR="00CB29BD">
        <w:t>1</w:t>
      </w:r>
      <w:r w:rsidR="004F2330">
        <w:fldChar w:fldCharType="end"/>
      </w:r>
      <w:r>
        <w:t>: Regionální komunikační infrastruktura, Karlovarský kraj</w:t>
      </w:r>
      <w:bookmarkEnd w:id="151"/>
    </w:p>
    <w:p w:rsidR="00495E3A" w:rsidRDefault="00495E3A" w:rsidP="00495E3A">
      <w:pPr>
        <w:spacing w:after="0"/>
        <w:rPr>
          <w:lang w:eastAsia="en-US"/>
        </w:rPr>
      </w:pPr>
      <w:r>
        <w:rPr>
          <w:noProof/>
        </w:rPr>
        <w:drawing>
          <wp:inline distT="0" distB="0" distL="0" distR="0">
            <wp:extent cx="5467350" cy="4076700"/>
            <wp:effectExtent l="19050" t="19050" r="19050" b="19050"/>
            <wp:docPr id="249" name="Obrázek 55" descr="konektiv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konektivita.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7350" cy="4076700"/>
                    </a:xfrm>
                    <a:prstGeom prst="rect">
                      <a:avLst/>
                    </a:prstGeom>
                    <a:noFill/>
                    <a:ln w="9525" cmpd="sng">
                      <a:solidFill>
                        <a:srgbClr val="000000"/>
                      </a:solidFill>
                      <a:miter lim="800000"/>
                      <a:headEnd/>
                      <a:tailEnd/>
                    </a:ln>
                    <a:effectLst/>
                  </pic:spPr>
                </pic:pic>
              </a:graphicData>
            </a:graphic>
          </wp:inline>
        </w:drawing>
      </w:r>
    </w:p>
    <w:p w:rsidR="00495E3A" w:rsidRPr="00495E3A" w:rsidRDefault="008B1EE8" w:rsidP="00495E3A">
      <w:pPr>
        <w:spacing w:before="240" w:after="0"/>
        <w:rPr>
          <w:rStyle w:val="Zdraznnjemn"/>
        </w:rPr>
      </w:pPr>
      <w:r w:rsidRPr="008B1EE8">
        <w:rPr>
          <w:rStyle w:val="Zdraznnjemn"/>
        </w:rPr>
        <w:t>Zdroj: http://www.kr-karlovarsky.cz/egovernment/Stranky/Projekty/RKI.aspx 2016</w:t>
      </w:r>
    </w:p>
    <w:p w:rsidR="00441CA8" w:rsidRDefault="00495E3A">
      <w:pPr>
        <w:spacing w:before="120"/>
        <w:rPr>
          <w:lang w:eastAsia="en-US"/>
        </w:rPr>
      </w:pPr>
      <w:r>
        <w:rPr>
          <w:lang w:eastAsia="en-US"/>
        </w:rPr>
        <w:t xml:space="preserve">Více viz </w:t>
      </w:r>
      <w:hyperlink r:id="rId66" w:history="1">
        <w:r>
          <w:rPr>
            <w:rStyle w:val="Hypertextovodkaz"/>
            <w:rFonts w:eastAsia="Calibri"/>
            <w:color w:val="auto"/>
            <w:lang w:eastAsia="en-US"/>
          </w:rPr>
          <w:t>http://www.kr-karlovarsky.cz/egovernment/Stranky/Projekty/Projekty.aspx</w:t>
        </w:r>
      </w:hyperlink>
      <w:r>
        <w:rPr>
          <w:lang w:eastAsia="en-US"/>
        </w:rPr>
        <w:t xml:space="preserve"> a podkapitola x - Smart Government.</w:t>
      </w:r>
    </w:p>
    <w:p w:rsidR="00495E3A" w:rsidRDefault="00495E3A" w:rsidP="00495E3A">
      <w:pPr>
        <w:pStyle w:val="Odstavecseseznamem"/>
        <w:numPr>
          <w:ilvl w:val="0"/>
          <w:numId w:val="26"/>
        </w:numPr>
        <w:spacing w:before="240" w:after="160"/>
        <w:rPr>
          <w:b/>
          <w:lang w:eastAsia="en-US"/>
        </w:rPr>
      </w:pPr>
      <w:r>
        <w:rPr>
          <w:b/>
          <w:lang w:eastAsia="en-US"/>
        </w:rPr>
        <w:t>NÁKLADOVÉ ÚČETNICTVÍ KARLOVARSKÉHO KRAJE</w:t>
      </w:r>
    </w:p>
    <w:p w:rsidR="00495E3A" w:rsidRDefault="00495E3A" w:rsidP="00495E3A">
      <w:pPr>
        <w:spacing w:after="160"/>
        <w:rPr>
          <w:lang w:eastAsia="en-US"/>
        </w:rPr>
      </w:pPr>
      <w:r>
        <w:rPr>
          <w:lang w:eastAsia="en-US"/>
        </w:rPr>
        <w:t>Cílem projektu bylo vytvoření jednotné databáze (datového skladu) umožňující rychlé vyhledání potřebných dat v požadovaných dimenzích (datové kostky), dále identifikace hlavních procesů kraje, jejichž výstupy slouží k uspokojování potřeb zákazníků (občané, podnikatelé, návštěvníci atd.) a rozklíčování nákladů na jejich zabezpečování. Hlavními aktivitami projektu bylo: zavedení informačního systému nákladového účetnictví včetně dodání potřebného hardware a software, údržba systému, podpora provozu a spolupráce při dalším rozvoji tohoto systému. Současně došlo k vytvoření nadstavby datového skladu pro prezentaci výstupů potřebných pro manažerské řízení a rozhodování.</w:t>
      </w:r>
    </w:p>
    <w:p w:rsidR="00495E3A" w:rsidRDefault="00495E3A" w:rsidP="00495E3A">
      <w:pPr>
        <w:spacing w:after="160"/>
        <w:rPr>
          <w:lang w:eastAsia="en-US"/>
        </w:rPr>
      </w:pPr>
      <w:r>
        <w:rPr>
          <w:lang w:eastAsia="en-US"/>
        </w:rPr>
        <w:t xml:space="preserve">Nákladové účetnictví bylo dokončeno v roce 2008 a jednalo se o samostatnou aktivitu kraje bez vazby na programové období. </w:t>
      </w:r>
    </w:p>
    <w:p w:rsidR="00495E3A" w:rsidRDefault="00495E3A" w:rsidP="00495E3A">
      <w:pPr>
        <w:pStyle w:val="Odstavecseseznamem"/>
        <w:numPr>
          <w:ilvl w:val="0"/>
          <w:numId w:val="26"/>
        </w:numPr>
        <w:spacing w:after="160"/>
        <w:rPr>
          <w:b/>
          <w:lang w:eastAsia="en-US"/>
        </w:rPr>
      </w:pPr>
      <w:r>
        <w:rPr>
          <w:b/>
          <w:lang w:eastAsia="en-US"/>
        </w:rPr>
        <w:t>BEZPEČNOST V ON-LINE PROSTŘEDÍ</w:t>
      </w:r>
    </w:p>
    <w:p w:rsidR="00495E3A" w:rsidRDefault="00495E3A" w:rsidP="00495E3A">
      <w:pPr>
        <w:pStyle w:val="Odstavecseseznamem"/>
        <w:spacing w:before="240" w:after="160"/>
        <w:ind w:left="0"/>
        <w:contextualSpacing w:val="0"/>
        <w:rPr>
          <w:lang w:eastAsia="en-US"/>
        </w:rPr>
      </w:pPr>
      <w:r>
        <w:rPr>
          <w:lang w:eastAsia="en-US"/>
        </w:rPr>
        <w:t xml:space="preserve">V Karlovarském kraji probíhala v roce 2016 série kurzů v rámci projektu Bezpečnost v on-line prostředí, který byl určen široké veřejnosti (tj. rodičům, dětem, studentům, učitelům, seniorům, sociálním pracovníkům atd.). Projekt realizoval spolek Biblio Karlovy Vary spolu s Krajskou knihovnou Karlovy Vary  v rámci Univerzity volného času. Cílem bylo seznámit účastníky kurzů s možnostmi, jak </w:t>
      </w:r>
      <w:r>
        <w:rPr>
          <w:lang w:eastAsia="en-US"/>
        </w:rPr>
        <w:lastRenderedPageBreak/>
        <w:t xml:space="preserve">čelit internetovému nebezpečí, jak chránit svůj osobní počítač a mobilní telefon, jak se bezpečně chovat na sociálních sítích, jak ochránit sebe / své děti před kyberšikanou atd. </w:t>
      </w:r>
    </w:p>
    <w:p w:rsidR="00495E3A" w:rsidRDefault="00495E3A" w:rsidP="00495E3A">
      <w:pPr>
        <w:pStyle w:val="Odstavecseseznamem"/>
        <w:spacing w:before="240" w:after="160"/>
        <w:ind w:left="0"/>
        <w:contextualSpacing w:val="0"/>
        <w:rPr>
          <w:lang w:eastAsia="en-US"/>
        </w:rPr>
      </w:pPr>
      <w:r>
        <w:rPr>
          <w:lang w:eastAsia="en-US"/>
        </w:rPr>
        <w:t>Publikace Bezpečnost v on-line prostředí je též volně k dispozici ke stažení na webových stránkách Krajské knihovny Karlovy Vary</w:t>
      </w:r>
      <w:r>
        <w:rPr>
          <w:rStyle w:val="Znakapoznpodarou"/>
          <w:lang w:eastAsia="en-US"/>
        </w:rPr>
        <w:footnoteReference w:id="9"/>
      </w:r>
      <w:r>
        <w:rPr>
          <w:lang w:eastAsia="en-US"/>
        </w:rPr>
        <w:t xml:space="preserve">. </w:t>
      </w:r>
    </w:p>
    <w:p w:rsidR="00495E3A" w:rsidRDefault="00495E3A" w:rsidP="00495E3A">
      <w:pPr>
        <w:pStyle w:val="Odstavecseseznamem"/>
        <w:numPr>
          <w:ilvl w:val="0"/>
          <w:numId w:val="26"/>
        </w:numPr>
        <w:spacing w:before="240" w:after="160"/>
        <w:ind w:left="714" w:hanging="357"/>
        <w:contextualSpacing w:val="0"/>
        <w:rPr>
          <w:b/>
          <w:lang w:eastAsia="en-US"/>
        </w:rPr>
      </w:pPr>
      <w:r>
        <w:rPr>
          <w:b/>
          <w:lang w:eastAsia="en-US"/>
        </w:rPr>
        <w:t>KRAJ PRO BEZPEČNÝ INTERNET</w:t>
      </w:r>
    </w:p>
    <w:p w:rsidR="00495E3A" w:rsidRDefault="00495E3A" w:rsidP="00495E3A">
      <w:pPr>
        <w:spacing w:after="160"/>
        <w:rPr>
          <w:lang w:eastAsia="en-US"/>
        </w:rPr>
      </w:pPr>
      <w:r>
        <w:rPr>
          <w:lang w:eastAsia="en-US"/>
        </w:rPr>
        <w:t xml:space="preserve">Karlovarský kraj se zapojil do projektu Asociace krajů České republiky s názvem „Kraj pro bezpečný Internet“, který byl zaměřený na zvýšení informovanosti o rizicích internetu a možnostech prevence </w:t>
      </w:r>
      <w:r>
        <w:rPr>
          <w:lang w:eastAsia="en-US"/>
        </w:rPr>
        <w:br/>
        <w:t>a minimalizace nebezpečí spojených s užíváním ICT. Projekt probíhal v letech 2013 – 2015. Zapojení všech 14 krajů bylo v oblasti organizační i finanční. Více viz www.kpbi.cz.</w:t>
      </w:r>
    </w:p>
    <w:p w:rsidR="00441CA8" w:rsidRDefault="00495E3A">
      <w:pPr>
        <w:pStyle w:val="Odstavecseseznamem"/>
        <w:numPr>
          <w:ilvl w:val="0"/>
          <w:numId w:val="26"/>
        </w:numPr>
        <w:spacing w:before="240" w:after="160"/>
        <w:ind w:left="714" w:hanging="357"/>
        <w:contextualSpacing w:val="0"/>
        <w:rPr>
          <w:b/>
          <w:lang w:eastAsia="en-US"/>
        </w:rPr>
      </w:pPr>
      <w:r>
        <w:rPr>
          <w:b/>
          <w:lang w:eastAsia="en-US"/>
        </w:rPr>
        <w:t>DIGITALIZAČNÍ JEDNOTKA KARLOVARSKÉHO KRAJE</w:t>
      </w:r>
    </w:p>
    <w:p w:rsidR="00495E3A" w:rsidRDefault="00495E3A" w:rsidP="00495E3A">
      <w:pPr>
        <w:spacing w:after="160"/>
        <w:rPr>
          <w:lang w:eastAsia="en-US"/>
        </w:rPr>
      </w:pPr>
      <w:r>
        <w:rPr>
          <w:lang w:eastAsia="en-US"/>
        </w:rPr>
        <w:t>Digitalizační jednotka Karlovarského kraje umožňuje digitalizaci periodik. V rámci Digitalizačních jednotek dochází např. k elektronizaci archivů či knihoven. Karlovarský kraj již úspěšně digitalizoval Balneologickou knihovnu (prameny o historii lázeňství) v letech 2012–2013. Digitalizace přispívá ke zjednodušení přenosu informací a současně zvyšuje bezpečnost jejich uchování a umožňuje přístup veřejnosti k digitalizovaným periodikům přes webové rozhraní Kramerius.</w:t>
      </w:r>
    </w:p>
    <w:p w:rsidR="00441CA8" w:rsidRDefault="00495E3A">
      <w:pPr>
        <w:pStyle w:val="Odstavecseseznamem"/>
        <w:numPr>
          <w:ilvl w:val="0"/>
          <w:numId w:val="26"/>
        </w:numPr>
        <w:spacing w:before="240" w:after="160"/>
        <w:ind w:left="714" w:hanging="357"/>
        <w:contextualSpacing w:val="0"/>
        <w:rPr>
          <w:b/>
          <w:lang w:eastAsia="en-US"/>
        </w:rPr>
      </w:pPr>
      <w:r>
        <w:rPr>
          <w:b/>
          <w:lang w:eastAsia="en-US"/>
        </w:rPr>
        <w:t>E-KRAJ.CZ</w:t>
      </w:r>
    </w:p>
    <w:p w:rsidR="00495E3A" w:rsidRDefault="00495E3A" w:rsidP="00495E3A">
      <w:pPr>
        <w:spacing w:after="160"/>
        <w:rPr>
          <w:lang w:eastAsia="en-US"/>
        </w:rPr>
      </w:pPr>
      <w:r>
        <w:rPr>
          <w:lang w:eastAsia="en-US"/>
        </w:rPr>
        <w:t>Projekt E-kraj.cz byl zahájen v roce 2008 ve spolupráci s jednotlivými krajskými úřady a rozvíjen společně s Odborem informatiky Kraje Vysočina. Cílem projektu je podávat aktuální přehled o stavu ICT na úřadech a zřizovaných organizacích v krajích ČR; vyhodnocování údajů v reálném čase a v rámci hodnotících studií a usnadnění metodického řízení úřadů, organizací a celokrajských projektů. Projekt byl zaměřen jak na pracovníky úřadů a zřizovaných organizací odpovědným za budování a provoz informačních a komunikačních technologií, tak široké veřejnosti (té je k dispozici katalog veřejných elektronických služeb úřadů a organizací včetně odkazů na tyto služby).</w:t>
      </w:r>
    </w:p>
    <w:p w:rsidR="00495E3A" w:rsidRDefault="00495E3A" w:rsidP="00495E3A">
      <w:pPr>
        <w:spacing w:after="160"/>
        <w:rPr>
          <w:lang w:eastAsia="en-US"/>
        </w:rPr>
      </w:pPr>
      <w:r>
        <w:rPr>
          <w:lang w:eastAsia="en-US"/>
        </w:rPr>
        <w:t xml:space="preserve">Více viz </w:t>
      </w:r>
      <w:hyperlink r:id="rId67" w:history="1">
        <w:r>
          <w:rPr>
            <w:rStyle w:val="Hypertextovodkaz"/>
            <w:rFonts w:eastAsia="Calibri"/>
            <w:lang w:eastAsia="en-US"/>
          </w:rPr>
          <w:t>http://karlovarsky.e-kraj.cz/</w:t>
        </w:r>
      </w:hyperlink>
      <w:r>
        <w:rPr>
          <w:lang w:eastAsia="en-US"/>
        </w:rPr>
        <w:t>.</w:t>
      </w:r>
    </w:p>
    <w:p w:rsidR="00495E3A" w:rsidRPr="00131A3A" w:rsidRDefault="00495E3A" w:rsidP="00495E3A">
      <w:pPr>
        <w:pStyle w:val="Nadpis2"/>
        <w:rPr>
          <w:rFonts w:ascii="Calibri" w:hAnsi="Calibri"/>
        </w:rPr>
      </w:pPr>
      <w:r w:rsidRPr="00131A3A">
        <w:rPr>
          <w:rFonts w:ascii="Calibri" w:hAnsi="Calibri"/>
        </w:rPr>
        <w:t>Klíčové výzvy</w:t>
      </w:r>
    </w:p>
    <w:p w:rsidR="00495E3A" w:rsidRDefault="00495E3A" w:rsidP="00495E3A">
      <w:pPr>
        <w:spacing w:after="160"/>
        <w:rPr>
          <w:b/>
        </w:rPr>
      </w:pPr>
      <w:r>
        <w:rPr>
          <w:b/>
        </w:rPr>
        <w:t xml:space="preserve">Posílení kybernetické bezpečnosti </w:t>
      </w:r>
    </w:p>
    <w:p w:rsidR="00495E3A" w:rsidRDefault="00495E3A" w:rsidP="00495E3A">
      <w:pPr>
        <w:spacing w:after="160"/>
      </w:pPr>
      <w:r>
        <w:t xml:space="preserve">Vzhledem k vzrůstajícímu využití ICT (obyvatelstva, ekonomiky, státu atd.), zvyšující se propojenosti systémů a služeb a vzrůstajícímu počtu kybernetických útoků, je zcela zásadní výzvou pro kraj zajištění kybernetické bezpečnosti. Její zajištění může kraj realizovat prostřednictvím opatření právního, technického či vzdělávacího charakteru.  </w:t>
      </w:r>
    </w:p>
    <w:p w:rsidR="00495E3A" w:rsidRDefault="00495E3A" w:rsidP="00495E3A">
      <w:pPr>
        <w:spacing w:after="160"/>
        <w:rPr>
          <w:b/>
          <w:i/>
        </w:rPr>
      </w:pPr>
      <w:r>
        <w:rPr>
          <w:b/>
          <w:i/>
        </w:rPr>
        <w:t>Příčiny</w:t>
      </w:r>
    </w:p>
    <w:p w:rsidR="00495E3A" w:rsidRPr="00DD137F" w:rsidRDefault="00495E3A" w:rsidP="00495E3A">
      <w:pPr>
        <w:spacing w:after="160"/>
      </w:pPr>
      <w:r>
        <w:t xml:space="preserve">Dlouhodobě roste využívání informačních a komunikačních technologií v každodenní praxi jak institucí, tak i jednotlivců. S rostoucí intenzitou realizace agend prostřednictvím ICT roste také hrozba kybernetických útoků. </w:t>
      </w:r>
    </w:p>
    <w:p w:rsidR="00495E3A" w:rsidRDefault="00495E3A" w:rsidP="00495E3A">
      <w:pPr>
        <w:spacing w:after="160"/>
        <w:rPr>
          <w:b/>
          <w:i/>
        </w:rPr>
      </w:pPr>
      <w:r>
        <w:rPr>
          <w:b/>
          <w:i/>
        </w:rPr>
        <w:lastRenderedPageBreak/>
        <w:t>Důsledky</w:t>
      </w:r>
    </w:p>
    <w:p w:rsidR="00495E3A" w:rsidRPr="00DD137F" w:rsidRDefault="00495E3A" w:rsidP="00495E3A">
      <w:pPr>
        <w:spacing w:after="160"/>
      </w:pPr>
      <w:r w:rsidRPr="00DD137F">
        <w:t>Nízká úroveň kybernetické bezpečnosti by mohla vést k ohrožení výkonu veřejné správy, ztrátě a zneužití klíčových dat, vč. zneužití citlivých osobních údajů. Důsledkem posílení kybernetické bezpečnosti tak bude větší stabilita komplexního informačního a komunikačního systému, větší zodpovědnost uživatelů ICT a zajištění trvalé kvality a výkonu veřejné správy.</w:t>
      </w:r>
    </w:p>
    <w:p w:rsidR="00495E3A" w:rsidRDefault="00495E3A" w:rsidP="00495E3A">
      <w:pPr>
        <w:spacing w:after="160"/>
        <w:rPr>
          <w:b/>
        </w:rPr>
      </w:pPr>
      <w:r>
        <w:rPr>
          <w:b/>
        </w:rPr>
        <w:t xml:space="preserve">Zvyšování vzdělanosti pracovníků krajského úřadu a jeho organizací v oblasti ICT </w:t>
      </w:r>
    </w:p>
    <w:p w:rsidR="00495E3A" w:rsidRDefault="00495E3A" w:rsidP="00495E3A">
      <w:pPr>
        <w:spacing w:before="240" w:after="160"/>
        <w:rPr>
          <w:lang w:eastAsia="en-US"/>
        </w:rPr>
      </w:pPr>
      <w:r>
        <w:rPr>
          <w:lang w:eastAsia="en-US"/>
        </w:rPr>
        <w:t>Vzhledem ke zvyšujícímu se trendu využívání ICT je třeba, aby pracovníci úřadu a jeho organizací jakožto uživatelé těchto technologií zvyšovali svou kvalifikaci a dovednosti v této oblasti. Klasické metody zvyšování vzdělanosti v oblasti ICT (tj. prezenční vzdělávání) lze kombinovat i s elektronickými nástroji vzdělávání (eLearning).</w:t>
      </w:r>
    </w:p>
    <w:p w:rsidR="00495E3A" w:rsidRDefault="00495E3A" w:rsidP="00495E3A">
      <w:pPr>
        <w:spacing w:after="160"/>
        <w:rPr>
          <w:b/>
          <w:i/>
        </w:rPr>
      </w:pPr>
      <w:r>
        <w:rPr>
          <w:b/>
          <w:i/>
        </w:rPr>
        <w:t>Příčiny</w:t>
      </w:r>
    </w:p>
    <w:p w:rsidR="00495E3A" w:rsidRPr="00BB528E" w:rsidRDefault="00495E3A" w:rsidP="00495E3A">
      <w:pPr>
        <w:spacing w:after="160"/>
      </w:pPr>
      <w:r>
        <w:t>Oblast ICT je dynamickým odvětvím, jehož zvládnutí dnes již není jen požadavkem vybraných specialistů, ale do značné míry se promítá do osobního i pracovního života celé společnosti. Jedná se o trvalou potřebu zvyšovat kompetence pracovníků v oblasti ICT, která musí zajistit udržování standardní úrovně dovedností v čase s ohledem na vývoj tohoto odvětví.</w:t>
      </w:r>
    </w:p>
    <w:p w:rsidR="00495E3A" w:rsidRDefault="00495E3A" w:rsidP="00495E3A">
      <w:pPr>
        <w:spacing w:after="160"/>
        <w:rPr>
          <w:b/>
          <w:i/>
        </w:rPr>
      </w:pPr>
      <w:r>
        <w:rPr>
          <w:b/>
          <w:i/>
        </w:rPr>
        <w:t>Důsledky</w:t>
      </w:r>
    </w:p>
    <w:p w:rsidR="00495E3A" w:rsidRPr="00DD137F" w:rsidRDefault="00495E3A" w:rsidP="00495E3A">
      <w:pPr>
        <w:spacing w:after="160"/>
      </w:pPr>
      <w:r>
        <w:t>Kvalitní pracovní síly musí mezi svými odbornými kompetencemi prokázat také schopnost efektivního využívání prostředků ICT. Trvalé zvyšování kvalifikace pracovníků veřejné správy v oblasti ICT povede k zajištění trvalé a stále rostoucí kvality výkonu veřejné správy, zefektivňování vykonávaných agend a k optimalizaci veřejných služeb.</w:t>
      </w:r>
    </w:p>
    <w:p w:rsidR="00495E3A" w:rsidRDefault="00495E3A" w:rsidP="00495E3A">
      <w:pPr>
        <w:spacing w:after="160"/>
        <w:rPr>
          <w:b/>
        </w:rPr>
      </w:pPr>
      <w:r>
        <w:rPr>
          <w:b/>
        </w:rPr>
        <w:t>Rozvoj, modernizace a dostupnost komunikačních informačních systémů a infrastruktury, respektování stávajících technologických globalizačních trendů v oblasti ICT a reakce na ně</w:t>
      </w:r>
    </w:p>
    <w:p w:rsidR="00495E3A" w:rsidRDefault="00495E3A" w:rsidP="00495E3A">
      <w:pPr>
        <w:spacing w:after="160"/>
        <w:rPr>
          <w:lang w:eastAsia="en-US"/>
        </w:rPr>
      </w:pPr>
      <w:r>
        <w:rPr>
          <w:lang w:eastAsia="en-US"/>
        </w:rPr>
        <w:t xml:space="preserve">Dále by se měl kraj zaměřit na rozvoj, modernizaci a zvýšení dostupnosti komunikačních a informačních systémů a infrastruktury. Cílem je postupně elektronizovat podpůrné procesy a zvýšit efektivitu komunikačních a informačních systémů krajské veřejné správy. V současné době se jedná také o využití Internetu věcí (Internet of Things), využití sdílené infrastruktury, aplikací, cloudová úložiště, využívání otevřených dat, mobilní aplikace (např. mobilní rozhlas) apod. </w:t>
      </w:r>
      <w:r w:rsidRPr="00FF7E2D">
        <w:rPr>
          <w:lang w:eastAsia="en-US"/>
        </w:rPr>
        <w:t>Zejména je třeba se zaměřit na témata sdílených služeb, cloudové služby, řízení lidských zdrojů, mobilních služeb, kontroly nákladů, konektivity atd.</w:t>
      </w:r>
      <w:r>
        <w:rPr>
          <w:lang w:eastAsia="en-US"/>
        </w:rPr>
        <w:t xml:space="preserve"> </w:t>
      </w:r>
    </w:p>
    <w:p w:rsidR="00495E3A" w:rsidRDefault="00495E3A" w:rsidP="00495E3A">
      <w:pPr>
        <w:spacing w:after="160"/>
        <w:rPr>
          <w:b/>
          <w:i/>
        </w:rPr>
      </w:pPr>
      <w:r>
        <w:rPr>
          <w:b/>
          <w:i/>
        </w:rPr>
        <w:t>Příčiny</w:t>
      </w:r>
    </w:p>
    <w:p w:rsidR="00495E3A" w:rsidRPr="00BB528E" w:rsidRDefault="00495E3A" w:rsidP="00495E3A">
      <w:pPr>
        <w:spacing w:after="160"/>
      </w:pPr>
      <w:r>
        <w:t>Území kraje navazuje na dosavadní vybavenost infrastrukturou pro ICT, která vzhledem k sídelnímu uspořádání není rovnoměrná a vždy plně pokrytá. Značné rezervy jsou také ve využívání chytrých (tzv. smart) technologií.</w:t>
      </w:r>
    </w:p>
    <w:p w:rsidR="00495E3A" w:rsidRDefault="00495E3A" w:rsidP="00495E3A">
      <w:pPr>
        <w:spacing w:after="160"/>
        <w:rPr>
          <w:b/>
          <w:i/>
        </w:rPr>
      </w:pPr>
      <w:r>
        <w:rPr>
          <w:b/>
          <w:i/>
        </w:rPr>
        <w:t>Důsledky</w:t>
      </w:r>
    </w:p>
    <w:p w:rsidR="00495E3A" w:rsidRPr="00BB528E" w:rsidRDefault="00495E3A" w:rsidP="00495E3A">
      <w:pPr>
        <w:spacing w:after="160"/>
      </w:pPr>
      <w:r>
        <w:t>Plné pokrytí kvalitní infrastrukturou pro ICT povede k vyšší výkonnosti regionální politiky, umožní efektivnější využívání veřejných služeb, ale povede také k možnosti flexibilních forem zaměstnávání a tudíž ke snižování nezaměstnanosti. Smart řešení přispějí k vyšší efektivitě a k zvýšení kvality života v kraji.</w:t>
      </w:r>
    </w:p>
    <w:p w:rsidR="00495E3A" w:rsidRDefault="00495E3A" w:rsidP="00495E3A">
      <w:pPr>
        <w:pStyle w:val="Nadpis3"/>
        <w:spacing w:line="276" w:lineRule="auto"/>
      </w:pPr>
      <w:r>
        <w:rPr>
          <w:b w:val="0"/>
        </w:rPr>
        <w:lastRenderedPageBreak/>
        <w:t>Literatura:</w:t>
      </w:r>
    </w:p>
    <w:p w:rsidR="00495E3A" w:rsidRPr="00AE2969" w:rsidRDefault="00495E3A" w:rsidP="00495E3A">
      <w:pPr>
        <w:jc w:val="left"/>
        <w:rPr>
          <w:rFonts w:cs="Times New Roman"/>
          <w:szCs w:val="24"/>
        </w:rPr>
      </w:pPr>
      <w:r>
        <w:rPr>
          <w:rFonts w:cs="Times New Roman"/>
          <w:szCs w:val="24"/>
        </w:rPr>
        <w:t xml:space="preserve">Národní bezpečnostní úřad. </w:t>
      </w:r>
      <w:r w:rsidRPr="00AE2969">
        <w:rPr>
          <w:rFonts w:cs="Times New Roman"/>
          <w:i/>
          <w:szCs w:val="24"/>
        </w:rPr>
        <w:t>Kybernetická bezpečnost</w:t>
      </w:r>
      <w:r>
        <w:rPr>
          <w:rFonts w:cs="Times New Roman"/>
          <w:szCs w:val="24"/>
        </w:rPr>
        <w:t xml:space="preserve">. </w:t>
      </w:r>
      <w:r>
        <w:rPr>
          <w:rFonts w:eastAsiaTheme="minorHAnsi"/>
          <w:color w:val="000000"/>
          <w:lang w:eastAsia="en-US"/>
        </w:rPr>
        <w:t xml:space="preserve">[online]. </w:t>
      </w:r>
      <w:r>
        <w:rPr>
          <w:rFonts w:eastAsiaTheme="minorHAnsi"/>
          <w:lang w:eastAsia="en-US"/>
        </w:rPr>
        <w:t xml:space="preserve">2017. Dostupné z: </w:t>
      </w:r>
      <w:r w:rsidRPr="00AE2969">
        <w:rPr>
          <w:rFonts w:cs="Times New Roman"/>
          <w:szCs w:val="24"/>
        </w:rPr>
        <w:t>https://www.nbu.cz/.</w:t>
      </w:r>
    </w:p>
    <w:p w:rsidR="00495E3A" w:rsidRPr="00AE2969" w:rsidRDefault="00495E3A" w:rsidP="00495E3A">
      <w:pPr>
        <w:jc w:val="left"/>
        <w:rPr>
          <w:rFonts w:cs="Times New Roman"/>
          <w:szCs w:val="24"/>
        </w:rPr>
      </w:pPr>
      <w:r>
        <w:rPr>
          <w:rFonts w:cs="Times New Roman"/>
          <w:szCs w:val="24"/>
        </w:rPr>
        <w:t xml:space="preserve">Krajský úřad Karlovarského kraje. </w:t>
      </w:r>
      <w:r w:rsidRPr="00AE2969">
        <w:rPr>
          <w:rFonts w:cs="Times New Roman"/>
          <w:i/>
          <w:szCs w:val="24"/>
        </w:rPr>
        <w:t>Program rozvoje Karlovarského kraje 2007–2013: Akční plán</w:t>
      </w:r>
      <w:r w:rsidRPr="00AE2969">
        <w:rPr>
          <w:rFonts w:cs="Times New Roman"/>
          <w:szCs w:val="24"/>
        </w:rPr>
        <w:t>.</w:t>
      </w:r>
      <w:r>
        <w:rPr>
          <w:rFonts w:cs="Times New Roman"/>
          <w:szCs w:val="24"/>
        </w:rPr>
        <w:t xml:space="preserve"> 2017. Interní dokument.</w:t>
      </w:r>
    </w:p>
    <w:p w:rsidR="00495E3A" w:rsidRPr="00414AB7" w:rsidRDefault="00495E3A" w:rsidP="00495E3A">
      <w:pPr>
        <w:jc w:val="left"/>
      </w:pPr>
      <w:r w:rsidRPr="00AE2969">
        <w:rPr>
          <w:rFonts w:cs="Times New Roman"/>
          <w:szCs w:val="24"/>
        </w:rPr>
        <w:t>K</w:t>
      </w:r>
      <w:r>
        <w:rPr>
          <w:rFonts w:cs="Times New Roman"/>
          <w:szCs w:val="24"/>
        </w:rPr>
        <w:t xml:space="preserve">rajský úřad Karlovarského kraje. </w:t>
      </w:r>
      <w:r w:rsidRPr="00AE2969">
        <w:rPr>
          <w:rFonts w:cs="Times New Roman"/>
          <w:i/>
          <w:szCs w:val="24"/>
        </w:rPr>
        <w:t>Informační koncepce</w:t>
      </w:r>
      <w:r w:rsidRPr="00AE2969">
        <w:rPr>
          <w:rFonts w:cs="Times New Roman"/>
          <w:szCs w:val="24"/>
        </w:rPr>
        <w:t xml:space="preserve">. </w:t>
      </w:r>
      <w:r>
        <w:rPr>
          <w:rFonts w:eastAsiaTheme="minorHAnsi"/>
          <w:color w:val="000000"/>
          <w:lang w:eastAsia="en-US"/>
        </w:rPr>
        <w:t xml:space="preserve">[online]. </w:t>
      </w:r>
      <w:r>
        <w:rPr>
          <w:rFonts w:eastAsiaTheme="minorHAnsi"/>
          <w:lang w:eastAsia="en-US"/>
        </w:rPr>
        <w:t xml:space="preserve">2019. </w:t>
      </w:r>
      <w:r w:rsidRPr="00AE2969">
        <w:rPr>
          <w:rFonts w:cs="Times New Roman"/>
          <w:szCs w:val="24"/>
        </w:rPr>
        <w:t>Dostupné z</w:t>
      </w:r>
      <w:r>
        <w:rPr>
          <w:rFonts w:cs="Times New Roman"/>
          <w:szCs w:val="24"/>
        </w:rPr>
        <w:t>:</w:t>
      </w:r>
      <w:r w:rsidRPr="00AE2969">
        <w:rPr>
          <w:rFonts w:cs="Times New Roman"/>
          <w:szCs w:val="24"/>
        </w:rPr>
        <w:t xml:space="preserve"> http://www.kr-karlovarsky.cz/samosprava/dokumenty/Stranky/koncepce/seznam/kinf.aspx.</w:t>
      </w:r>
    </w:p>
    <w:p w:rsidR="00F40F08" w:rsidRPr="00667693" w:rsidRDefault="00F40F08" w:rsidP="00667693">
      <w:pPr>
        <w:spacing w:after="160" w:line="259" w:lineRule="auto"/>
        <w:jc w:val="left"/>
        <w:rPr>
          <w:highlight w:val="yellow"/>
        </w:rPr>
      </w:pPr>
      <w:r>
        <w:rPr>
          <w:highlight w:val="yellow"/>
        </w:rPr>
        <w:br w:type="page"/>
      </w:r>
    </w:p>
    <w:p w:rsidR="00F84B78" w:rsidRPr="00037495" w:rsidRDefault="00F5122D" w:rsidP="00094A5B">
      <w:pPr>
        <w:pStyle w:val="Nadpis1"/>
      </w:pPr>
      <w:r>
        <w:lastRenderedPageBreak/>
        <w:t xml:space="preserve"> </w:t>
      </w:r>
      <w:bookmarkStart w:id="152" w:name="_Toc488233393"/>
      <w:r w:rsidR="00F84B78" w:rsidRPr="00037495">
        <w:t>Cestovní ruch</w:t>
      </w:r>
      <w:bookmarkEnd w:id="152"/>
    </w:p>
    <w:p w:rsidR="00F5122D" w:rsidRDefault="00F5122D" w:rsidP="00F5122D">
      <w:pPr>
        <w:spacing w:before="240" w:after="0"/>
      </w:pPr>
      <w:r>
        <w:t xml:space="preserve">Cílem této kapitoly je analyzovat vývoj cestovního ruchu v Karlovarském kraji a podmínek pro jeho rozvoj, stejně tak i bariér a limitujících faktorů. Součástí je i zhodnocení potenciálu jeho dalšího rozvoje, např. vlivem rostoucího obecného zájmu o zdravý způsob života, péči o zdraví atd. Informace užité v této kapitole vycházejí z dokumentů Karlovarského kraje (např. krajské přílohy k národní RIS3 apod.) a ze statistických dat Českého statistického úřadu a Ústavu zdravotnických informací a statistiky. </w:t>
      </w:r>
    </w:p>
    <w:p w:rsidR="00F5122D" w:rsidRDefault="00F5122D" w:rsidP="00F5122D">
      <w:pPr>
        <w:spacing w:before="240" w:after="0"/>
      </w:pPr>
      <w:r>
        <w:t>Karlovarský kraj disponuje značným množstvím atraktivit cestovního ruchu, mezi nimiž lze jmenovat malebnou krajinu s vhodnými podmínkami pro aktivní trávení volného času, destinace spojené s historickými událostmi a osobnostmi (např. s osobou architekta – Chebsko, Karlovarsko), města spojená s firmami mezinárodního významu (Becherovka, Moser, Thun aj.), pravidelné kulturní akce (Mezinárodní filmový festival Karlovy Vary) a mnohé další. (</w:t>
      </w:r>
      <w:r>
        <w:rPr>
          <w:lang w:eastAsia="en-US"/>
        </w:rPr>
        <w:t>Marketingová koncepce cestovního ruchu 2013 – 2020; 2012</w:t>
      </w:r>
      <w:r>
        <w:t>) Významným faktorem rozvoje kraje, potažmo cestovního ruchu, je jedinečné bohatství léčivých přírodních zdrojů využívaných v lázeňství.</w:t>
      </w:r>
      <w:r w:rsidDel="00756AF8">
        <w:t xml:space="preserve"> </w:t>
      </w:r>
      <w:r>
        <w:t>Díky dlouholeté tradici, specifickým znalostem a dovednostem v oblasti lázeňství a jeho vysoké kvalitě je kraj vyhledávanou destinací tuzemských i zahraničních návštěvníků. Lázeňství tak významně dominuje nad ostatními atraktivitami, kterými kraj disponuje. Široká nabídka lázeňských a wellness pobytů tak skýtá značný potenciál v oblasti cestovního ruchu.</w:t>
      </w:r>
    </w:p>
    <w:p w:rsidR="00F5122D" w:rsidRDefault="00F5122D" w:rsidP="00F5122D">
      <w:pPr>
        <w:spacing w:before="240" w:after="0"/>
        <w:rPr>
          <w:rFonts w:eastAsiaTheme="majorEastAsia"/>
          <w:b/>
          <w:color w:val="2E74B5" w:themeColor="accent1" w:themeShade="BF"/>
          <w:sz w:val="24"/>
          <w:szCs w:val="26"/>
        </w:rPr>
      </w:pPr>
      <w:r>
        <w:rPr>
          <w:rFonts w:eastAsiaTheme="majorEastAsia"/>
          <w:b/>
          <w:color w:val="2E74B5" w:themeColor="accent1" w:themeShade="BF"/>
          <w:sz w:val="24"/>
          <w:szCs w:val="26"/>
        </w:rPr>
        <w:t xml:space="preserve">Propagace cestovního ruchu </w:t>
      </w:r>
    </w:p>
    <w:p w:rsidR="00F5122D" w:rsidRDefault="00F5122D" w:rsidP="00F5122D">
      <w:pPr>
        <w:spacing w:before="240" w:after="0"/>
        <w:rPr>
          <w:lang w:eastAsia="en-US"/>
        </w:rPr>
      </w:pPr>
      <w:r>
        <w:t xml:space="preserve">Pro zvýšení efektivnosti využívání potenciálu kraje pro rozvoj cestovního ruchu a pro zlepšení koordinace řady aktivit různých subjektů v oblasti cestovního ruchu byla Karlovarským krajem spoluzaložena destinační agentura </w:t>
      </w:r>
      <w:r>
        <w:rPr>
          <w:lang w:eastAsia="en-US"/>
        </w:rPr>
        <w:t xml:space="preserve">nesoucí název </w:t>
      </w:r>
      <w:r>
        <w:rPr>
          <w:b/>
          <w:lang w:eastAsia="en-US"/>
        </w:rPr>
        <w:t xml:space="preserve">Živý kraj – destinační agentura pro Karlovarský kraj, z.s. </w:t>
      </w:r>
      <w:r>
        <w:rPr>
          <w:lang w:eastAsia="en-US"/>
        </w:rPr>
        <w:t>Agentura byla založena v srpnu roku 2016 za účelem propagace regionu jako turisticky atraktivní oblasti a převzala jednotlivé činnosti z oddělení cestovního ruchu (zejména v oblasti marketingu)</w:t>
      </w:r>
      <w:r>
        <w:rPr>
          <w:rStyle w:val="Znakapoznpodarou"/>
          <w:lang w:eastAsia="en-US"/>
        </w:rPr>
        <w:footnoteReference w:id="10"/>
      </w:r>
      <w:r>
        <w:rPr>
          <w:lang w:eastAsia="en-US"/>
        </w:rPr>
        <w:t xml:space="preserve">. Mimo jiné se agentura zabývá správou turistického portálu </w:t>
      </w:r>
      <w:r>
        <w:t>Živý kraj</w:t>
      </w:r>
      <w:r>
        <w:rPr>
          <w:rStyle w:val="Znakapoznpodarou"/>
        </w:rPr>
        <w:footnoteReference w:id="11"/>
      </w:r>
      <w:r>
        <w:t xml:space="preserve">, tiskem map a propagačních materiálů a prezentací regionu na zahraničních veletrzích a prostřednictvím on-line kampaní (zaměřených např. na zimní střediska, na podporu lázeňství a wellness atd.).  </w:t>
      </w:r>
    </w:p>
    <w:p w:rsidR="00F5122D" w:rsidRDefault="00F5122D" w:rsidP="00F5122D">
      <w:pPr>
        <w:spacing w:before="240" w:after="0"/>
      </w:pPr>
      <w:r>
        <w:rPr>
          <w:lang w:eastAsia="en-US"/>
        </w:rPr>
        <w:t xml:space="preserve">Význam destinační agentury spočívá i ve skutečnosti, že tato agentura bude moci jako jediná od roku 2018 čerpat dotace z Národního programu podpory cestovního ruchu v oblasti marketingu. Funkci organizací destinačního managementu podporuje i Koncepce státní politiky cestovního ruchu </w:t>
      </w:r>
      <w:r>
        <w:t xml:space="preserve">v České republice na období 2014 – 2020 (dále jen Koncepce CR), dle které představují tyto organizace informační a marketingový základ pro kvalitní prezentaci České republiky v zahraničí a současně by měly sloužit k podpoře marketingu českých destinací v rámci domácího cestovního ruchu. Z toho důvodu je zejména jedno z opatření </w:t>
      </w:r>
      <w:r>
        <w:rPr>
          <w:rStyle w:val="Znakapoznpodarou"/>
        </w:rPr>
        <w:footnoteReference w:id="12"/>
      </w:r>
      <w:r>
        <w:t xml:space="preserve"> Koncepce CR zaměřeno na podporu činností destinačních společností, a to prostřednictvím ekonomických (účelové dotace) a legislativních (zákony) nástrojů a </w:t>
      </w:r>
      <w:r>
        <w:lastRenderedPageBreak/>
        <w:t xml:space="preserve">metodickou činností. Tím by mělo být mj. docíleno efektivní regionální spolupráce veřejného, privátního a neziskového sektoru, která přispěje k rozvoji cestovního ruchu v regionu. </w:t>
      </w:r>
    </w:p>
    <w:p w:rsidR="00F5122D" w:rsidRDefault="00F5122D" w:rsidP="00F5122D">
      <w:pPr>
        <w:spacing w:before="240" w:after="0"/>
        <w:rPr>
          <w:lang w:eastAsia="en-US"/>
        </w:rPr>
      </w:pPr>
      <w:r>
        <w:rPr>
          <w:lang w:eastAsia="en-US"/>
        </w:rPr>
        <w:t xml:space="preserve">Vzhledem k tomu, že kraj si uvědomuje význam lázeňství, podílel se na </w:t>
      </w:r>
      <w:r>
        <w:rPr>
          <w:b/>
          <w:lang w:eastAsia="en-US"/>
        </w:rPr>
        <w:t>založení organizace MEDISPA</w:t>
      </w:r>
      <w:r>
        <w:rPr>
          <w:lang w:eastAsia="en-US"/>
        </w:rPr>
        <w:t xml:space="preserve">, která se snaží udržet kvalitu a pověst lázeňské léčebné péče na území Karlovarského kraje a současně zajišťovat její další rozvoj. </w:t>
      </w:r>
    </w:p>
    <w:p w:rsidR="00F5122D" w:rsidRDefault="00F5122D" w:rsidP="00F5122D">
      <w:pPr>
        <w:spacing w:before="240" w:after="0"/>
        <w:rPr>
          <w:lang w:eastAsia="en-US"/>
        </w:rPr>
      </w:pPr>
      <w:r>
        <w:rPr>
          <w:lang w:eastAsia="en-US"/>
        </w:rPr>
        <w:t xml:space="preserve">Dále Karlovarský kraj zahájil aktualizaci </w:t>
      </w:r>
      <w:r>
        <w:rPr>
          <w:color w:val="000000"/>
          <w:szCs w:val="18"/>
          <w:shd w:val="clear" w:color="auto" w:fill="FFFFFF"/>
        </w:rPr>
        <w:t>Programu cestovního ruchu a lázeňství</w:t>
      </w:r>
      <w:r>
        <w:rPr>
          <w:lang w:eastAsia="en-US"/>
        </w:rPr>
        <w:t xml:space="preserve"> Karlovarského kraje na následující období</w:t>
      </w:r>
      <w:r>
        <w:rPr>
          <w:rStyle w:val="Znakapoznpodarou"/>
          <w:lang w:eastAsia="en-US"/>
        </w:rPr>
        <w:footnoteReference w:id="13"/>
      </w:r>
      <w:r>
        <w:rPr>
          <w:lang w:eastAsia="en-US"/>
        </w:rPr>
        <w:t xml:space="preserve"> navrhující rozvoj cestovního ruchu a lázeňství na území vymezeném Karlovarským krajem. Prostřednictvím tohoto koncepčního dokumentu budou efektivně koordinovány a optimalizovány finanční prostředky vydávané na rozvoj cestovního ruchu a lázeňství ve vymezeném území (vč. propagačních a marketingových aktivit subjektů cestovního ruchu s tím spojených).</w:t>
      </w:r>
    </w:p>
    <w:p w:rsidR="00F5122D" w:rsidRDefault="00F5122D" w:rsidP="00F5122D">
      <w:pPr>
        <w:spacing w:before="240" w:after="0"/>
        <w:rPr>
          <w:lang w:eastAsia="en-US"/>
        </w:rPr>
      </w:pPr>
      <w:r>
        <w:rPr>
          <w:lang w:eastAsia="en-US"/>
        </w:rPr>
        <w:t xml:space="preserve">Pozitivně lze hodnotit skutečnost, že CzechTourism zařadil vizi Karlovarského kraje uvedenou ve strategických dokumentech jako zdárně zformulovanou (jako jednoho z mála krajů), tj. postavenou na konkurenčních výhodách a identitě destinace. (Marketingová koncepce cestovního ruchu 2013–2020; 2012) </w:t>
      </w:r>
    </w:p>
    <w:p w:rsidR="00F5122D" w:rsidRDefault="00F5122D" w:rsidP="00F5122D">
      <w:pPr>
        <w:spacing w:before="240" w:after="0"/>
        <w:rPr>
          <w:rFonts w:eastAsiaTheme="majorEastAsia"/>
          <w:b/>
          <w:color w:val="2E74B5" w:themeColor="accent1" w:themeShade="BF"/>
          <w:sz w:val="24"/>
          <w:szCs w:val="26"/>
        </w:rPr>
      </w:pPr>
      <w:r>
        <w:rPr>
          <w:rFonts w:eastAsiaTheme="majorEastAsia"/>
          <w:b/>
          <w:color w:val="2E74B5" w:themeColor="accent1" w:themeShade="BF"/>
          <w:sz w:val="24"/>
          <w:szCs w:val="26"/>
        </w:rPr>
        <w:t>Návštěvnost kraje</w:t>
      </w:r>
    </w:p>
    <w:p w:rsidR="00F5122D" w:rsidRDefault="00F5122D" w:rsidP="00F5122D">
      <w:pPr>
        <w:spacing w:before="240" w:after="0"/>
      </w:pPr>
      <w:r>
        <w:t xml:space="preserve">Význam Karlovarského kraje jako turisticky vyhledávané lokality v Česku dokazuje srovnání s ostatními kraji ČR (tabulka 8.1). Při porovnání krajů </w:t>
      </w:r>
      <w:r>
        <w:rPr>
          <w:b/>
        </w:rPr>
        <w:t>z hlediska celkového počtu hostů obsadil Karlovarský kraj 5. místo</w:t>
      </w:r>
      <w:r>
        <w:t xml:space="preserve"> (podíl na republikovém úhrnu činil téměř 5 %), </w:t>
      </w:r>
      <w:r>
        <w:rPr>
          <w:b/>
        </w:rPr>
        <w:t>z hlediska počtu přenocování se umístil na 2. místě</w:t>
      </w:r>
      <w:r>
        <w:t xml:space="preserve"> (podíl ca 10 % na celkovém počtu přenocování v Česku) hned za Hl. m. Praha. </w:t>
      </w:r>
      <w:r>
        <w:rPr>
          <w:b/>
        </w:rPr>
        <w:t>Druhé místo získal i při porovnání dle podílu nerezidentů</w:t>
      </w:r>
      <w:r>
        <w:t xml:space="preserve"> (tj. zahraničních hostů) na celkovém počtu hostů. Úroveň návštěvnosti nerezidentů je dána mj. fungováním letiště Karlovy Vary, resp. zejména provozem pravidelných letů do dvou destinací v Rusku - právě ruská klientela představuje pro letiště v Karlových Varech nejvýznamnější skupinu cestujících (více viz kapitola Rozvojový potenciál letiště v Karlových Varech). Karlovarský kraj tak spolu s Hl. m. Praha zaujímá specifické postavení v oblasti cestovního ruchu oproti ostatním krajům České republiky.</w:t>
      </w:r>
    </w:p>
    <w:p w:rsidR="009E424D" w:rsidRDefault="00F5122D">
      <w:pPr>
        <w:pStyle w:val="Titulek"/>
      </w:pPr>
      <w:bookmarkStart w:id="153" w:name="_Toc478118076"/>
      <w:bookmarkStart w:id="154" w:name="_Toc488233482"/>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w:t>
      </w:r>
      <w:r w:rsidR="004F2330">
        <w:fldChar w:fldCharType="end"/>
      </w:r>
      <w:r>
        <w:t>: Návštěvnost krajů v roce 2015</w:t>
      </w:r>
      <w:bookmarkEnd w:id="153"/>
      <w:bookmarkEnd w:id="154"/>
      <w:r>
        <w:t xml:space="preserve"> </w:t>
      </w:r>
    </w:p>
    <w:tbl>
      <w:tblPr>
        <w:tblW w:w="9209" w:type="dxa"/>
        <w:tblInd w:w="55" w:type="dxa"/>
        <w:tblCellMar>
          <w:left w:w="70" w:type="dxa"/>
          <w:right w:w="70" w:type="dxa"/>
        </w:tblCellMar>
        <w:tblLook w:val="04A0" w:firstRow="1" w:lastRow="0" w:firstColumn="1" w:lastColumn="0" w:noHBand="0" w:noVBand="1"/>
      </w:tblPr>
      <w:tblGrid>
        <w:gridCol w:w="2492"/>
        <w:gridCol w:w="2066"/>
        <w:gridCol w:w="2317"/>
        <w:gridCol w:w="2334"/>
      </w:tblGrid>
      <w:tr w:rsidR="00F5122D" w:rsidTr="00F5122D">
        <w:trPr>
          <w:trHeight w:val="417"/>
        </w:trPr>
        <w:tc>
          <w:tcPr>
            <w:tcW w:w="2492" w:type="dxa"/>
            <w:tcBorders>
              <w:top w:val="single" w:sz="4" w:space="0" w:color="auto"/>
              <w:left w:val="single" w:sz="4" w:space="0" w:color="auto"/>
              <w:bottom w:val="single" w:sz="4" w:space="0" w:color="auto"/>
              <w:right w:val="single" w:sz="4" w:space="0" w:color="auto"/>
            </w:tcBorders>
            <w:noWrap/>
            <w:vAlign w:val="center"/>
            <w:hideMark/>
          </w:tcPr>
          <w:p w:rsidR="00F5122D" w:rsidRPr="00955AC0" w:rsidRDefault="002F684C" w:rsidP="00F5122D">
            <w:pPr>
              <w:spacing w:after="0"/>
              <w:jc w:val="left"/>
              <w:rPr>
                <w:b/>
                <w:sz w:val="20"/>
                <w:szCs w:val="20"/>
                <w:lang w:eastAsia="en-US"/>
              </w:rPr>
            </w:pPr>
            <w:r w:rsidRPr="002F684C">
              <w:rPr>
                <w:b/>
                <w:sz w:val="20"/>
                <w:szCs w:val="20"/>
                <w:lang w:eastAsia="en-US"/>
              </w:rPr>
              <w:t>Kraj</w:t>
            </w:r>
          </w:p>
        </w:tc>
        <w:tc>
          <w:tcPr>
            <w:tcW w:w="2066" w:type="dxa"/>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 xml:space="preserve">Počet hostů </w:t>
            </w:r>
          </w:p>
        </w:tc>
        <w:tc>
          <w:tcPr>
            <w:tcW w:w="2317" w:type="dxa"/>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Podíl nerezidentů (v %)</w:t>
            </w:r>
          </w:p>
        </w:tc>
        <w:tc>
          <w:tcPr>
            <w:tcW w:w="2334" w:type="dxa"/>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Počet přenocování</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Moravskoslezský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775 047</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23,2</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2 229 768</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Středočeský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907 567</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23,0</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2 214 386</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Jihočeský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1 341 912</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30,7</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3 644 147</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Plzeňský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650 250</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36,1</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1 717 331</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r>
              <w:rPr>
                <w:b/>
                <w:bCs/>
                <w:sz w:val="20"/>
                <w:szCs w:val="20"/>
                <w:lang w:eastAsia="en-US"/>
              </w:rPr>
              <w:t xml:space="preserve">Karlovarský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850 891</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62,8</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4 617 361</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Ústecký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487 259</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34,8</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1 313 971</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Liberecký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820 802</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20,2</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2 572 976</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Královéhradecký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1 124 032</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22,8</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3 622 281</w:t>
            </w:r>
          </w:p>
        </w:tc>
      </w:tr>
      <w:tr w:rsidR="00F5122D"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Pardubický </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413 443</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14,5</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1 180 003</w:t>
            </w:r>
          </w:p>
        </w:tc>
      </w:tr>
      <w:tr w:rsidR="00F5122D" w:rsidTr="008E6C54">
        <w:trPr>
          <w:trHeight w:val="253"/>
        </w:trPr>
        <w:tc>
          <w:tcPr>
            <w:tcW w:w="2492"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sz w:val="20"/>
                <w:szCs w:val="20"/>
                <w:lang w:eastAsia="en-US"/>
              </w:rPr>
            </w:pPr>
            <w:r>
              <w:rPr>
                <w:sz w:val="20"/>
                <w:szCs w:val="20"/>
                <w:lang w:eastAsia="en-US"/>
              </w:rPr>
              <w:t>Vysočina</w:t>
            </w:r>
          </w:p>
        </w:tc>
        <w:tc>
          <w:tcPr>
            <w:tcW w:w="2066"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473 712</w:t>
            </w:r>
          </w:p>
        </w:tc>
        <w:tc>
          <w:tcPr>
            <w:tcW w:w="2317"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13,2</w:t>
            </w:r>
          </w:p>
        </w:tc>
        <w:tc>
          <w:tcPr>
            <w:tcW w:w="2334" w:type="dxa"/>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1 201 529</w:t>
            </w:r>
          </w:p>
        </w:tc>
      </w:tr>
      <w:tr w:rsidR="00955AC0" w:rsidTr="008E6C54">
        <w:trPr>
          <w:trHeight w:val="253"/>
        </w:trPr>
        <w:tc>
          <w:tcPr>
            <w:tcW w:w="2492" w:type="dxa"/>
            <w:tcBorders>
              <w:top w:val="single" w:sz="4" w:space="0" w:color="auto"/>
              <w:left w:val="single" w:sz="4" w:space="0" w:color="auto"/>
              <w:bottom w:val="single" w:sz="6" w:space="0" w:color="auto"/>
              <w:right w:val="single" w:sz="6" w:space="0" w:color="auto"/>
            </w:tcBorders>
            <w:vAlign w:val="center"/>
            <w:hideMark/>
          </w:tcPr>
          <w:p w:rsidR="00955AC0" w:rsidRDefault="00955AC0" w:rsidP="00F5122D">
            <w:pPr>
              <w:spacing w:after="0"/>
              <w:jc w:val="left"/>
              <w:rPr>
                <w:sz w:val="20"/>
                <w:szCs w:val="20"/>
                <w:lang w:eastAsia="en-US"/>
              </w:rPr>
            </w:pPr>
            <w:r w:rsidRPr="00955AC0">
              <w:rPr>
                <w:b/>
                <w:sz w:val="20"/>
                <w:szCs w:val="20"/>
                <w:lang w:eastAsia="en-US"/>
              </w:rPr>
              <w:lastRenderedPageBreak/>
              <w:t>Kraj</w:t>
            </w:r>
          </w:p>
        </w:tc>
        <w:tc>
          <w:tcPr>
            <w:tcW w:w="2066" w:type="dxa"/>
            <w:tcBorders>
              <w:top w:val="single" w:sz="4" w:space="0" w:color="auto"/>
              <w:left w:val="single" w:sz="6" w:space="0" w:color="auto"/>
              <w:bottom w:val="single" w:sz="6" w:space="0" w:color="auto"/>
              <w:right w:val="single" w:sz="6" w:space="0" w:color="auto"/>
            </w:tcBorders>
            <w:vAlign w:val="center"/>
            <w:hideMark/>
          </w:tcPr>
          <w:p w:rsidR="00955AC0" w:rsidRDefault="00955AC0" w:rsidP="00F5122D">
            <w:pPr>
              <w:spacing w:after="0"/>
              <w:jc w:val="center"/>
              <w:rPr>
                <w:sz w:val="20"/>
                <w:szCs w:val="20"/>
                <w:lang w:eastAsia="en-US"/>
              </w:rPr>
            </w:pPr>
            <w:r>
              <w:rPr>
                <w:b/>
                <w:bCs/>
                <w:sz w:val="20"/>
                <w:szCs w:val="20"/>
                <w:lang w:eastAsia="en-US"/>
              </w:rPr>
              <w:t xml:space="preserve">Počet hostů </w:t>
            </w:r>
          </w:p>
        </w:tc>
        <w:tc>
          <w:tcPr>
            <w:tcW w:w="2317" w:type="dxa"/>
            <w:tcBorders>
              <w:top w:val="single" w:sz="4" w:space="0" w:color="auto"/>
              <w:left w:val="single" w:sz="6" w:space="0" w:color="auto"/>
              <w:bottom w:val="single" w:sz="6" w:space="0" w:color="auto"/>
              <w:right w:val="single" w:sz="6" w:space="0" w:color="auto"/>
            </w:tcBorders>
            <w:vAlign w:val="center"/>
            <w:hideMark/>
          </w:tcPr>
          <w:p w:rsidR="00955AC0" w:rsidRDefault="00955AC0" w:rsidP="00F5122D">
            <w:pPr>
              <w:spacing w:after="0"/>
              <w:jc w:val="center"/>
              <w:rPr>
                <w:sz w:val="20"/>
                <w:szCs w:val="20"/>
                <w:lang w:eastAsia="en-US"/>
              </w:rPr>
            </w:pPr>
            <w:r>
              <w:rPr>
                <w:b/>
                <w:bCs/>
                <w:sz w:val="20"/>
                <w:szCs w:val="20"/>
                <w:lang w:eastAsia="en-US"/>
              </w:rPr>
              <w:t>Podíl nerezidentů (v %)</w:t>
            </w:r>
          </w:p>
        </w:tc>
        <w:tc>
          <w:tcPr>
            <w:tcW w:w="2334" w:type="dxa"/>
            <w:tcBorders>
              <w:top w:val="single" w:sz="4" w:space="0" w:color="auto"/>
              <w:left w:val="single" w:sz="6" w:space="0" w:color="auto"/>
              <w:bottom w:val="single" w:sz="6" w:space="0" w:color="auto"/>
              <w:right w:val="single" w:sz="4" w:space="0" w:color="auto"/>
            </w:tcBorders>
            <w:vAlign w:val="center"/>
            <w:hideMark/>
          </w:tcPr>
          <w:p w:rsidR="00955AC0" w:rsidRDefault="00955AC0" w:rsidP="00F5122D">
            <w:pPr>
              <w:spacing w:after="0"/>
              <w:jc w:val="center"/>
              <w:rPr>
                <w:sz w:val="20"/>
                <w:szCs w:val="20"/>
                <w:lang w:eastAsia="en-US"/>
              </w:rPr>
            </w:pPr>
            <w:r>
              <w:rPr>
                <w:b/>
                <w:bCs/>
                <w:sz w:val="20"/>
                <w:szCs w:val="20"/>
                <w:lang w:eastAsia="en-US"/>
              </w:rPr>
              <w:t>Počet přenocování</w:t>
            </w:r>
          </w:p>
        </w:tc>
      </w:tr>
      <w:tr w:rsidR="00955AC0" w:rsidTr="008E6C54">
        <w:trPr>
          <w:trHeight w:val="253"/>
        </w:trPr>
        <w:tc>
          <w:tcPr>
            <w:tcW w:w="2492" w:type="dxa"/>
            <w:tcBorders>
              <w:top w:val="single" w:sz="6" w:space="0" w:color="auto"/>
              <w:left w:val="single" w:sz="4" w:space="0" w:color="auto"/>
              <w:bottom w:val="single" w:sz="6" w:space="0" w:color="auto"/>
              <w:right w:val="single" w:sz="6" w:space="0" w:color="auto"/>
            </w:tcBorders>
            <w:vAlign w:val="center"/>
            <w:hideMark/>
          </w:tcPr>
          <w:p w:rsidR="00955AC0" w:rsidRDefault="00955AC0" w:rsidP="00F5122D">
            <w:pPr>
              <w:spacing w:after="0"/>
              <w:jc w:val="left"/>
              <w:rPr>
                <w:sz w:val="20"/>
                <w:szCs w:val="20"/>
                <w:lang w:eastAsia="en-US"/>
              </w:rPr>
            </w:pPr>
            <w:r>
              <w:rPr>
                <w:sz w:val="20"/>
                <w:szCs w:val="20"/>
                <w:lang w:eastAsia="en-US"/>
              </w:rPr>
              <w:t xml:space="preserve">Jihomoravský </w:t>
            </w:r>
          </w:p>
        </w:tc>
        <w:tc>
          <w:tcPr>
            <w:tcW w:w="2066" w:type="dxa"/>
            <w:tcBorders>
              <w:top w:val="single" w:sz="6" w:space="0" w:color="auto"/>
              <w:left w:val="single" w:sz="6" w:space="0" w:color="auto"/>
              <w:bottom w:val="single" w:sz="6" w:space="0" w:color="auto"/>
              <w:right w:val="single" w:sz="6" w:space="0" w:color="auto"/>
            </w:tcBorders>
            <w:vAlign w:val="center"/>
            <w:hideMark/>
          </w:tcPr>
          <w:p w:rsidR="00955AC0" w:rsidRDefault="00955AC0" w:rsidP="00F5122D">
            <w:pPr>
              <w:spacing w:after="0"/>
              <w:jc w:val="center"/>
              <w:rPr>
                <w:sz w:val="20"/>
                <w:szCs w:val="20"/>
                <w:lang w:eastAsia="en-US"/>
              </w:rPr>
            </w:pPr>
            <w:r>
              <w:rPr>
                <w:sz w:val="20"/>
                <w:szCs w:val="20"/>
                <w:lang w:eastAsia="en-US"/>
              </w:rPr>
              <w:t>1 536 172</w:t>
            </w:r>
          </w:p>
        </w:tc>
        <w:tc>
          <w:tcPr>
            <w:tcW w:w="2317" w:type="dxa"/>
            <w:tcBorders>
              <w:top w:val="single" w:sz="6" w:space="0" w:color="auto"/>
              <w:left w:val="single" w:sz="6" w:space="0" w:color="auto"/>
              <w:bottom w:val="single" w:sz="6" w:space="0" w:color="auto"/>
              <w:right w:val="single" w:sz="6" w:space="0" w:color="auto"/>
            </w:tcBorders>
            <w:vAlign w:val="center"/>
            <w:hideMark/>
          </w:tcPr>
          <w:p w:rsidR="00955AC0" w:rsidRDefault="00955AC0" w:rsidP="00F5122D">
            <w:pPr>
              <w:spacing w:after="0"/>
              <w:jc w:val="center"/>
              <w:rPr>
                <w:sz w:val="20"/>
                <w:szCs w:val="20"/>
                <w:lang w:eastAsia="en-US"/>
              </w:rPr>
            </w:pPr>
            <w:r>
              <w:rPr>
                <w:sz w:val="20"/>
                <w:szCs w:val="20"/>
                <w:lang w:eastAsia="en-US"/>
              </w:rPr>
              <w:t>32,0</w:t>
            </w:r>
          </w:p>
        </w:tc>
        <w:tc>
          <w:tcPr>
            <w:tcW w:w="2334" w:type="dxa"/>
            <w:tcBorders>
              <w:top w:val="single" w:sz="6" w:space="0" w:color="auto"/>
              <w:left w:val="single" w:sz="6" w:space="0" w:color="auto"/>
              <w:bottom w:val="single" w:sz="6" w:space="0" w:color="auto"/>
              <w:right w:val="single" w:sz="4" w:space="0" w:color="auto"/>
            </w:tcBorders>
            <w:vAlign w:val="center"/>
            <w:hideMark/>
          </w:tcPr>
          <w:p w:rsidR="00955AC0" w:rsidRDefault="00955AC0" w:rsidP="00F5122D">
            <w:pPr>
              <w:spacing w:after="0"/>
              <w:jc w:val="center"/>
              <w:rPr>
                <w:sz w:val="20"/>
                <w:szCs w:val="20"/>
                <w:lang w:eastAsia="en-US"/>
              </w:rPr>
            </w:pPr>
            <w:r>
              <w:rPr>
                <w:sz w:val="20"/>
                <w:szCs w:val="20"/>
                <w:lang w:eastAsia="en-US"/>
              </w:rPr>
              <w:t>3 072 995</w:t>
            </w:r>
          </w:p>
        </w:tc>
      </w:tr>
      <w:tr w:rsidR="00955AC0" w:rsidTr="008E6C54">
        <w:trPr>
          <w:trHeight w:val="253"/>
        </w:trPr>
        <w:tc>
          <w:tcPr>
            <w:tcW w:w="2492" w:type="dxa"/>
            <w:tcBorders>
              <w:top w:val="single" w:sz="6" w:space="0" w:color="auto"/>
              <w:left w:val="single" w:sz="4" w:space="0" w:color="auto"/>
              <w:bottom w:val="single" w:sz="6" w:space="0" w:color="auto"/>
              <w:right w:val="single" w:sz="6" w:space="0" w:color="auto"/>
            </w:tcBorders>
            <w:vAlign w:val="center"/>
            <w:hideMark/>
          </w:tcPr>
          <w:p w:rsidR="00955AC0" w:rsidRDefault="00955AC0" w:rsidP="00F5122D">
            <w:pPr>
              <w:spacing w:after="0"/>
              <w:jc w:val="left"/>
              <w:rPr>
                <w:sz w:val="20"/>
                <w:szCs w:val="20"/>
                <w:lang w:eastAsia="en-US"/>
              </w:rPr>
            </w:pPr>
            <w:r>
              <w:rPr>
                <w:sz w:val="20"/>
                <w:szCs w:val="20"/>
                <w:lang w:eastAsia="en-US"/>
              </w:rPr>
              <w:t xml:space="preserve">Olomoucký </w:t>
            </w:r>
          </w:p>
        </w:tc>
        <w:tc>
          <w:tcPr>
            <w:tcW w:w="2066" w:type="dxa"/>
            <w:tcBorders>
              <w:top w:val="single" w:sz="6" w:space="0" w:color="auto"/>
              <w:left w:val="single" w:sz="6" w:space="0" w:color="auto"/>
              <w:bottom w:val="single" w:sz="6" w:space="0" w:color="auto"/>
              <w:right w:val="single" w:sz="6" w:space="0" w:color="auto"/>
            </w:tcBorders>
            <w:vAlign w:val="center"/>
            <w:hideMark/>
          </w:tcPr>
          <w:p w:rsidR="00955AC0" w:rsidRDefault="00955AC0" w:rsidP="00F5122D">
            <w:pPr>
              <w:spacing w:after="0"/>
              <w:jc w:val="center"/>
              <w:rPr>
                <w:sz w:val="20"/>
                <w:szCs w:val="20"/>
                <w:lang w:eastAsia="en-US"/>
              </w:rPr>
            </w:pPr>
            <w:r>
              <w:rPr>
                <w:sz w:val="20"/>
                <w:szCs w:val="20"/>
                <w:lang w:eastAsia="en-US"/>
              </w:rPr>
              <w:t>547 538</w:t>
            </w:r>
          </w:p>
        </w:tc>
        <w:tc>
          <w:tcPr>
            <w:tcW w:w="2317" w:type="dxa"/>
            <w:tcBorders>
              <w:top w:val="single" w:sz="6" w:space="0" w:color="auto"/>
              <w:left w:val="single" w:sz="6" w:space="0" w:color="auto"/>
              <w:bottom w:val="single" w:sz="6" w:space="0" w:color="auto"/>
              <w:right w:val="single" w:sz="6" w:space="0" w:color="auto"/>
            </w:tcBorders>
            <w:vAlign w:val="center"/>
            <w:hideMark/>
          </w:tcPr>
          <w:p w:rsidR="00955AC0" w:rsidRDefault="00955AC0" w:rsidP="00F5122D">
            <w:pPr>
              <w:spacing w:after="0"/>
              <w:jc w:val="center"/>
              <w:rPr>
                <w:sz w:val="20"/>
                <w:szCs w:val="20"/>
                <w:lang w:eastAsia="en-US"/>
              </w:rPr>
            </w:pPr>
            <w:r>
              <w:rPr>
                <w:sz w:val="20"/>
                <w:szCs w:val="20"/>
                <w:lang w:eastAsia="en-US"/>
              </w:rPr>
              <w:t>21,0</w:t>
            </w:r>
          </w:p>
        </w:tc>
        <w:tc>
          <w:tcPr>
            <w:tcW w:w="2334" w:type="dxa"/>
            <w:tcBorders>
              <w:top w:val="single" w:sz="6" w:space="0" w:color="auto"/>
              <w:left w:val="single" w:sz="6" w:space="0" w:color="auto"/>
              <w:bottom w:val="single" w:sz="6" w:space="0" w:color="auto"/>
              <w:right w:val="single" w:sz="4" w:space="0" w:color="auto"/>
            </w:tcBorders>
            <w:vAlign w:val="center"/>
            <w:hideMark/>
          </w:tcPr>
          <w:p w:rsidR="00955AC0" w:rsidRDefault="00955AC0" w:rsidP="00F5122D">
            <w:pPr>
              <w:spacing w:after="0"/>
              <w:jc w:val="center"/>
              <w:rPr>
                <w:sz w:val="20"/>
                <w:szCs w:val="20"/>
                <w:lang w:eastAsia="en-US"/>
              </w:rPr>
            </w:pPr>
            <w:r>
              <w:rPr>
                <w:sz w:val="20"/>
                <w:szCs w:val="20"/>
                <w:lang w:eastAsia="en-US"/>
              </w:rPr>
              <w:t>1 779 102</w:t>
            </w:r>
          </w:p>
        </w:tc>
      </w:tr>
      <w:tr w:rsidR="00955AC0" w:rsidTr="008E6C54">
        <w:trPr>
          <w:trHeight w:val="253"/>
        </w:trPr>
        <w:tc>
          <w:tcPr>
            <w:tcW w:w="2492" w:type="dxa"/>
            <w:tcBorders>
              <w:top w:val="single" w:sz="6" w:space="0" w:color="auto"/>
              <w:left w:val="single" w:sz="4" w:space="0" w:color="auto"/>
              <w:bottom w:val="single" w:sz="4" w:space="0" w:color="auto"/>
              <w:right w:val="single" w:sz="6" w:space="0" w:color="auto"/>
            </w:tcBorders>
            <w:vAlign w:val="center"/>
            <w:hideMark/>
          </w:tcPr>
          <w:p w:rsidR="00955AC0" w:rsidRDefault="00955AC0" w:rsidP="00F5122D">
            <w:pPr>
              <w:spacing w:after="0"/>
              <w:jc w:val="left"/>
              <w:rPr>
                <w:sz w:val="20"/>
                <w:szCs w:val="20"/>
                <w:lang w:eastAsia="en-US"/>
              </w:rPr>
            </w:pPr>
            <w:r>
              <w:rPr>
                <w:sz w:val="20"/>
                <w:szCs w:val="20"/>
                <w:lang w:eastAsia="en-US"/>
              </w:rPr>
              <w:t xml:space="preserve">Zlínský </w:t>
            </w:r>
          </w:p>
        </w:tc>
        <w:tc>
          <w:tcPr>
            <w:tcW w:w="2066" w:type="dxa"/>
            <w:tcBorders>
              <w:top w:val="single" w:sz="6" w:space="0" w:color="auto"/>
              <w:left w:val="single" w:sz="6" w:space="0" w:color="auto"/>
              <w:bottom w:val="single" w:sz="4" w:space="0" w:color="auto"/>
              <w:right w:val="single" w:sz="6" w:space="0" w:color="auto"/>
            </w:tcBorders>
            <w:vAlign w:val="center"/>
            <w:hideMark/>
          </w:tcPr>
          <w:p w:rsidR="00955AC0" w:rsidRDefault="00955AC0" w:rsidP="00F5122D">
            <w:pPr>
              <w:spacing w:after="0"/>
              <w:jc w:val="center"/>
              <w:rPr>
                <w:sz w:val="20"/>
                <w:szCs w:val="20"/>
                <w:lang w:eastAsia="en-US"/>
              </w:rPr>
            </w:pPr>
            <w:r>
              <w:rPr>
                <w:sz w:val="20"/>
                <w:szCs w:val="20"/>
                <w:lang w:eastAsia="en-US"/>
              </w:rPr>
              <w:t>661 149</w:t>
            </w:r>
          </w:p>
        </w:tc>
        <w:tc>
          <w:tcPr>
            <w:tcW w:w="2317" w:type="dxa"/>
            <w:tcBorders>
              <w:top w:val="single" w:sz="6" w:space="0" w:color="auto"/>
              <w:left w:val="single" w:sz="6" w:space="0" w:color="auto"/>
              <w:bottom w:val="single" w:sz="4" w:space="0" w:color="auto"/>
              <w:right w:val="single" w:sz="6" w:space="0" w:color="auto"/>
            </w:tcBorders>
            <w:vAlign w:val="center"/>
            <w:hideMark/>
          </w:tcPr>
          <w:p w:rsidR="00955AC0" w:rsidRDefault="00955AC0" w:rsidP="00F5122D">
            <w:pPr>
              <w:spacing w:after="0"/>
              <w:jc w:val="center"/>
              <w:rPr>
                <w:sz w:val="20"/>
                <w:szCs w:val="20"/>
                <w:lang w:eastAsia="en-US"/>
              </w:rPr>
            </w:pPr>
            <w:r>
              <w:rPr>
                <w:sz w:val="20"/>
                <w:szCs w:val="20"/>
                <w:lang w:eastAsia="en-US"/>
              </w:rPr>
              <w:t>15,6</w:t>
            </w:r>
          </w:p>
        </w:tc>
        <w:tc>
          <w:tcPr>
            <w:tcW w:w="2334" w:type="dxa"/>
            <w:tcBorders>
              <w:top w:val="single" w:sz="6" w:space="0" w:color="auto"/>
              <w:left w:val="single" w:sz="6" w:space="0" w:color="auto"/>
              <w:bottom w:val="single" w:sz="4" w:space="0" w:color="auto"/>
              <w:right w:val="single" w:sz="4" w:space="0" w:color="auto"/>
            </w:tcBorders>
            <w:vAlign w:val="center"/>
            <w:hideMark/>
          </w:tcPr>
          <w:p w:rsidR="00955AC0" w:rsidRDefault="00955AC0" w:rsidP="00F5122D">
            <w:pPr>
              <w:spacing w:after="0"/>
              <w:jc w:val="center"/>
              <w:rPr>
                <w:sz w:val="20"/>
                <w:szCs w:val="20"/>
                <w:lang w:eastAsia="en-US"/>
              </w:rPr>
            </w:pPr>
            <w:r>
              <w:rPr>
                <w:sz w:val="20"/>
                <w:szCs w:val="20"/>
                <w:lang w:eastAsia="en-US"/>
              </w:rPr>
              <w:t>2 010 791</w:t>
            </w:r>
          </w:p>
        </w:tc>
      </w:tr>
      <w:tr w:rsidR="00955AC0" w:rsidTr="00F5122D">
        <w:trPr>
          <w:trHeight w:val="253"/>
        </w:trPr>
        <w:tc>
          <w:tcPr>
            <w:tcW w:w="2492" w:type="dxa"/>
            <w:tcBorders>
              <w:top w:val="nil"/>
              <w:left w:val="single" w:sz="4" w:space="0" w:color="auto"/>
              <w:bottom w:val="single" w:sz="4" w:space="0" w:color="auto"/>
              <w:right w:val="single" w:sz="4" w:space="0" w:color="auto"/>
            </w:tcBorders>
            <w:vAlign w:val="center"/>
            <w:hideMark/>
          </w:tcPr>
          <w:p w:rsidR="00955AC0" w:rsidRDefault="00955AC0" w:rsidP="00F5122D">
            <w:pPr>
              <w:spacing w:after="0"/>
              <w:jc w:val="left"/>
              <w:rPr>
                <w:sz w:val="20"/>
                <w:szCs w:val="20"/>
                <w:lang w:eastAsia="en-US"/>
              </w:rPr>
            </w:pPr>
            <w:r>
              <w:rPr>
                <w:sz w:val="20"/>
                <w:szCs w:val="20"/>
                <w:lang w:eastAsia="en-US"/>
              </w:rPr>
              <w:t>Hl. m. Praha</w:t>
            </w:r>
          </w:p>
        </w:tc>
        <w:tc>
          <w:tcPr>
            <w:tcW w:w="2066" w:type="dxa"/>
            <w:tcBorders>
              <w:top w:val="nil"/>
              <w:left w:val="nil"/>
              <w:bottom w:val="single" w:sz="4" w:space="0" w:color="auto"/>
              <w:right w:val="single" w:sz="4" w:space="0" w:color="auto"/>
            </w:tcBorders>
            <w:vAlign w:val="center"/>
            <w:hideMark/>
          </w:tcPr>
          <w:p w:rsidR="00955AC0" w:rsidRDefault="00955AC0" w:rsidP="00F5122D">
            <w:pPr>
              <w:spacing w:after="0"/>
              <w:jc w:val="center"/>
              <w:rPr>
                <w:sz w:val="20"/>
                <w:szCs w:val="20"/>
                <w:lang w:eastAsia="en-US"/>
              </w:rPr>
            </w:pPr>
            <w:r>
              <w:rPr>
                <w:sz w:val="20"/>
                <w:szCs w:val="20"/>
                <w:lang w:eastAsia="en-US"/>
              </w:rPr>
              <w:t>6 605 776</w:t>
            </w:r>
          </w:p>
        </w:tc>
        <w:tc>
          <w:tcPr>
            <w:tcW w:w="2317" w:type="dxa"/>
            <w:tcBorders>
              <w:top w:val="nil"/>
              <w:left w:val="nil"/>
              <w:bottom w:val="single" w:sz="4" w:space="0" w:color="auto"/>
              <w:right w:val="single" w:sz="4" w:space="0" w:color="auto"/>
            </w:tcBorders>
            <w:vAlign w:val="center"/>
            <w:hideMark/>
          </w:tcPr>
          <w:p w:rsidR="00955AC0" w:rsidRDefault="00955AC0" w:rsidP="00F5122D">
            <w:pPr>
              <w:spacing w:after="0"/>
              <w:jc w:val="center"/>
              <w:rPr>
                <w:sz w:val="20"/>
                <w:szCs w:val="20"/>
                <w:lang w:eastAsia="en-US"/>
              </w:rPr>
            </w:pPr>
            <w:r>
              <w:rPr>
                <w:sz w:val="20"/>
                <w:szCs w:val="20"/>
                <w:lang w:eastAsia="en-US"/>
              </w:rPr>
              <w:t>86,5</w:t>
            </w:r>
          </w:p>
        </w:tc>
        <w:tc>
          <w:tcPr>
            <w:tcW w:w="2334" w:type="dxa"/>
            <w:tcBorders>
              <w:top w:val="nil"/>
              <w:left w:val="nil"/>
              <w:bottom w:val="single" w:sz="4" w:space="0" w:color="auto"/>
              <w:right w:val="single" w:sz="4" w:space="0" w:color="auto"/>
            </w:tcBorders>
            <w:vAlign w:val="center"/>
            <w:hideMark/>
          </w:tcPr>
          <w:p w:rsidR="00955AC0" w:rsidRDefault="00955AC0" w:rsidP="00F5122D">
            <w:pPr>
              <w:spacing w:after="0"/>
              <w:jc w:val="center"/>
              <w:rPr>
                <w:sz w:val="20"/>
                <w:szCs w:val="20"/>
                <w:lang w:eastAsia="en-US"/>
              </w:rPr>
            </w:pPr>
            <w:r>
              <w:rPr>
                <w:sz w:val="20"/>
                <w:szCs w:val="20"/>
                <w:lang w:eastAsia="en-US"/>
              </w:rPr>
              <w:t>15 917 265</w:t>
            </w:r>
          </w:p>
        </w:tc>
      </w:tr>
    </w:tbl>
    <w:p w:rsidR="00F5122D" w:rsidRDefault="00F5122D" w:rsidP="00F5122D">
      <w:pPr>
        <w:spacing w:before="120" w:after="0" w:line="240" w:lineRule="auto"/>
        <w:rPr>
          <w:rStyle w:val="Zdraznnjemn"/>
          <w:rFonts w:ascii="Calibri" w:hAnsi="Calibri"/>
        </w:rPr>
      </w:pPr>
      <w:r>
        <w:rPr>
          <w:rStyle w:val="Zdraznnjemn"/>
          <w:rFonts w:eastAsiaTheme="minorHAnsi"/>
        </w:rPr>
        <w:t>Pozn. Jedná se o počet hostů a počtu přenocování v hromadných ubytovacích zařízeních v roce 2015.</w:t>
      </w:r>
    </w:p>
    <w:p w:rsidR="00F5122D" w:rsidRDefault="00F5122D" w:rsidP="00F5122D">
      <w:pPr>
        <w:spacing w:after="0" w:line="240" w:lineRule="auto"/>
        <w:rPr>
          <w:rStyle w:val="Zdraznnjemn"/>
          <w:rFonts w:eastAsiaTheme="minorHAnsi"/>
        </w:rPr>
      </w:pPr>
      <w:r>
        <w:rPr>
          <w:rStyle w:val="Zdraznnjemn"/>
          <w:rFonts w:eastAsiaTheme="minorHAnsi"/>
        </w:rPr>
        <w:t>Zdroj: ČSÚ - Veřejná databáze</w:t>
      </w:r>
    </w:p>
    <w:p w:rsidR="00F5122D" w:rsidRDefault="00F5122D" w:rsidP="00F5122D">
      <w:pPr>
        <w:spacing w:before="240" w:after="0"/>
      </w:pPr>
      <w:r>
        <w:t>V porovnání let 2012 a 2015 byl evidován nárůst počtu návštěvníků ve všech krajích (tabulka 8.2), ačkoliv v letech 2013 a 2014 byl v polovině krajů patrný meziroční pokles. Ten se týkal i Karlovarského kraje.</w:t>
      </w:r>
      <w:r w:rsidRPr="00D77B2C">
        <w:t xml:space="preserve"> </w:t>
      </w:r>
      <w:r>
        <w:t>Za sledované období Karlovarský kraj vykázal ze všech krajů nejnižší nárůst (5,2 %).</w:t>
      </w:r>
    </w:p>
    <w:p w:rsidR="009E424D" w:rsidRDefault="00F5122D">
      <w:pPr>
        <w:pStyle w:val="Titulek"/>
      </w:pPr>
      <w:bookmarkStart w:id="155" w:name="_Toc478118077"/>
      <w:bookmarkStart w:id="156" w:name="_Toc488233483"/>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2</w:t>
      </w:r>
      <w:r w:rsidR="004F2330">
        <w:fldChar w:fldCharType="end"/>
      </w:r>
      <w:r>
        <w:t>: Počet hostů v krajích v letech 2012-2015</w:t>
      </w:r>
      <w:bookmarkEnd w:id="155"/>
      <w:bookmarkEnd w:id="156"/>
      <w:r>
        <w:t xml:space="preserve"> </w:t>
      </w:r>
    </w:p>
    <w:tbl>
      <w:tblPr>
        <w:tblW w:w="9109" w:type="dxa"/>
        <w:tblInd w:w="55" w:type="dxa"/>
        <w:tblCellMar>
          <w:left w:w="70" w:type="dxa"/>
          <w:right w:w="70" w:type="dxa"/>
        </w:tblCellMar>
        <w:tblLook w:val="04A0" w:firstRow="1" w:lastRow="0" w:firstColumn="1" w:lastColumn="0" w:noHBand="0" w:noVBand="1"/>
      </w:tblPr>
      <w:tblGrid>
        <w:gridCol w:w="2000"/>
        <w:gridCol w:w="1276"/>
        <w:gridCol w:w="1417"/>
        <w:gridCol w:w="1134"/>
        <w:gridCol w:w="1418"/>
        <w:gridCol w:w="1864"/>
      </w:tblGrid>
      <w:tr w:rsidR="00F5122D" w:rsidTr="00955AC0">
        <w:trPr>
          <w:trHeight w:val="373"/>
        </w:trPr>
        <w:tc>
          <w:tcPr>
            <w:tcW w:w="2000" w:type="dxa"/>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rFonts w:cs="Arial"/>
                <w:b/>
                <w:bCs/>
                <w:sz w:val="20"/>
                <w:szCs w:val="20"/>
                <w:lang w:eastAsia="en-US"/>
              </w:rPr>
            </w:pPr>
            <w:r>
              <w:rPr>
                <w:rFonts w:cs="Arial"/>
                <w:b/>
                <w:bCs/>
                <w:sz w:val="20"/>
                <w:szCs w:val="20"/>
                <w:lang w:eastAsia="en-US"/>
              </w:rPr>
              <w:t xml:space="preserve">Kraj  </w:t>
            </w:r>
          </w:p>
        </w:tc>
        <w:tc>
          <w:tcPr>
            <w:tcW w:w="1276" w:type="dxa"/>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2012</w:t>
            </w:r>
          </w:p>
        </w:tc>
        <w:tc>
          <w:tcPr>
            <w:tcW w:w="1417" w:type="dxa"/>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2013</w:t>
            </w:r>
          </w:p>
        </w:tc>
        <w:tc>
          <w:tcPr>
            <w:tcW w:w="1134" w:type="dxa"/>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2014</w:t>
            </w:r>
          </w:p>
        </w:tc>
        <w:tc>
          <w:tcPr>
            <w:tcW w:w="1418" w:type="dxa"/>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2015</w:t>
            </w:r>
          </w:p>
        </w:tc>
        <w:tc>
          <w:tcPr>
            <w:tcW w:w="1864" w:type="dxa"/>
            <w:tcBorders>
              <w:top w:val="single" w:sz="4" w:space="0" w:color="auto"/>
              <w:left w:val="nil"/>
              <w:bottom w:val="single" w:sz="4" w:space="0" w:color="auto"/>
              <w:right w:val="single" w:sz="4" w:space="0" w:color="auto"/>
            </w:tcBorders>
            <w:vAlign w:val="center"/>
            <w:hideMark/>
          </w:tcPr>
          <w:p w:rsidR="00F5122D" w:rsidRDefault="00F5122D" w:rsidP="00955AC0">
            <w:pPr>
              <w:spacing w:after="0"/>
              <w:jc w:val="center"/>
              <w:rPr>
                <w:rFonts w:cs="Arial"/>
                <w:b/>
                <w:bCs/>
                <w:sz w:val="20"/>
                <w:szCs w:val="20"/>
                <w:lang w:eastAsia="en-US"/>
              </w:rPr>
            </w:pPr>
            <w:r>
              <w:rPr>
                <w:rFonts w:cs="Arial"/>
                <w:b/>
                <w:bCs/>
                <w:sz w:val="20"/>
                <w:szCs w:val="20"/>
                <w:lang w:eastAsia="en-US"/>
              </w:rPr>
              <w:t>Index změny (v %)</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 xml:space="preserve">Moravskoslezský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698 746</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698 211</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703 009</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775 047</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110,9</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 xml:space="preserve">Středočeský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853 204</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820 141</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799 530</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907 567</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106,4</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 xml:space="preserve">Jihočeský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1 107 452</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1 138 549</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1 176 046</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1 341 912</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121,2</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 xml:space="preserve">Plzeňský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595 138</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558 797</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568 746</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650 250</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109,3</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b/>
                <w:bCs/>
                <w:sz w:val="20"/>
                <w:szCs w:val="20"/>
                <w:lang w:eastAsia="en-US"/>
              </w:rPr>
            </w:pPr>
            <w:r>
              <w:rPr>
                <w:rFonts w:cs="Arial"/>
                <w:b/>
                <w:bCs/>
                <w:sz w:val="20"/>
                <w:szCs w:val="20"/>
                <w:lang w:eastAsia="en-US"/>
              </w:rPr>
              <w:t xml:space="preserve">Karlovarský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809 043</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787 084</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776 671</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850 891</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b/>
                <w:bCs/>
                <w:sz w:val="20"/>
                <w:szCs w:val="20"/>
                <w:lang w:eastAsia="en-US"/>
              </w:rPr>
            </w:pPr>
            <w:r>
              <w:rPr>
                <w:rFonts w:cs="Arial"/>
                <w:b/>
                <w:bCs/>
                <w:sz w:val="20"/>
                <w:szCs w:val="20"/>
                <w:lang w:eastAsia="en-US"/>
              </w:rPr>
              <w:t>105,2</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 xml:space="preserve">Ústecký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416 842</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426 592</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431 882</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487 259</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116,9</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 xml:space="preserve">Liberecký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753 932</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752 732</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700 144</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820 802</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108,9</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rFonts w:cs="Arial"/>
                <w:sz w:val="20"/>
                <w:szCs w:val="20"/>
                <w:lang w:eastAsia="en-US"/>
              </w:rPr>
            </w:pPr>
            <w:r>
              <w:rPr>
                <w:rFonts w:cs="Arial"/>
                <w:sz w:val="20"/>
                <w:szCs w:val="20"/>
                <w:lang w:eastAsia="en-US"/>
              </w:rPr>
              <w:t xml:space="preserve">Královéhradecký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968 571</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965 416</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936 736</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1 124 032</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116,1</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rFonts w:cs="Arial"/>
                <w:sz w:val="20"/>
                <w:szCs w:val="20"/>
                <w:lang w:eastAsia="en-US"/>
              </w:rPr>
            </w:pPr>
            <w:r>
              <w:rPr>
                <w:rFonts w:cs="Arial"/>
                <w:sz w:val="20"/>
                <w:szCs w:val="20"/>
                <w:lang w:eastAsia="en-US"/>
              </w:rPr>
              <w:t>Pardubický</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366 443</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369 233</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359 665</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413 443</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112,8</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Vysočina</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438 715</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448 401</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447 603</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473 712</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108,0</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955AC0">
            <w:pPr>
              <w:spacing w:after="0"/>
              <w:jc w:val="left"/>
              <w:rPr>
                <w:rFonts w:cs="Arial"/>
                <w:sz w:val="20"/>
                <w:szCs w:val="20"/>
                <w:lang w:eastAsia="en-US"/>
              </w:rPr>
            </w:pPr>
            <w:r>
              <w:rPr>
                <w:rFonts w:cs="Arial"/>
                <w:sz w:val="20"/>
                <w:szCs w:val="20"/>
                <w:lang w:eastAsia="en-US"/>
              </w:rPr>
              <w:t xml:space="preserve">Jihomoravský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1 317 690</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1 427 154</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1 499 974</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1 536 172</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116,6</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rFonts w:cs="Arial"/>
                <w:sz w:val="20"/>
                <w:szCs w:val="20"/>
                <w:lang w:eastAsia="en-US"/>
              </w:rPr>
            </w:pPr>
            <w:r>
              <w:rPr>
                <w:rFonts w:cs="Arial"/>
                <w:sz w:val="20"/>
                <w:szCs w:val="20"/>
                <w:lang w:eastAsia="en-US"/>
              </w:rPr>
              <w:t xml:space="preserve">Olomoucký </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474 868</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512 430</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487 641</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547 538</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115,3</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rFonts w:cs="Arial"/>
                <w:sz w:val="20"/>
                <w:szCs w:val="20"/>
                <w:lang w:eastAsia="en-US"/>
              </w:rPr>
            </w:pPr>
            <w:r>
              <w:rPr>
                <w:rFonts w:cs="Arial"/>
                <w:sz w:val="20"/>
                <w:szCs w:val="20"/>
                <w:lang w:eastAsia="en-US"/>
              </w:rPr>
              <w:t>Zlínský</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571 719</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603 301</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603 414</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661 149</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115,6</w:t>
            </w:r>
          </w:p>
        </w:tc>
      </w:tr>
      <w:tr w:rsidR="00F5122D" w:rsidTr="00955AC0">
        <w:trPr>
          <w:trHeight w:val="373"/>
        </w:trPr>
        <w:tc>
          <w:tcPr>
            <w:tcW w:w="2000" w:type="dxa"/>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rFonts w:cs="Arial"/>
                <w:sz w:val="20"/>
                <w:szCs w:val="20"/>
                <w:lang w:eastAsia="en-US"/>
              </w:rPr>
            </w:pPr>
            <w:r>
              <w:rPr>
                <w:rFonts w:cs="Arial"/>
                <w:sz w:val="20"/>
                <w:szCs w:val="20"/>
                <w:lang w:eastAsia="en-US"/>
              </w:rPr>
              <w:t>Hl. m. Praha</w:t>
            </w:r>
          </w:p>
        </w:tc>
        <w:tc>
          <w:tcPr>
            <w:tcW w:w="1276"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5 726 454</w:t>
            </w:r>
          </w:p>
        </w:tc>
        <w:tc>
          <w:tcPr>
            <w:tcW w:w="1417"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5 899 630</w:t>
            </w:r>
          </w:p>
        </w:tc>
        <w:tc>
          <w:tcPr>
            <w:tcW w:w="113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6 096 015</w:t>
            </w:r>
          </w:p>
        </w:tc>
        <w:tc>
          <w:tcPr>
            <w:tcW w:w="1418"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6 605 776</w:t>
            </w:r>
          </w:p>
        </w:tc>
        <w:tc>
          <w:tcPr>
            <w:tcW w:w="1864" w:type="dxa"/>
            <w:tcBorders>
              <w:top w:val="nil"/>
              <w:left w:val="nil"/>
              <w:bottom w:val="single" w:sz="4" w:space="0" w:color="auto"/>
              <w:right w:val="single" w:sz="4" w:space="0" w:color="auto"/>
            </w:tcBorders>
            <w:vAlign w:val="center"/>
            <w:hideMark/>
          </w:tcPr>
          <w:p w:rsidR="00F5122D" w:rsidRDefault="00F5122D" w:rsidP="00F5122D">
            <w:pPr>
              <w:spacing w:after="0"/>
              <w:jc w:val="center"/>
              <w:rPr>
                <w:rFonts w:cs="Arial"/>
                <w:sz w:val="20"/>
                <w:szCs w:val="20"/>
                <w:lang w:eastAsia="en-US"/>
              </w:rPr>
            </w:pPr>
            <w:r>
              <w:rPr>
                <w:rFonts w:cs="Arial"/>
                <w:sz w:val="20"/>
                <w:szCs w:val="20"/>
                <w:lang w:eastAsia="en-US"/>
              </w:rPr>
              <w:t>115,4</w:t>
            </w:r>
          </w:p>
        </w:tc>
      </w:tr>
    </w:tbl>
    <w:p w:rsidR="00F5122D" w:rsidRPr="008E6C54" w:rsidRDefault="00F5122D" w:rsidP="008E6C54">
      <w:pPr>
        <w:spacing w:before="120" w:after="0" w:line="240" w:lineRule="auto"/>
        <w:rPr>
          <w:rStyle w:val="Zdraznnjemn"/>
          <w:rFonts w:eastAsiaTheme="minorHAnsi"/>
        </w:rPr>
      </w:pPr>
      <w:r>
        <w:rPr>
          <w:rStyle w:val="Zdraznnjemn"/>
          <w:rFonts w:eastAsiaTheme="minorHAnsi"/>
        </w:rPr>
        <w:t>Pozn. Jedná se o počet hostů v hromadných ubytovacích zařízeních v jednotlivých letech. Index změny je spočten jako podíl mezi počtem návštěvníků v roce 2015 a počtem návštěvníků v roce 2</w:t>
      </w:r>
    </w:p>
    <w:p w:rsidR="00F5122D" w:rsidRDefault="00F5122D" w:rsidP="008E6C54">
      <w:pPr>
        <w:spacing w:after="0" w:line="240" w:lineRule="auto"/>
        <w:rPr>
          <w:rStyle w:val="Zdraznnjemn"/>
          <w:rFonts w:eastAsiaTheme="minorHAnsi"/>
        </w:rPr>
      </w:pPr>
      <w:r>
        <w:rPr>
          <w:rStyle w:val="Zdraznnjemn"/>
          <w:rFonts w:eastAsiaTheme="minorHAnsi"/>
        </w:rPr>
        <w:t>Zdroj: ČSÚ - Veřejná databáze</w:t>
      </w:r>
    </w:p>
    <w:p w:rsidR="00F5122D" w:rsidRDefault="00F5122D" w:rsidP="00F5122D">
      <w:pPr>
        <w:spacing w:before="240" w:after="0"/>
      </w:pPr>
      <w:r>
        <w:t xml:space="preserve">Při přepočtu návštěvníků na tisíc obyvatel kraje je ještě více patrný význam cestovního ruchu v Karlovarském kraji v rámci Česka (graf 8.1). </w:t>
      </w:r>
      <w:r>
        <w:rPr>
          <w:b/>
        </w:rPr>
        <w:t>Počtem návštěvníků na tisíc obyvatel (2 857) se Karlovarský kraj umístil na druhém místě</w:t>
      </w:r>
      <w:r>
        <w:t xml:space="preserve"> po Hl. m. Praha. </w:t>
      </w:r>
      <w:r>
        <w:rPr>
          <w:b/>
        </w:rPr>
        <w:t xml:space="preserve">Absolutního prvenství dosáhl při přepočtu přenocování na tisíc obyvatel </w:t>
      </w:r>
      <w:r>
        <w:t xml:space="preserve">(15 503), čímž předstihl i Hl. m. Prahu. První příčka je dána významným zastoupením lázeňství v regionu, tzn. u lázeňských pobytů je evidována delší doba pobytů. </w:t>
      </w:r>
    </w:p>
    <w:p w:rsidR="00F5122D" w:rsidRDefault="00F5122D" w:rsidP="000B3B9C">
      <w:pPr>
        <w:pStyle w:val="Titulek"/>
      </w:pPr>
      <w:bookmarkStart w:id="157" w:name="_Toc488234353"/>
      <w:r>
        <w:lastRenderedPageBreak/>
        <w:t xml:space="preserve">Graf </w:t>
      </w:r>
      <w:r w:rsidR="008965FE">
        <w:fldChar w:fldCharType="begin"/>
      </w:r>
      <w:r w:rsidR="00FD378B">
        <w:instrText xml:space="preserve"> STYLEREF 1 \s </w:instrText>
      </w:r>
      <w:r w:rsidR="008965FE">
        <w:fldChar w:fldCharType="separate"/>
      </w:r>
      <w:r w:rsidR="00CB29BD">
        <w:t>8</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r>
        <w:t>: Počet hostů a počet přenocování v přepočtu na tisíc obyvatel v krajích v roce 2015</w:t>
      </w:r>
      <w:bookmarkEnd w:id="157"/>
    </w:p>
    <w:p w:rsidR="00F5122D" w:rsidRDefault="00F5122D" w:rsidP="00F5122D">
      <w:pPr>
        <w:spacing w:after="0"/>
        <w:rPr>
          <w:lang w:eastAsia="en-US"/>
        </w:rPr>
      </w:pPr>
      <w:r>
        <w:rPr>
          <w:noProof/>
        </w:rPr>
        <w:drawing>
          <wp:inline distT="0" distB="0" distL="0" distR="0">
            <wp:extent cx="5772150" cy="2933700"/>
            <wp:effectExtent l="0" t="0" r="19050" b="19050"/>
            <wp:docPr id="37"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5122D" w:rsidRDefault="00F5122D" w:rsidP="00F5122D">
      <w:pPr>
        <w:spacing w:before="120" w:after="0" w:line="240" w:lineRule="auto"/>
        <w:rPr>
          <w:rStyle w:val="Zdraznnjemn"/>
          <w:rFonts w:ascii="Calibri" w:eastAsiaTheme="minorHAnsi" w:hAnsi="Calibri"/>
        </w:rPr>
      </w:pPr>
      <w:r>
        <w:rPr>
          <w:rStyle w:val="Zdraznnjemn"/>
          <w:rFonts w:eastAsiaTheme="minorHAnsi"/>
        </w:rPr>
        <w:t>Pozn. Zelené a modré linie značí průměrné hodnoty za celou ČR.</w:t>
      </w:r>
    </w:p>
    <w:p w:rsidR="00F5122D" w:rsidRDefault="00F5122D" w:rsidP="00F5122D">
      <w:pPr>
        <w:spacing w:after="0" w:line="240" w:lineRule="auto"/>
        <w:rPr>
          <w:rStyle w:val="Zdraznnjemn"/>
          <w:rFonts w:eastAsiaTheme="minorHAnsi"/>
        </w:rPr>
      </w:pPr>
      <w:r>
        <w:rPr>
          <w:rStyle w:val="Zdraznnjemn"/>
          <w:rFonts w:eastAsiaTheme="minorHAnsi"/>
        </w:rPr>
        <w:t>Zdroj: ČSÚ - Veřejná databáze, vlastní výpočty</w:t>
      </w:r>
    </w:p>
    <w:p w:rsidR="00D27B0E" w:rsidRDefault="00F5122D" w:rsidP="00D27B0E">
      <w:pPr>
        <w:pStyle w:val="Titulek"/>
        <w:rPr>
          <w:rFonts w:eastAsia="Times New Roman"/>
          <w:b w:val="0"/>
          <w:bCs w:val="0"/>
          <w:iCs w:val="0"/>
          <w:noProof w:val="0"/>
          <w:szCs w:val="22"/>
        </w:rPr>
      </w:pPr>
      <w:r>
        <w:t>V letech 2012 – 2015</w:t>
      </w:r>
      <w:r>
        <w:rPr>
          <w:rStyle w:val="Znakapoznpodarou"/>
        </w:rPr>
        <w:footnoteReference w:id="14"/>
      </w:r>
      <w:r>
        <w:t xml:space="preserve"> došlo v Karlovarském kraji k </w:t>
      </w:r>
      <w:r>
        <w:rPr>
          <w:b w:val="0"/>
        </w:rPr>
        <w:t>mírnému zvýšení počtu hostů v hromadných ubytovacích zařízeních</w:t>
      </w:r>
      <w:r>
        <w:t>, které činilo c</w:t>
      </w:r>
      <w:r w:rsidR="00DA707D">
        <w:t>c</w:t>
      </w:r>
      <w:r>
        <w:t xml:space="preserve">a 5 % </w:t>
      </w:r>
      <w:r w:rsidRPr="00DA707D">
        <w:rPr>
          <w:b w:val="0"/>
        </w:rPr>
        <w:t>(graf 8.2).</w:t>
      </w:r>
      <w:r>
        <w:t xml:space="preserve"> </w:t>
      </w:r>
      <w:r>
        <w:rPr>
          <w:b w:val="0"/>
        </w:rPr>
        <w:t>Zvýšil se počet tuzemských i zahraničních hostů</w:t>
      </w:r>
      <w:r>
        <w:t>, avšak výrazněji rostl počet rezidenčních hostů (c</w:t>
      </w:r>
      <w:r w:rsidR="00DA707D">
        <w:t>c</w:t>
      </w:r>
      <w:r>
        <w:t xml:space="preserve">a o 8 %, nerezidenčních o 4 %). Nadále však </w:t>
      </w:r>
      <w:r>
        <w:rPr>
          <w:b w:val="0"/>
        </w:rPr>
        <w:t>více než dvě třetiny hostů tvoří nerezidenti</w:t>
      </w:r>
      <w:r>
        <w:t xml:space="preserve">. Cestovní ruch je tak závislý zejména na návštěvnosti zahraniční klientely. </w:t>
      </w:r>
      <w:bookmarkStart w:id="158" w:name="_Toc488234354"/>
    </w:p>
    <w:p w:rsidR="00F5122D" w:rsidRDefault="00F5122D" w:rsidP="00D27B0E">
      <w:pPr>
        <w:pStyle w:val="Titulek"/>
      </w:pPr>
      <w:r>
        <w:t xml:space="preserve">Graf </w:t>
      </w:r>
      <w:r w:rsidR="008965FE">
        <w:fldChar w:fldCharType="begin"/>
      </w:r>
      <w:r w:rsidR="00FD378B">
        <w:instrText xml:space="preserve"> STYLEREF 1 \s </w:instrText>
      </w:r>
      <w:r w:rsidR="008965FE">
        <w:fldChar w:fldCharType="separate"/>
      </w:r>
      <w:r w:rsidR="00CB29BD">
        <w:t>8</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r>
        <w:t>: Počet hostů v hromadných ubytovacích zařízeních v KK v letech 2005</w:t>
      </w:r>
      <w:r w:rsidR="00955AC0">
        <w:t xml:space="preserve"> </w:t>
      </w:r>
      <w:r>
        <w:t>–</w:t>
      </w:r>
      <w:r w:rsidR="00955AC0">
        <w:t xml:space="preserve"> </w:t>
      </w:r>
      <w:r>
        <w:t>2015</w:t>
      </w:r>
      <w:bookmarkEnd w:id="158"/>
    </w:p>
    <w:p w:rsidR="00F5122D" w:rsidRDefault="00F5122D" w:rsidP="00F5122D">
      <w:pPr>
        <w:spacing w:after="0"/>
        <w:rPr>
          <w:sz w:val="20"/>
        </w:rPr>
      </w:pPr>
      <w:r>
        <w:rPr>
          <w:noProof/>
        </w:rPr>
        <w:drawing>
          <wp:inline distT="0" distB="0" distL="0" distR="0">
            <wp:extent cx="5776104" cy="2182483"/>
            <wp:effectExtent l="19050" t="0" r="15096" b="8267"/>
            <wp:docPr id="48" name="Graf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5122D" w:rsidRPr="000706B8" w:rsidRDefault="00F5122D" w:rsidP="000706B8">
      <w:pPr>
        <w:spacing w:before="120" w:after="0" w:line="240" w:lineRule="auto"/>
        <w:rPr>
          <w:rStyle w:val="Zdraznnjemn"/>
          <w:rFonts w:eastAsiaTheme="minorHAnsi"/>
        </w:rPr>
      </w:pPr>
      <w:r>
        <w:rPr>
          <w:rStyle w:val="Zdraznnjemn"/>
          <w:rFonts w:eastAsiaTheme="minorHAnsi"/>
        </w:rPr>
        <w:t>Pozn. Na základě výsledků projektu MMR „Zkvalitnění informací o vybraných sektorech cestovního ruchu" došlo k revizi dat o kapacitách a návštěvnosti za roky 2012 a 2013, z tohoto důvodu nejsou údaje před rokem 2012 srovnatelné.</w:t>
      </w:r>
    </w:p>
    <w:p w:rsidR="00F5122D" w:rsidRDefault="00F5122D" w:rsidP="000706B8">
      <w:pPr>
        <w:spacing w:after="120" w:line="240" w:lineRule="auto"/>
        <w:rPr>
          <w:rStyle w:val="Zdraznnjemn"/>
          <w:rFonts w:eastAsiaTheme="minorHAnsi"/>
        </w:rPr>
      </w:pPr>
      <w:r>
        <w:rPr>
          <w:rStyle w:val="Zdraznnjemn"/>
          <w:rFonts w:eastAsiaTheme="minorHAnsi"/>
        </w:rPr>
        <w:t>Zdroj: ČSÚ - Veřejná databáze</w:t>
      </w:r>
    </w:p>
    <w:p w:rsidR="009E424D" w:rsidRDefault="00F5122D">
      <w:r>
        <w:rPr>
          <w:b/>
        </w:rPr>
        <w:lastRenderedPageBreak/>
        <w:t>Nejvýznamnější skupinu návštěvníků tvoří dlouhodobě Němci a Rusové</w:t>
      </w:r>
      <w:r>
        <w:t xml:space="preserve"> (graf 8.3). Značný počet klientů přicestovává do Karlovarského kraje </w:t>
      </w:r>
      <w:r>
        <w:rPr>
          <w:b/>
        </w:rPr>
        <w:t>i z Číny, Slovenska a Izraele</w:t>
      </w:r>
      <w:r>
        <w:t xml:space="preserve">. Významný podíl návštěvníků tvoří i Rakušané, Korejci, Ukrajinci a dále pak občané Spojených států amerických, Nizozemska, Itálie a Maďarska. Ve sledovaném období rostl počet klientů z Německa, kteří si tak udržují prvenství. Naopak počet ruských návštěvníků, který v porovnání let 2015 a 2005 narostl téměř dvojnásobně, vykazuje v roce 2015 pokles oproti roku 2010. Přesto tvoří ruská klientela druhou největší skupinu návštěvníků v Karlovarském kraji. Významně poklesl i počet návštěvníků z Nizozemska, mírné snížení bylo evidováno i u hostů maďarské a americké národnosti. </w:t>
      </w:r>
      <w:r>
        <w:rPr>
          <w:b/>
        </w:rPr>
        <w:t xml:space="preserve">Nejvýrazněji narostl počet návštěvníků z Korejské republiky a Čínské lidové republiky. </w:t>
      </w:r>
      <w:r>
        <w:t xml:space="preserve">Intenzivní nárůst byl zaznamenán i u Ukrajinců, Izraelců, Rusů a Slováků. </w:t>
      </w:r>
    </w:p>
    <w:p w:rsidR="00F5122D" w:rsidRDefault="00F5122D" w:rsidP="000B3B9C">
      <w:pPr>
        <w:pStyle w:val="Titulek"/>
      </w:pPr>
      <w:bookmarkStart w:id="159" w:name="_Toc488234355"/>
      <w:r>
        <w:t xml:space="preserve">Graf </w:t>
      </w:r>
      <w:r w:rsidR="008965FE">
        <w:fldChar w:fldCharType="begin"/>
      </w:r>
      <w:r w:rsidR="00FD378B">
        <w:instrText xml:space="preserve"> STYLEREF 1 \s </w:instrText>
      </w:r>
      <w:r w:rsidR="008965FE">
        <w:fldChar w:fldCharType="separate"/>
      </w:r>
      <w:r w:rsidR="00CB29BD">
        <w:t>8</w:t>
      </w:r>
      <w:r w:rsidR="008965FE">
        <w:fldChar w:fldCharType="end"/>
      </w:r>
      <w:r w:rsidR="00FD378B">
        <w:t>.</w:t>
      </w:r>
      <w:r w:rsidR="008965FE">
        <w:fldChar w:fldCharType="begin"/>
      </w:r>
      <w:r w:rsidR="00FD378B">
        <w:instrText xml:space="preserve"> SEQ Graf \* ARABIC \s 1 </w:instrText>
      </w:r>
      <w:r w:rsidR="008965FE">
        <w:fldChar w:fldCharType="separate"/>
      </w:r>
      <w:r w:rsidR="00CB29BD">
        <w:t>3</w:t>
      </w:r>
      <w:r w:rsidR="008965FE">
        <w:fldChar w:fldCharType="end"/>
      </w:r>
      <w:r>
        <w:t>: Hosté dle země původu v Karlovarském kraji v letech 2005, 2010, 2015</w:t>
      </w:r>
      <w:bookmarkEnd w:id="159"/>
    </w:p>
    <w:p w:rsidR="00F5122D" w:rsidRDefault="00F5122D" w:rsidP="00F5122D">
      <w:pPr>
        <w:spacing w:after="0"/>
        <w:rPr>
          <w:noProof/>
        </w:rPr>
      </w:pPr>
      <w:r>
        <w:rPr>
          <w:noProof/>
        </w:rPr>
        <w:drawing>
          <wp:inline distT="0" distB="0" distL="0" distR="0">
            <wp:extent cx="5791200" cy="3524250"/>
            <wp:effectExtent l="0" t="0" r="19050" b="19050"/>
            <wp:docPr id="49"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5122D" w:rsidRDefault="00F5122D" w:rsidP="00F5122D">
      <w:pPr>
        <w:spacing w:before="120" w:after="0" w:line="240" w:lineRule="auto"/>
        <w:rPr>
          <w:rStyle w:val="Zdraznnjemn"/>
          <w:rFonts w:ascii="Calibri" w:eastAsiaTheme="minorHAnsi" w:hAnsi="Calibri"/>
        </w:rPr>
      </w:pPr>
      <w:r>
        <w:rPr>
          <w:rStyle w:val="Zdraznnjemn"/>
          <w:rFonts w:eastAsiaTheme="minorHAnsi"/>
        </w:rPr>
        <w:t>Pozn. Země původu seřazeny hierarchicky dle počtu hostů v roce 2015. Zobrazeno 12 zemí s nejvyšším počtem návštěvníků v roce 2015. Index změny je spočten jako počet hostů z dané země v roce 2015 dělený počtem hostů dané země v roce 2005 násobený 100.</w:t>
      </w:r>
    </w:p>
    <w:p w:rsidR="00F5122D" w:rsidRDefault="00F5122D" w:rsidP="00F5122D">
      <w:pPr>
        <w:spacing w:after="0" w:line="240" w:lineRule="auto"/>
        <w:rPr>
          <w:rStyle w:val="Zdraznnjemn"/>
          <w:rFonts w:eastAsiaTheme="minorHAnsi"/>
        </w:rPr>
      </w:pPr>
      <w:r>
        <w:rPr>
          <w:rStyle w:val="Zdraznnjemn"/>
          <w:rFonts w:eastAsiaTheme="minorHAnsi"/>
        </w:rPr>
        <w:t>Zdroj: ČSÚ - Veřejná databáze</w:t>
      </w:r>
    </w:p>
    <w:p w:rsidR="00955AC0" w:rsidRDefault="00F5122D" w:rsidP="00F5122D">
      <w:pPr>
        <w:spacing w:before="240" w:after="160"/>
      </w:pPr>
      <w:r>
        <w:t>Kompletní přehled příjezdů hostů podle zemí v Karlovarském kraji v letech 2012 – 2015 uvádí tabulka 8.3.</w:t>
      </w:r>
    </w:p>
    <w:p w:rsidR="00955AC0" w:rsidRDefault="00955AC0">
      <w:pPr>
        <w:spacing w:after="160" w:line="259" w:lineRule="auto"/>
        <w:jc w:val="left"/>
      </w:pPr>
      <w:r>
        <w:br w:type="page"/>
      </w:r>
    </w:p>
    <w:p w:rsidR="00F5122D" w:rsidRDefault="00F5122D" w:rsidP="000B3B9C">
      <w:pPr>
        <w:pStyle w:val="Titulek"/>
      </w:pPr>
      <w:bookmarkStart w:id="160" w:name="_Toc478118078"/>
      <w:r>
        <w:lastRenderedPageBreak/>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3</w:t>
      </w:r>
      <w:r w:rsidR="004F2330">
        <w:fldChar w:fldCharType="end"/>
      </w:r>
      <w:r>
        <w:t>: Hosté dle země původu v Karlovarském kraji v letech 2012 – 2015</w:t>
      </w:r>
      <w:bookmarkEnd w:id="160"/>
    </w:p>
    <w:tbl>
      <w:tblPr>
        <w:tblW w:w="5000" w:type="pct"/>
        <w:tblLayout w:type="fixed"/>
        <w:tblCellMar>
          <w:left w:w="70" w:type="dxa"/>
          <w:right w:w="70" w:type="dxa"/>
        </w:tblCellMar>
        <w:tblLook w:val="04A0" w:firstRow="1" w:lastRow="0" w:firstColumn="1" w:lastColumn="0" w:noHBand="0" w:noVBand="1"/>
      </w:tblPr>
      <w:tblGrid>
        <w:gridCol w:w="2752"/>
        <w:gridCol w:w="1292"/>
        <w:gridCol w:w="1292"/>
        <w:gridCol w:w="1292"/>
        <w:gridCol w:w="1292"/>
        <w:gridCol w:w="1292"/>
      </w:tblGrid>
      <w:tr w:rsidR="00F5122D" w:rsidTr="00F5122D">
        <w:trPr>
          <w:trHeight w:val="255"/>
        </w:trPr>
        <w:tc>
          <w:tcPr>
            <w:tcW w:w="149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sz w:val="20"/>
                <w:szCs w:val="20"/>
                <w:lang w:eastAsia="en-US"/>
              </w:rPr>
            </w:pPr>
            <w:r>
              <w:rPr>
                <w:b/>
                <w:bCs/>
                <w:sz w:val="20"/>
                <w:szCs w:val="20"/>
                <w:lang w:eastAsia="en-US"/>
              </w:rPr>
              <w:t>Země</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701" w:type="pct"/>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 xml:space="preserve">Index změny 2015/2012 </w:t>
            </w:r>
            <w:r>
              <w:rPr>
                <w:b/>
                <w:bCs/>
                <w:sz w:val="20"/>
                <w:szCs w:val="20"/>
                <w:lang w:eastAsia="en-US"/>
              </w:rPr>
              <w:br/>
              <w:t>(v %)</w:t>
            </w:r>
          </w:p>
        </w:tc>
      </w:tr>
      <w:tr w:rsidR="00F5122D" w:rsidTr="00F5122D">
        <w:trPr>
          <w:trHeight w:val="57"/>
        </w:trPr>
        <w:tc>
          <w:tcPr>
            <w:tcW w:w="1494" w:type="pct"/>
            <w:tcBorders>
              <w:top w:val="single" w:sz="4" w:space="0" w:color="auto"/>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Německo</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244 711</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237 490</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247 552</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271 468</w:t>
            </w:r>
          </w:p>
        </w:tc>
        <w:tc>
          <w:tcPr>
            <w:tcW w:w="701"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111</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Rusko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108 707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121 644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109 966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73 356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67</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Ostatní asijské země</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45 137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47 209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48 206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25 947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57</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Tchaj-wan</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24 159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Čína</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8 124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10 168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11 294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18 064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222</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Slovensko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6 708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6 971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6 908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10 220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152</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Izrael</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8 633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10 569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8 625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9 322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108</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Rakousko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8 693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8 999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8 913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8 581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99</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Jižní Korea</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7 172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3 496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4 802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8 496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118</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Ukrajina</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10 715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11 790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9 875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8 131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76</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Spojené státy americké</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5 584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5 761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5 563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7 234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130</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Nizozemsko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7 487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6 422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6 642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5 830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78</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Ostatní evropské země</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5 422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5 718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6 058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5 722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106</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Polsko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4 325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5 302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4 004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5 490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127</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Francie</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4 913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5 076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4 208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4 659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95</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Spojené království</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3 720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3 948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3 275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4 439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119</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Itálie</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3 610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4 128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3 305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4 007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111</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Švýcarsko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3 004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3 187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3 606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3 205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107</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Maďarsko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2 211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2 259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2 297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3 136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142</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Belgie</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2 480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2 880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2 615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2 974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120</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Bulharsko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409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541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465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2 974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727</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Španělsko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1 843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1 964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1 652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2 462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134</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Švédsko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1 607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1 790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1 211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1 970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123</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Saúdská Arábie</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1 968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Kanada</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1 601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1 636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1 573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1 907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119</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Dánsko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1 371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1 606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1 557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1 746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127</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Rumunsko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1 137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1 144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1 270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1 745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153</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Japonsko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4 003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2 226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1 015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1 519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38</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Litva</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939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1 111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921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1 359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145</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Finsko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878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1 092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822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1 342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153</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Spojené arabské emiráty</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1 298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Austrálie</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786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915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803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1 001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127</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Ostatní africké země</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1 000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1 058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1 075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1 000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100</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Norsko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829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961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846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984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119</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Řecko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908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550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597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903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99</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Turecko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684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681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668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898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131</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Estonsko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918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698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634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881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96</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Lotyšsko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399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494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572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721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181</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Ostatní americké země</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728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734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600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642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88</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Chorvatsko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315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308</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363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567</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180</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Brazílie</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550</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575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432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562</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102</w:t>
            </w:r>
          </w:p>
        </w:tc>
      </w:tr>
      <w:tr w:rsidR="00F5122D"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Slovinsko</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461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423</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424</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561</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122</w:t>
            </w:r>
          </w:p>
        </w:tc>
      </w:tr>
      <w:tr w:rsidR="00F5122D" w:rsidTr="000706B8">
        <w:trPr>
          <w:trHeight w:val="57"/>
        </w:trPr>
        <w:tc>
          <w:tcPr>
            <w:tcW w:w="1494" w:type="pct"/>
            <w:tcBorders>
              <w:top w:val="nil"/>
              <w:left w:val="single" w:sz="4" w:space="0" w:color="auto"/>
              <w:bottom w:val="single" w:sz="4" w:space="0" w:color="auto"/>
              <w:right w:val="single" w:sz="4" w:space="0" w:color="auto"/>
            </w:tcBorders>
            <w:vAlign w:val="center"/>
            <w:hideMark/>
          </w:tcPr>
          <w:p w:rsidR="00F5122D" w:rsidRPr="000706B8" w:rsidRDefault="00F5122D" w:rsidP="00F5122D">
            <w:pPr>
              <w:spacing w:after="0"/>
              <w:jc w:val="left"/>
              <w:rPr>
                <w:bCs/>
                <w:sz w:val="20"/>
                <w:szCs w:val="20"/>
                <w:lang w:eastAsia="en-US"/>
              </w:rPr>
            </w:pPr>
            <w:r w:rsidRPr="000706B8">
              <w:rPr>
                <w:bCs/>
                <w:sz w:val="20"/>
                <w:szCs w:val="20"/>
                <w:lang w:eastAsia="en-US"/>
              </w:rPr>
              <w:t>Indie</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266</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255</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499</w:t>
            </w:r>
          </w:p>
        </w:tc>
        <w:tc>
          <w:tcPr>
            <w:tcW w:w="70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188</w:t>
            </w:r>
          </w:p>
        </w:tc>
      </w:tr>
      <w:tr w:rsidR="00955AC0" w:rsidTr="000706B8">
        <w:trPr>
          <w:trHeight w:val="57"/>
        </w:trPr>
        <w:tc>
          <w:tcPr>
            <w:tcW w:w="1494" w:type="pct"/>
            <w:tcBorders>
              <w:top w:val="single" w:sz="4" w:space="0" w:color="auto"/>
              <w:left w:val="single" w:sz="4" w:space="0" w:color="auto"/>
              <w:bottom w:val="single" w:sz="4" w:space="0" w:color="auto"/>
              <w:right w:val="single" w:sz="6" w:space="0" w:color="auto"/>
            </w:tcBorders>
            <w:vAlign w:val="center"/>
            <w:hideMark/>
          </w:tcPr>
          <w:p w:rsidR="00955AC0" w:rsidRDefault="00955AC0" w:rsidP="00F5122D">
            <w:pPr>
              <w:spacing w:after="0"/>
              <w:jc w:val="left"/>
              <w:rPr>
                <w:b/>
                <w:bCs/>
                <w:sz w:val="20"/>
                <w:szCs w:val="20"/>
                <w:lang w:eastAsia="en-US"/>
              </w:rPr>
            </w:pPr>
            <w:r>
              <w:rPr>
                <w:b/>
                <w:bCs/>
                <w:sz w:val="20"/>
                <w:szCs w:val="20"/>
                <w:lang w:eastAsia="en-US"/>
              </w:rPr>
              <w:lastRenderedPageBreak/>
              <w:t>Země</w:t>
            </w:r>
          </w:p>
        </w:tc>
        <w:tc>
          <w:tcPr>
            <w:tcW w:w="701" w:type="pct"/>
            <w:tcBorders>
              <w:top w:val="single" w:sz="4" w:space="0" w:color="auto"/>
              <w:left w:val="single" w:sz="6" w:space="0" w:color="auto"/>
              <w:bottom w:val="single" w:sz="4" w:space="0" w:color="auto"/>
              <w:right w:val="single" w:sz="6" w:space="0" w:color="auto"/>
            </w:tcBorders>
            <w:noWrap/>
            <w:vAlign w:val="center"/>
            <w:hideMark/>
          </w:tcPr>
          <w:p w:rsidR="00955AC0" w:rsidRDefault="00955AC0" w:rsidP="00F5122D">
            <w:pPr>
              <w:spacing w:after="0"/>
              <w:jc w:val="center"/>
              <w:rPr>
                <w:sz w:val="20"/>
                <w:szCs w:val="20"/>
                <w:lang w:eastAsia="en-US"/>
              </w:rPr>
            </w:pPr>
            <w:r>
              <w:rPr>
                <w:b/>
                <w:bCs/>
                <w:sz w:val="20"/>
                <w:szCs w:val="20"/>
                <w:lang w:eastAsia="en-US"/>
              </w:rPr>
              <w:t>2012</w:t>
            </w:r>
          </w:p>
        </w:tc>
        <w:tc>
          <w:tcPr>
            <w:tcW w:w="701" w:type="pct"/>
            <w:tcBorders>
              <w:top w:val="single" w:sz="4" w:space="0" w:color="auto"/>
              <w:left w:val="single" w:sz="6" w:space="0" w:color="auto"/>
              <w:bottom w:val="single" w:sz="4" w:space="0" w:color="auto"/>
              <w:right w:val="single" w:sz="6" w:space="0" w:color="auto"/>
            </w:tcBorders>
            <w:noWrap/>
            <w:vAlign w:val="center"/>
            <w:hideMark/>
          </w:tcPr>
          <w:p w:rsidR="00955AC0" w:rsidRDefault="00955AC0" w:rsidP="00F5122D">
            <w:pPr>
              <w:spacing w:after="0"/>
              <w:jc w:val="center"/>
              <w:rPr>
                <w:sz w:val="20"/>
                <w:szCs w:val="20"/>
                <w:lang w:eastAsia="en-US"/>
              </w:rPr>
            </w:pPr>
            <w:r>
              <w:rPr>
                <w:b/>
                <w:bCs/>
                <w:sz w:val="20"/>
                <w:szCs w:val="20"/>
                <w:lang w:eastAsia="en-US"/>
              </w:rPr>
              <w:t>2013</w:t>
            </w:r>
          </w:p>
        </w:tc>
        <w:tc>
          <w:tcPr>
            <w:tcW w:w="701" w:type="pct"/>
            <w:tcBorders>
              <w:top w:val="single" w:sz="4" w:space="0" w:color="auto"/>
              <w:left w:val="single" w:sz="6" w:space="0" w:color="auto"/>
              <w:bottom w:val="single" w:sz="4" w:space="0" w:color="auto"/>
              <w:right w:val="single" w:sz="6" w:space="0" w:color="auto"/>
            </w:tcBorders>
            <w:noWrap/>
            <w:vAlign w:val="center"/>
            <w:hideMark/>
          </w:tcPr>
          <w:p w:rsidR="00955AC0" w:rsidRDefault="00955AC0" w:rsidP="00F5122D">
            <w:pPr>
              <w:spacing w:after="0"/>
              <w:jc w:val="center"/>
              <w:rPr>
                <w:sz w:val="20"/>
                <w:szCs w:val="20"/>
                <w:lang w:eastAsia="en-US"/>
              </w:rPr>
            </w:pPr>
            <w:r>
              <w:rPr>
                <w:b/>
                <w:bCs/>
                <w:sz w:val="20"/>
                <w:szCs w:val="20"/>
                <w:lang w:eastAsia="en-US"/>
              </w:rPr>
              <w:t>2014</w:t>
            </w:r>
          </w:p>
        </w:tc>
        <w:tc>
          <w:tcPr>
            <w:tcW w:w="701" w:type="pct"/>
            <w:tcBorders>
              <w:top w:val="single" w:sz="4" w:space="0" w:color="auto"/>
              <w:left w:val="single" w:sz="6" w:space="0" w:color="auto"/>
              <w:bottom w:val="single" w:sz="4" w:space="0" w:color="auto"/>
              <w:right w:val="single" w:sz="6" w:space="0" w:color="auto"/>
            </w:tcBorders>
            <w:noWrap/>
            <w:vAlign w:val="center"/>
            <w:hideMark/>
          </w:tcPr>
          <w:p w:rsidR="00955AC0" w:rsidRDefault="00955AC0" w:rsidP="00F5122D">
            <w:pPr>
              <w:spacing w:after="0"/>
              <w:jc w:val="center"/>
              <w:rPr>
                <w:sz w:val="20"/>
                <w:szCs w:val="20"/>
                <w:lang w:eastAsia="en-US"/>
              </w:rPr>
            </w:pPr>
            <w:r>
              <w:rPr>
                <w:b/>
                <w:bCs/>
                <w:sz w:val="20"/>
                <w:szCs w:val="20"/>
                <w:lang w:eastAsia="en-US"/>
              </w:rPr>
              <w:t>2015</w:t>
            </w:r>
          </w:p>
        </w:tc>
        <w:tc>
          <w:tcPr>
            <w:tcW w:w="701" w:type="pct"/>
            <w:tcBorders>
              <w:top w:val="single" w:sz="4" w:space="0" w:color="auto"/>
              <w:left w:val="single" w:sz="6" w:space="0" w:color="auto"/>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b/>
                <w:bCs/>
                <w:sz w:val="20"/>
                <w:szCs w:val="20"/>
                <w:lang w:eastAsia="en-US"/>
              </w:rPr>
              <w:t xml:space="preserve">Index změny 2015/2012 </w:t>
            </w:r>
            <w:r>
              <w:rPr>
                <w:b/>
                <w:bCs/>
                <w:sz w:val="20"/>
                <w:szCs w:val="20"/>
                <w:lang w:eastAsia="en-US"/>
              </w:rPr>
              <w:br/>
              <w:t>(v %)</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Irsko</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279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382</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427</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469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168</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Portugalsko</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276</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394</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199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348</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126</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Srbsko a Černá Hora</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159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172</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219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337</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212</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Mexiko</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190</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238</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297</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305</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161</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Kypr</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537</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151</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302</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275</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51</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Lucembursko</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219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164</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161</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259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118</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Nový Zéland</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156</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496</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102</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188</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121</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Jihoafrická republika</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121</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99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99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107</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88</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Island</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78</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71</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54</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80</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103</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Malta</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28</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31</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50</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71</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254</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Lichtenštejnsko</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48</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43</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30</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36</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75</w:t>
            </w:r>
          </w:p>
        </w:tc>
      </w:tr>
      <w:tr w:rsidR="00955AC0" w:rsidTr="00F5122D">
        <w:trPr>
          <w:trHeight w:val="57"/>
        </w:trPr>
        <w:tc>
          <w:tcPr>
            <w:tcW w:w="1494" w:type="pct"/>
            <w:tcBorders>
              <w:top w:val="nil"/>
              <w:left w:val="single" w:sz="4" w:space="0" w:color="auto"/>
              <w:bottom w:val="single" w:sz="4" w:space="0" w:color="auto"/>
              <w:right w:val="single" w:sz="4" w:space="0" w:color="auto"/>
            </w:tcBorders>
            <w:vAlign w:val="center"/>
            <w:hideMark/>
          </w:tcPr>
          <w:p w:rsidR="00955AC0" w:rsidRPr="000706B8" w:rsidRDefault="00955AC0" w:rsidP="00F5122D">
            <w:pPr>
              <w:spacing w:after="0"/>
              <w:jc w:val="left"/>
              <w:rPr>
                <w:bCs/>
                <w:sz w:val="20"/>
                <w:szCs w:val="20"/>
                <w:lang w:eastAsia="en-US"/>
              </w:rPr>
            </w:pPr>
            <w:r w:rsidRPr="000706B8">
              <w:rPr>
                <w:bCs/>
                <w:sz w:val="20"/>
                <w:szCs w:val="20"/>
                <w:lang w:eastAsia="en-US"/>
              </w:rPr>
              <w:t>Oceánie</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176</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69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20</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29</w:t>
            </w:r>
          </w:p>
        </w:tc>
        <w:tc>
          <w:tcPr>
            <w:tcW w:w="701" w:type="pct"/>
            <w:tcBorders>
              <w:top w:val="nil"/>
              <w:left w:val="nil"/>
              <w:bottom w:val="single" w:sz="4" w:space="0" w:color="auto"/>
              <w:right w:val="single" w:sz="4" w:space="0" w:color="auto"/>
            </w:tcBorders>
            <w:noWrap/>
            <w:vAlign w:val="center"/>
            <w:hideMark/>
          </w:tcPr>
          <w:p w:rsidR="00955AC0" w:rsidRDefault="00955AC0" w:rsidP="00F5122D">
            <w:pPr>
              <w:spacing w:after="0"/>
              <w:jc w:val="center"/>
              <w:rPr>
                <w:sz w:val="20"/>
                <w:szCs w:val="20"/>
                <w:lang w:eastAsia="en-US"/>
              </w:rPr>
            </w:pPr>
            <w:r>
              <w:rPr>
                <w:sz w:val="20"/>
                <w:szCs w:val="20"/>
                <w:lang w:eastAsia="en-US"/>
              </w:rPr>
              <w:t>16</w:t>
            </w:r>
          </w:p>
        </w:tc>
      </w:tr>
    </w:tbl>
    <w:p w:rsidR="00F5122D" w:rsidRDefault="00F5122D" w:rsidP="00F5122D">
      <w:pPr>
        <w:spacing w:before="120" w:after="0" w:line="240" w:lineRule="auto"/>
        <w:rPr>
          <w:rStyle w:val="Zdraznnjemn"/>
          <w:rFonts w:ascii="Calibri" w:hAnsi="Calibri"/>
        </w:rPr>
      </w:pPr>
      <w:r>
        <w:rPr>
          <w:rStyle w:val="Zdraznnjemn"/>
          <w:rFonts w:eastAsiaTheme="minorHAnsi"/>
        </w:rPr>
        <w:t>Pozn. Seřazeno hierarchicky dle počtu hostů v roce 2015.</w:t>
      </w:r>
    </w:p>
    <w:p w:rsidR="00F5122D" w:rsidRDefault="00F5122D" w:rsidP="00F5122D">
      <w:pPr>
        <w:spacing w:after="0" w:line="240" w:lineRule="auto"/>
        <w:rPr>
          <w:rStyle w:val="Zdraznnjemn"/>
          <w:rFonts w:eastAsiaTheme="minorHAnsi"/>
        </w:rPr>
      </w:pPr>
      <w:r>
        <w:rPr>
          <w:rStyle w:val="Zdraznnjemn"/>
          <w:rFonts w:eastAsiaTheme="minorHAnsi"/>
        </w:rPr>
        <w:t>Zdroj: ČSÚ - Veřejná databáze</w:t>
      </w:r>
    </w:p>
    <w:p w:rsidR="00F5122D" w:rsidRDefault="00F5122D" w:rsidP="00F5122D">
      <w:pPr>
        <w:spacing w:before="240" w:after="160"/>
      </w:pPr>
      <w:r>
        <w:rPr>
          <w:b/>
        </w:rPr>
        <w:t>Průměrná délka pobytu hostů v Karlovarském kraji (5,4 dne v roce 2015) je i nadále nejvyšší v porovnání s ostatními kraji a tvoří dvojnásobek celorepublikového průměru</w:t>
      </w:r>
      <w:r>
        <w:t xml:space="preserve">, a to i přes její pokles, který byl evidován v posledních čtyřech letech (tabulka 8.4). Snížení průměrné délky pobytu nastalo i u dalších devíti krajů, nicméně v Karlovarském kraji bylo nejvýraznější (o 9 %). </w:t>
      </w:r>
      <w:r>
        <w:rPr>
          <w:b/>
        </w:rPr>
        <w:t>V Karlovarském kraji došlo i ke snížení průměrné délky pobytu cizinců</w:t>
      </w:r>
      <w:r>
        <w:t xml:space="preserve">, které bylo nejvýraznější mezi kraji. Přesto je průměrná délka pobytu zahraničních návštěvníků v KK výrazně vyšší, než je celorepublikový průměr (5,8 dne v roce 2015). Zahraniční návštěvníci zůstávají v průměru o den déle než tuzemští. </w:t>
      </w:r>
      <w:r>
        <w:rPr>
          <w:b/>
        </w:rPr>
        <w:t>Naopak pouze v Karlovarském kraji a dalších čtyřech krajích roste průměrná délka přenocování rezidenčních hostů.</w:t>
      </w:r>
      <w:r>
        <w:t xml:space="preserve"> </w:t>
      </w:r>
    </w:p>
    <w:p w:rsidR="00955AC0" w:rsidRDefault="00F5122D" w:rsidP="00F5122D">
      <w:pPr>
        <w:spacing w:after="160"/>
        <w:rPr>
          <w:b/>
        </w:rPr>
      </w:pPr>
      <w:r>
        <w:t xml:space="preserve">Z výše uvedeného vyplývá, že v posledních letech se zkrátila průměrná doba pobytu z 5,9 na 5,4 dne, přičemž zkrácení se týkalo pouze nerezidentů, u tuzemské klientely nastalo naopak prodloužení délky pobytu. </w:t>
      </w:r>
      <w:r>
        <w:rPr>
          <w:b/>
        </w:rPr>
        <w:t xml:space="preserve">Výrazně vyšší průměrná délka pobytu souvisí s převažujícím důvodem návštěv hostů v kraji, tj. zejména s léčebnými pobyty. </w:t>
      </w:r>
    </w:p>
    <w:p w:rsidR="00955AC0" w:rsidRDefault="00955AC0">
      <w:pPr>
        <w:spacing w:after="160" w:line="259" w:lineRule="auto"/>
        <w:jc w:val="left"/>
        <w:rPr>
          <w:b/>
        </w:rPr>
      </w:pPr>
      <w:r>
        <w:rPr>
          <w:b/>
        </w:rPr>
        <w:br w:type="page"/>
      </w:r>
    </w:p>
    <w:p w:rsidR="00F5122D" w:rsidRDefault="00F5122D" w:rsidP="000B3B9C">
      <w:pPr>
        <w:pStyle w:val="Titulek"/>
      </w:pPr>
      <w:bookmarkStart w:id="161" w:name="_Toc478118079"/>
      <w:r>
        <w:lastRenderedPageBreak/>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4</w:t>
      </w:r>
      <w:r w:rsidR="004F2330">
        <w:fldChar w:fldCharType="end"/>
      </w:r>
      <w:r>
        <w:t>: Průměrný počet přenocování v hromadných ubytovacích zařízeních v krajích v letech 2012 – 2015</w:t>
      </w:r>
      <w:bookmarkEnd w:id="161"/>
    </w:p>
    <w:tbl>
      <w:tblPr>
        <w:tblW w:w="5000" w:type="pct"/>
        <w:tblLayout w:type="fixed"/>
        <w:tblCellMar>
          <w:left w:w="70" w:type="dxa"/>
          <w:right w:w="70" w:type="dxa"/>
        </w:tblCellMar>
        <w:tblLook w:val="04A0" w:firstRow="1" w:lastRow="0" w:firstColumn="1" w:lastColumn="0" w:noHBand="0" w:noVBand="1"/>
      </w:tblPr>
      <w:tblGrid>
        <w:gridCol w:w="1582"/>
        <w:gridCol w:w="633"/>
        <w:gridCol w:w="635"/>
        <w:gridCol w:w="636"/>
        <w:gridCol w:w="636"/>
        <w:gridCol w:w="636"/>
        <w:gridCol w:w="636"/>
        <w:gridCol w:w="636"/>
        <w:gridCol w:w="637"/>
        <w:gridCol w:w="636"/>
        <w:gridCol w:w="636"/>
        <w:gridCol w:w="636"/>
        <w:gridCol w:w="637"/>
      </w:tblGrid>
      <w:tr w:rsidR="00F5122D" w:rsidTr="00F5122D">
        <w:trPr>
          <w:trHeight w:val="284"/>
          <w:tblHeader/>
        </w:trPr>
        <w:tc>
          <w:tcPr>
            <w:tcW w:w="859" w:type="pct"/>
            <w:vMerge w:val="restart"/>
            <w:tcBorders>
              <w:top w:val="single" w:sz="8" w:space="0" w:color="auto"/>
              <w:left w:val="single" w:sz="8" w:space="0" w:color="auto"/>
              <w:bottom w:val="single" w:sz="8" w:space="0" w:color="000000"/>
              <w:right w:val="single" w:sz="8" w:space="0" w:color="auto"/>
            </w:tcBorders>
            <w:vAlign w:val="center"/>
            <w:hideMark/>
          </w:tcPr>
          <w:p w:rsidR="00F5122D" w:rsidRDefault="00F5122D" w:rsidP="00F5122D">
            <w:pPr>
              <w:spacing w:after="0"/>
              <w:jc w:val="left"/>
              <w:rPr>
                <w:b/>
                <w:bCs/>
                <w:sz w:val="20"/>
                <w:szCs w:val="20"/>
                <w:lang w:eastAsia="en-US"/>
              </w:rPr>
            </w:pPr>
            <w:r>
              <w:rPr>
                <w:b/>
                <w:bCs/>
                <w:sz w:val="20"/>
                <w:szCs w:val="20"/>
                <w:lang w:eastAsia="en-US"/>
              </w:rPr>
              <w:t>ČR, kraj</w:t>
            </w:r>
          </w:p>
        </w:tc>
        <w:tc>
          <w:tcPr>
            <w:tcW w:w="1378" w:type="pct"/>
            <w:gridSpan w:val="4"/>
            <w:tcBorders>
              <w:top w:val="single" w:sz="8" w:space="0" w:color="000000"/>
              <w:left w:val="nil"/>
              <w:bottom w:val="single" w:sz="8" w:space="0" w:color="000000"/>
              <w:right w:val="double" w:sz="6" w:space="0" w:color="000000"/>
            </w:tcBorders>
            <w:vAlign w:val="center"/>
            <w:hideMark/>
          </w:tcPr>
          <w:p w:rsidR="00F5122D" w:rsidRDefault="00F5122D" w:rsidP="00F5122D">
            <w:pPr>
              <w:spacing w:after="0"/>
              <w:jc w:val="center"/>
              <w:rPr>
                <w:b/>
                <w:bCs/>
                <w:sz w:val="20"/>
                <w:szCs w:val="20"/>
                <w:lang w:eastAsia="en-US"/>
              </w:rPr>
            </w:pPr>
            <w:r>
              <w:rPr>
                <w:b/>
                <w:bCs/>
                <w:sz w:val="20"/>
                <w:szCs w:val="20"/>
                <w:lang w:eastAsia="en-US"/>
              </w:rPr>
              <w:t>celkem</w:t>
            </w:r>
          </w:p>
        </w:tc>
        <w:tc>
          <w:tcPr>
            <w:tcW w:w="1381" w:type="pct"/>
            <w:gridSpan w:val="4"/>
            <w:tcBorders>
              <w:top w:val="single" w:sz="8" w:space="0" w:color="000000"/>
              <w:left w:val="nil"/>
              <w:bottom w:val="single" w:sz="8" w:space="0" w:color="000000"/>
              <w:right w:val="double" w:sz="6" w:space="0" w:color="000000"/>
            </w:tcBorders>
            <w:vAlign w:val="center"/>
            <w:hideMark/>
          </w:tcPr>
          <w:p w:rsidR="00F5122D" w:rsidRDefault="00F5122D" w:rsidP="00F5122D">
            <w:pPr>
              <w:spacing w:after="0"/>
              <w:jc w:val="center"/>
              <w:rPr>
                <w:b/>
                <w:bCs/>
                <w:sz w:val="20"/>
                <w:szCs w:val="20"/>
                <w:lang w:eastAsia="en-US"/>
              </w:rPr>
            </w:pPr>
            <w:r>
              <w:rPr>
                <w:b/>
                <w:bCs/>
                <w:sz w:val="20"/>
                <w:szCs w:val="20"/>
                <w:lang w:eastAsia="en-US"/>
              </w:rPr>
              <w:t>rezidenti</w:t>
            </w:r>
          </w:p>
        </w:tc>
        <w:tc>
          <w:tcPr>
            <w:tcW w:w="1381" w:type="pct"/>
            <w:gridSpan w:val="4"/>
            <w:tcBorders>
              <w:top w:val="single" w:sz="8" w:space="0" w:color="000000"/>
              <w:left w:val="nil"/>
              <w:bottom w:val="single" w:sz="8" w:space="0" w:color="000000"/>
              <w:right w:val="single" w:sz="8" w:space="0" w:color="000000"/>
            </w:tcBorders>
            <w:vAlign w:val="center"/>
            <w:hideMark/>
          </w:tcPr>
          <w:p w:rsidR="00F5122D" w:rsidRDefault="00F5122D" w:rsidP="00F5122D">
            <w:pPr>
              <w:spacing w:after="0"/>
              <w:jc w:val="center"/>
              <w:rPr>
                <w:b/>
                <w:bCs/>
                <w:sz w:val="20"/>
                <w:szCs w:val="20"/>
                <w:lang w:eastAsia="en-US"/>
              </w:rPr>
            </w:pPr>
            <w:r>
              <w:rPr>
                <w:b/>
                <w:bCs/>
                <w:sz w:val="20"/>
                <w:szCs w:val="20"/>
                <w:lang w:eastAsia="en-US"/>
              </w:rPr>
              <w:t>nerezidenti</w:t>
            </w:r>
          </w:p>
        </w:tc>
      </w:tr>
      <w:tr w:rsidR="00F5122D" w:rsidTr="00F5122D">
        <w:trPr>
          <w:trHeight w:val="284"/>
          <w:tblHeader/>
        </w:trPr>
        <w:tc>
          <w:tcPr>
            <w:tcW w:w="859" w:type="pct"/>
            <w:vMerge/>
            <w:tcBorders>
              <w:top w:val="single" w:sz="8" w:space="0" w:color="auto"/>
              <w:left w:val="single" w:sz="8" w:space="0" w:color="auto"/>
              <w:bottom w:val="single" w:sz="8" w:space="0" w:color="000000"/>
              <w:right w:val="single" w:sz="8" w:space="0" w:color="auto"/>
            </w:tcBorders>
            <w:vAlign w:val="center"/>
            <w:hideMark/>
          </w:tcPr>
          <w:p w:rsidR="00F5122D" w:rsidRDefault="00F5122D" w:rsidP="00F5122D">
            <w:pPr>
              <w:spacing w:after="0"/>
              <w:jc w:val="left"/>
              <w:rPr>
                <w:b/>
                <w:bCs/>
                <w:sz w:val="20"/>
                <w:szCs w:val="20"/>
                <w:lang w:eastAsia="en-US"/>
              </w:rPr>
            </w:pPr>
          </w:p>
        </w:tc>
        <w:tc>
          <w:tcPr>
            <w:tcW w:w="344"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345" w:type="pct"/>
            <w:tcBorders>
              <w:top w:val="nil"/>
              <w:left w:val="nil"/>
              <w:bottom w:val="single" w:sz="8" w:space="0" w:color="auto"/>
              <w:right w:val="double" w:sz="6"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346" w:type="pct"/>
            <w:tcBorders>
              <w:top w:val="nil"/>
              <w:left w:val="nil"/>
              <w:bottom w:val="single" w:sz="8" w:space="0" w:color="auto"/>
              <w:right w:val="double" w:sz="6"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345" w:type="pct"/>
            <w:tcBorders>
              <w:top w:val="nil"/>
              <w:left w:val="nil"/>
              <w:bottom w:val="single" w:sz="8" w:space="0" w:color="auto"/>
              <w:right w:val="single" w:sz="8"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b/>
                <w:sz w:val="20"/>
                <w:szCs w:val="20"/>
                <w:lang w:eastAsia="en-US"/>
              </w:rPr>
            </w:pPr>
            <w:r>
              <w:rPr>
                <w:b/>
                <w:sz w:val="20"/>
                <w:szCs w:val="20"/>
                <w:lang w:eastAsia="en-US"/>
              </w:rPr>
              <w:t xml:space="preserve">ČR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2,8</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2,8</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2,7</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Moravskoslezský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Středočeský</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Jihočeský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Plzeňský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b/>
                <w:bCs/>
                <w:sz w:val="20"/>
                <w:szCs w:val="20"/>
                <w:lang w:eastAsia="en-US"/>
              </w:rPr>
            </w:pPr>
            <w:r>
              <w:rPr>
                <w:b/>
                <w:bCs/>
                <w:sz w:val="20"/>
                <w:szCs w:val="20"/>
                <w:lang w:eastAsia="en-US"/>
              </w:rPr>
              <w:t xml:space="preserve">Karlovarský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5,9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5,8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5,8</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5,4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4,5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4,2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4,5</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4,8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6,7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6,6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6,5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5,8</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Ústecký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Liberecký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3,1</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Královéhradecký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3,3</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3,4</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Pardubický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Vysočina</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Jihomoravský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1,8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1,8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1,8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1,8</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 xml:space="preserve">Olomoucký </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3,3</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3,6</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2,1</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Zlínský</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3,1</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3,1</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3,2</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2,7</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r>
      <w:tr w:rsidR="00F5122D" w:rsidTr="00F5122D">
        <w:trPr>
          <w:trHeight w:val="284"/>
          <w:tblHeader/>
        </w:trPr>
        <w:tc>
          <w:tcPr>
            <w:tcW w:w="859" w:type="pct"/>
            <w:tcBorders>
              <w:top w:val="nil"/>
              <w:left w:val="single" w:sz="8" w:space="0" w:color="auto"/>
              <w:bottom w:val="single" w:sz="8" w:space="0" w:color="auto"/>
              <w:right w:val="single" w:sz="8" w:space="0" w:color="auto"/>
            </w:tcBorders>
            <w:vAlign w:val="center"/>
            <w:hideMark/>
          </w:tcPr>
          <w:p w:rsidR="00F5122D" w:rsidRDefault="00F5122D" w:rsidP="00F5122D">
            <w:pPr>
              <w:spacing w:after="0"/>
              <w:jc w:val="left"/>
              <w:rPr>
                <w:sz w:val="20"/>
                <w:szCs w:val="20"/>
                <w:lang w:eastAsia="en-US"/>
              </w:rPr>
            </w:pPr>
            <w:r>
              <w:rPr>
                <w:sz w:val="20"/>
                <w:szCs w:val="20"/>
                <w:lang w:eastAsia="en-US"/>
              </w:rPr>
              <w:t>Hl. m. Praha</w:t>
            </w:r>
          </w:p>
        </w:tc>
        <w:tc>
          <w:tcPr>
            <w:tcW w:w="344"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2,4</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1,9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1,9</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1,8</w:t>
            </w:r>
          </w:p>
        </w:tc>
        <w:tc>
          <w:tcPr>
            <w:tcW w:w="346" w:type="pct"/>
            <w:tcBorders>
              <w:top w:val="nil"/>
              <w:left w:val="nil"/>
              <w:bottom w:val="single" w:sz="8" w:space="0" w:color="auto"/>
              <w:right w:val="double" w:sz="6" w:space="0" w:color="auto"/>
            </w:tcBorders>
            <w:vAlign w:val="center"/>
            <w:hideMark/>
          </w:tcPr>
          <w:p w:rsidR="00F5122D" w:rsidRDefault="00F5122D" w:rsidP="00F5122D">
            <w:pPr>
              <w:spacing w:after="0"/>
              <w:jc w:val="center"/>
              <w:rPr>
                <w:sz w:val="20"/>
                <w:szCs w:val="20"/>
                <w:lang w:eastAsia="en-US"/>
              </w:rPr>
            </w:pPr>
            <w:r>
              <w:rPr>
                <w:sz w:val="20"/>
                <w:szCs w:val="20"/>
                <w:lang w:eastAsia="en-US"/>
              </w:rPr>
              <w:t>1,8</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2,6</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c>
          <w:tcPr>
            <w:tcW w:w="345" w:type="pct"/>
            <w:tcBorders>
              <w:top w:val="nil"/>
              <w:left w:val="nil"/>
              <w:bottom w:val="single" w:sz="8" w:space="0" w:color="auto"/>
              <w:right w:val="single" w:sz="8" w:space="0" w:color="auto"/>
            </w:tcBorders>
            <w:vAlign w:val="center"/>
            <w:hideMark/>
          </w:tcPr>
          <w:p w:rsidR="00F5122D" w:rsidRDefault="00F5122D" w:rsidP="00F5122D">
            <w:pPr>
              <w:spacing w:after="0"/>
              <w:jc w:val="center"/>
              <w:rPr>
                <w:sz w:val="20"/>
                <w:szCs w:val="20"/>
                <w:lang w:eastAsia="en-US"/>
              </w:rPr>
            </w:pPr>
            <w:r>
              <w:rPr>
                <w:sz w:val="20"/>
                <w:szCs w:val="20"/>
                <w:lang w:eastAsia="en-US"/>
              </w:rPr>
              <w:t>2,5</w:t>
            </w:r>
          </w:p>
        </w:tc>
      </w:tr>
    </w:tbl>
    <w:p w:rsidR="00F5122D" w:rsidRPr="00AE2969" w:rsidRDefault="00F5122D" w:rsidP="00F5122D">
      <w:pPr>
        <w:spacing w:before="120" w:after="0"/>
        <w:rPr>
          <w:rStyle w:val="Zdraznnjemn"/>
        </w:rPr>
      </w:pPr>
      <w:r w:rsidRPr="0025191F">
        <w:rPr>
          <w:rStyle w:val="Zdraznnjemn"/>
          <w:rFonts w:eastAsiaTheme="minorHAnsi"/>
        </w:rPr>
        <w:t>Zdroj: ČSÚ - Veřejná databáze</w:t>
      </w:r>
    </w:p>
    <w:p w:rsidR="00F5122D" w:rsidRDefault="00F5122D" w:rsidP="00F5122D">
      <w:pPr>
        <w:spacing w:before="240" w:after="160"/>
      </w:pPr>
      <w:r>
        <w:t xml:space="preserve">S výše uvedeným souvisí i </w:t>
      </w:r>
      <w:r>
        <w:rPr>
          <w:b/>
        </w:rPr>
        <w:t>celkový počet přenocování v hromadných ubytovacích zařízeních, který v Karlovarském kraji mírně poklesl</w:t>
      </w:r>
      <w:r>
        <w:t xml:space="preserve"> (o cca 3 %), což bylo </w:t>
      </w:r>
      <w:r>
        <w:rPr>
          <w:b/>
        </w:rPr>
        <w:t>zapříčiněno snížením počtu přenocování nerezidentů</w:t>
      </w:r>
      <w:r>
        <w:t xml:space="preserve"> (tabulka 8.5). Zahraniční návštěvníci se tak na celkovém počtu přenocování podíleli z více než 67 % v roce 2015, ačkoliv v předchozích letech to bylo z více než 70 %. Počet přenocování tuzemské klientely naopak narostl o 15 %.</w:t>
      </w:r>
    </w:p>
    <w:p w:rsidR="00F5122D" w:rsidRDefault="00F5122D" w:rsidP="000B3B9C">
      <w:pPr>
        <w:pStyle w:val="Titulek"/>
      </w:pPr>
      <w:bookmarkStart w:id="162" w:name="_Toc478118080"/>
      <w:bookmarkStart w:id="163" w:name="_Toc488233484"/>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5</w:t>
      </w:r>
      <w:r w:rsidR="004F2330">
        <w:fldChar w:fldCharType="end"/>
      </w:r>
      <w:r>
        <w:t>: Počet přenocování v hromadných ubytovacích zařízeních v</w:t>
      </w:r>
      <w:r w:rsidR="00955AC0">
        <w:t> </w:t>
      </w:r>
      <w:r>
        <w:t>KK</w:t>
      </w:r>
      <w:r w:rsidR="00955AC0">
        <w:t xml:space="preserve"> </w:t>
      </w:r>
      <w:r>
        <w:t>v letech 2012 – 2015</w:t>
      </w:r>
      <w:bookmarkEnd w:id="162"/>
      <w:bookmarkEnd w:id="163"/>
    </w:p>
    <w:tbl>
      <w:tblPr>
        <w:tblW w:w="5000" w:type="pct"/>
        <w:tblCellMar>
          <w:left w:w="70" w:type="dxa"/>
          <w:right w:w="70" w:type="dxa"/>
        </w:tblCellMar>
        <w:tblLook w:val="04A0" w:firstRow="1" w:lastRow="0" w:firstColumn="1" w:lastColumn="0" w:noHBand="0" w:noVBand="1"/>
      </w:tblPr>
      <w:tblGrid>
        <w:gridCol w:w="1505"/>
        <w:gridCol w:w="1279"/>
        <w:gridCol w:w="1279"/>
        <w:gridCol w:w="1280"/>
        <w:gridCol w:w="1280"/>
        <w:gridCol w:w="2589"/>
      </w:tblGrid>
      <w:tr w:rsidR="00F5122D" w:rsidTr="00F5122D">
        <w:trPr>
          <w:trHeight w:val="269"/>
        </w:trPr>
        <w:tc>
          <w:tcPr>
            <w:tcW w:w="92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160"/>
              <w:jc w:val="left"/>
              <w:rPr>
                <w:rFonts w:asciiTheme="minorHAnsi" w:eastAsiaTheme="minorHAnsi" w:hAnsiTheme="minorHAnsi" w:cs="Times New Roman"/>
                <w:lang w:eastAsia="en-US"/>
              </w:rPr>
            </w:pPr>
          </w:p>
        </w:tc>
        <w:tc>
          <w:tcPr>
            <w:tcW w:w="802"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802"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802"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802"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867"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Index změny 2015/2012 (v %)</w:t>
            </w:r>
          </w:p>
        </w:tc>
      </w:tr>
      <w:tr w:rsidR="00F5122D" w:rsidTr="00F5122D">
        <w:trPr>
          <w:trHeight w:val="269"/>
        </w:trPr>
        <w:tc>
          <w:tcPr>
            <w:tcW w:w="92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sz w:val="20"/>
                <w:szCs w:val="20"/>
                <w:lang w:eastAsia="en-US"/>
              </w:rPr>
            </w:pPr>
            <w:r>
              <w:rPr>
                <w:b/>
                <w:bCs/>
                <w:sz w:val="20"/>
                <w:szCs w:val="20"/>
                <w:lang w:eastAsia="en-US"/>
              </w:rPr>
              <w:t>Rezidenti</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1 318 809</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1 098 558</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1 163 980</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1 510 989</w:t>
            </w:r>
          </w:p>
        </w:tc>
        <w:tc>
          <w:tcPr>
            <w:tcW w:w="867"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115</w:t>
            </w:r>
          </w:p>
        </w:tc>
      </w:tr>
      <w:tr w:rsidR="00F5122D" w:rsidTr="00F5122D">
        <w:trPr>
          <w:trHeight w:val="269"/>
        </w:trPr>
        <w:tc>
          <w:tcPr>
            <w:tcW w:w="92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sz w:val="20"/>
                <w:szCs w:val="20"/>
                <w:lang w:eastAsia="en-US"/>
              </w:rPr>
            </w:pPr>
            <w:r>
              <w:rPr>
                <w:b/>
                <w:bCs/>
                <w:sz w:val="20"/>
                <w:szCs w:val="20"/>
                <w:lang w:eastAsia="en-US"/>
              </w:rPr>
              <w:t>Nerezidenti</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3 458 006</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3 484 586</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3 338 609</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3 106 372</w:t>
            </w:r>
          </w:p>
        </w:tc>
        <w:tc>
          <w:tcPr>
            <w:tcW w:w="867"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90</w:t>
            </w:r>
          </w:p>
        </w:tc>
      </w:tr>
      <w:tr w:rsidR="00F5122D" w:rsidTr="00F5122D">
        <w:trPr>
          <w:trHeight w:val="269"/>
        </w:trPr>
        <w:tc>
          <w:tcPr>
            <w:tcW w:w="92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sz w:val="20"/>
                <w:szCs w:val="20"/>
                <w:lang w:eastAsia="en-US"/>
              </w:rPr>
            </w:pPr>
            <w:r>
              <w:rPr>
                <w:b/>
                <w:bCs/>
                <w:sz w:val="20"/>
                <w:szCs w:val="20"/>
                <w:lang w:eastAsia="en-US"/>
              </w:rPr>
              <w:t>Celkem</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4 776 815</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4 583 144</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4 502 589</w:t>
            </w:r>
          </w:p>
        </w:tc>
        <w:tc>
          <w:tcPr>
            <w:tcW w:w="80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4 617 361</w:t>
            </w:r>
          </w:p>
        </w:tc>
        <w:tc>
          <w:tcPr>
            <w:tcW w:w="867"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97</w:t>
            </w:r>
          </w:p>
        </w:tc>
      </w:tr>
    </w:tbl>
    <w:p w:rsidR="00F5122D" w:rsidRPr="00AE2969" w:rsidRDefault="00F5122D" w:rsidP="00F5122D">
      <w:pPr>
        <w:spacing w:before="120" w:after="0"/>
        <w:rPr>
          <w:rStyle w:val="Zdraznnjemn"/>
        </w:rPr>
      </w:pPr>
      <w:r w:rsidRPr="0025191F">
        <w:rPr>
          <w:rStyle w:val="Zdraznnjemn"/>
          <w:rFonts w:eastAsiaTheme="minorHAnsi"/>
        </w:rPr>
        <w:t>Zdroj: ČSÚ - Veřejná databáze</w:t>
      </w:r>
    </w:p>
    <w:p w:rsidR="00F5122D" w:rsidRDefault="00F5122D" w:rsidP="00F5122D">
      <w:pPr>
        <w:pStyle w:val="Nadpis2"/>
        <w:rPr>
          <w:rFonts w:cs="Calibri"/>
        </w:rPr>
      </w:pPr>
      <w:r>
        <w:rPr>
          <w:rFonts w:ascii="Calibri" w:hAnsi="Calibri" w:cs="Calibri"/>
        </w:rPr>
        <w:t>Lázeňská péče a wellness</w:t>
      </w:r>
    </w:p>
    <w:p w:rsidR="00F5122D" w:rsidRDefault="00F5122D" w:rsidP="00F5122D">
      <w:r>
        <w:t>V Karlovarském kraji je vysoká koncentrace přírodních léčivých zdrojů. Nejedná se však jen o prameny termální minerální (v Karlových Varech) a radonové (v Jáchymově), ale i o studené kyselky různého chemického složení (v Mariánských Lázních, Františkových Lázních, Lázních Kynžvart) a ložiska kvalitní rašeliny a plyn CO</w:t>
      </w:r>
      <w:r>
        <w:rPr>
          <w:vertAlign w:val="subscript"/>
        </w:rPr>
        <w:t>2</w:t>
      </w:r>
      <w:r>
        <w:t>.</w:t>
      </w:r>
    </w:p>
    <w:p w:rsidR="00F5122D" w:rsidRDefault="00F5122D" w:rsidP="00F5122D">
      <w:r>
        <w:t xml:space="preserve">Především díky těmto specifickým přírodním zdrojům je v kraji vysoká koncentrace českého lázeňství, které je úzce provázáno s cestovním ruchem. Světovou proslulost si získala zejména lázeňská města </w:t>
      </w:r>
      <w:hyperlink r:id="rId71" w:history="1">
        <w:r w:rsidRPr="002C40B2">
          <w:rPr>
            <w:rStyle w:val="Hypertextovodkaz"/>
            <w:rFonts w:eastAsia="Calibri"/>
            <w:color w:val="auto"/>
            <w:u w:val="none"/>
          </w:rPr>
          <w:t>Karlovy Vary</w:t>
        </w:r>
      </w:hyperlink>
      <w:r w:rsidRPr="002C40B2">
        <w:t xml:space="preserve">, </w:t>
      </w:r>
      <w:hyperlink r:id="rId72" w:history="1">
        <w:r w:rsidRPr="002C40B2">
          <w:rPr>
            <w:rStyle w:val="Hypertextovodkaz"/>
            <w:rFonts w:eastAsia="Calibri"/>
            <w:color w:val="auto"/>
            <w:u w:val="none"/>
          </w:rPr>
          <w:t>Mariánské Lázně</w:t>
        </w:r>
      </w:hyperlink>
      <w:r w:rsidRPr="002C40B2">
        <w:t xml:space="preserve">, </w:t>
      </w:r>
      <w:hyperlink r:id="rId73" w:history="1">
        <w:r w:rsidRPr="002C40B2">
          <w:rPr>
            <w:rStyle w:val="Hypertextovodkaz"/>
            <w:rFonts w:eastAsia="Calibri"/>
            <w:color w:val="auto"/>
            <w:u w:val="none"/>
          </w:rPr>
          <w:t>Františkovy Lázně</w:t>
        </w:r>
      </w:hyperlink>
      <w:r w:rsidRPr="002C40B2">
        <w:t xml:space="preserve">, </w:t>
      </w:r>
      <w:hyperlink r:id="rId74" w:history="1">
        <w:r w:rsidRPr="002C40B2">
          <w:rPr>
            <w:rStyle w:val="Hypertextovodkaz"/>
            <w:rFonts w:eastAsia="Calibri"/>
            <w:color w:val="auto"/>
            <w:u w:val="none"/>
          </w:rPr>
          <w:t>Lázně Kynžvart</w:t>
        </w:r>
      </w:hyperlink>
      <w:r>
        <w:t xml:space="preserve"> a Lázně Jáchymov. Kraj disponuje </w:t>
      </w:r>
      <w:r>
        <w:lastRenderedPageBreak/>
        <w:t xml:space="preserve">nejvyšší koncentrací lázeňských léčebných zařízení, lůžkových kapacit a personálu v Česku. Tradiční lázeňství pak doplňují pobyty typu wellness či relaxační pobyty. </w:t>
      </w:r>
    </w:p>
    <w:p w:rsidR="00F5122D" w:rsidRDefault="00F5122D" w:rsidP="00F5122D">
      <w:pPr>
        <w:spacing w:after="160"/>
      </w:pPr>
      <w:r>
        <w:t xml:space="preserve">Význam postavení lázeňství v Karlovarském kraji v rámci Česka dokládá lůžková kapacita lázeňských zařízení, která představovala v roce 2015 v Karlovarském kraji 11 026 lůžek, tj. </w:t>
      </w:r>
      <w:r>
        <w:rPr>
          <w:b/>
        </w:rPr>
        <w:t>téměř 50 % lůžkové kapacity všech lázeňských zařízení v Česku</w:t>
      </w:r>
      <w:r>
        <w:t xml:space="preserve"> (tabulka 8.6). Danému odpovídal i počet lékařů (ca 137) a zdravotního personálu bez dohledu (407) v KK.</w:t>
      </w:r>
    </w:p>
    <w:p w:rsidR="00F5122D" w:rsidRDefault="00F5122D" w:rsidP="000B3B9C">
      <w:pPr>
        <w:pStyle w:val="Titulek"/>
      </w:pPr>
      <w:bookmarkStart w:id="164" w:name="_Toc478118081"/>
      <w:bookmarkStart w:id="165" w:name="_Toc488233485"/>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6</w:t>
      </w:r>
      <w:r w:rsidR="004F2330">
        <w:fldChar w:fldCharType="end"/>
      </w:r>
      <w:r>
        <w:t>: Přehled personálního vybavení a lůžkové kapacity v lázeňských zařízeních v krajích v roce 2015</w:t>
      </w:r>
      <w:bookmarkEnd w:id="164"/>
      <w:bookmarkEnd w:id="165"/>
    </w:p>
    <w:tbl>
      <w:tblPr>
        <w:tblW w:w="5000" w:type="pct"/>
        <w:tblCellMar>
          <w:left w:w="70" w:type="dxa"/>
          <w:right w:w="70" w:type="dxa"/>
        </w:tblCellMar>
        <w:tblLook w:val="04A0" w:firstRow="1" w:lastRow="0" w:firstColumn="1" w:lastColumn="0" w:noHBand="0" w:noVBand="1"/>
      </w:tblPr>
      <w:tblGrid>
        <w:gridCol w:w="2161"/>
        <w:gridCol w:w="3263"/>
        <w:gridCol w:w="1710"/>
        <w:gridCol w:w="2078"/>
      </w:tblGrid>
      <w:tr w:rsidR="00F5122D" w:rsidTr="00F5122D">
        <w:trPr>
          <w:trHeight w:val="253"/>
        </w:trPr>
        <w:tc>
          <w:tcPr>
            <w:tcW w:w="1173" w:type="pct"/>
            <w:vMerge w:val="restart"/>
            <w:tcBorders>
              <w:top w:val="single" w:sz="4" w:space="0" w:color="auto"/>
              <w:left w:val="single" w:sz="4" w:space="0" w:color="auto"/>
              <w:bottom w:val="single" w:sz="4" w:space="0" w:color="000000"/>
              <w:right w:val="single" w:sz="4" w:space="0" w:color="auto"/>
            </w:tcBorders>
            <w:vAlign w:val="center"/>
            <w:hideMark/>
          </w:tcPr>
          <w:p w:rsidR="00F5122D" w:rsidRDefault="00F5122D" w:rsidP="00F5122D">
            <w:pPr>
              <w:spacing w:after="0"/>
              <w:jc w:val="left"/>
              <w:rPr>
                <w:b/>
                <w:sz w:val="20"/>
                <w:szCs w:val="20"/>
                <w:lang w:eastAsia="en-US"/>
              </w:rPr>
            </w:pPr>
            <w:r>
              <w:rPr>
                <w:b/>
                <w:sz w:val="20"/>
                <w:szCs w:val="20"/>
                <w:lang w:eastAsia="en-US"/>
              </w:rPr>
              <w:t>ČR, kraj</w:t>
            </w:r>
          </w:p>
        </w:tc>
        <w:tc>
          <w:tcPr>
            <w:tcW w:w="2699" w:type="pct"/>
            <w:gridSpan w:val="2"/>
            <w:tcBorders>
              <w:top w:val="single" w:sz="4" w:space="0" w:color="auto"/>
              <w:left w:val="nil"/>
              <w:bottom w:val="single" w:sz="4" w:space="0" w:color="auto"/>
              <w:right w:val="single" w:sz="4" w:space="0" w:color="000000"/>
            </w:tcBorders>
            <w:vAlign w:val="center"/>
            <w:hideMark/>
          </w:tcPr>
          <w:p w:rsidR="00F5122D" w:rsidRDefault="00F5122D" w:rsidP="00F5122D">
            <w:pPr>
              <w:spacing w:after="0"/>
              <w:jc w:val="center"/>
              <w:rPr>
                <w:b/>
                <w:sz w:val="20"/>
                <w:szCs w:val="20"/>
                <w:lang w:eastAsia="en-US"/>
              </w:rPr>
            </w:pPr>
            <w:r>
              <w:rPr>
                <w:b/>
                <w:sz w:val="20"/>
                <w:szCs w:val="20"/>
                <w:lang w:eastAsia="en-US"/>
              </w:rPr>
              <w:t>Počet (v přepočtených počtech)</w:t>
            </w:r>
          </w:p>
        </w:tc>
        <w:tc>
          <w:tcPr>
            <w:tcW w:w="1128" w:type="pct"/>
            <w:vMerge w:val="restart"/>
            <w:tcBorders>
              <w:top w:val="single" w:sz="4" w:space="0" w:color="auto"/>
              <w:left w:val="single" w:sz="4" w:space="0" w:color="auto"/>
              <w:bottom w:val="single" w:sz="4" w:space="0" w:color="000000"/>
              <w:right w:val="single" w:sz="4" w:space="0" w:color="auto"/>
            </w:tcBorders>
            <w:vAlign w:val="bottom"/>
            <w:hideMark/>
          </w:tcPr>
          <w:p w:rsidR="00F5122D" w:rsidRDefault="00F5122D" w:rsidP="00F5122D">
            <w:pPr>
              <w:spacing w:after="0"/>
              <w:jc w:val="center"/>
              <w:rPr>
                <w:b/>
                <w:sz w:val="20"/>
                <w:szCs w:val="20"/>
                <w:lang w:eastAsia="en-US"/>
              </w:rPr>
            </w:pPr>
            <w:r>
              <w:rPr>
                <w:b/>
                <w:sz w:val="20"/>
                <w:szCs w:val="20"/>
                <w:lang w:eastAsia="en-US"/>
              </w:rPr>
              <w:t>Počet lůžek v lázeňských zařízeních</w:t>
            </w:r>
          </w:p>
        </w:tc>
      </w:tr>
      <w:tr w:rsidR="00F5122D" w:rsidTr="00F5122D">
        <w:trPr>
          <w:trHeight w:val="253"/>
        </w:trPr>
        <w:tc>
          <w:tcPr>
            <w:tcW w:w="1173" w:type="pct"/>
            <w:vMerge/>
            <w:tcBorders>
              <w:top w:val="single" w:sz="4" w:space="0" w:color="auto"/>
              <w:left w:val="single" w:sz="4" w:space="0" w:color="auto"/>
              <w:bottom w:val="single" w:sz="4" w:space="0" w:color="000000"/>
              <w:right w:val="single" w:sz="4" w:space="0" w:color="auto"/>
            </w:tcBorders>
            <w:vAlign w:val="center"/>
            <w:hideMark/>
          </w:tcPr>
          <w:p w:rsidR="00F5122D" w:rsidRDefault="00F5122D" w:rsidP="00F5122D">
            <w:pPr>
              <w:spacing w:after="0"/>
              <w:jc w:val="left"/>
              <w:rPr>
                <w:b/>
                <w:sz w:val="20"/>
                <w:szCs w:val="20"/>
                <w:lang w:eastAsia="en-US"/>
              </w:rPr>
            </w:pP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lékařů</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ZPBD</w:t>
            </w:r>
          </w:p>
        </w:tc>
        <w:tc>
          <w:tcPr>
            <w:tcW w:w="1128" w:type="pct"/>
            <w:vMerge/>
            <w:tcBorders>
              <w:top w:val="single" w:sz="4" w:space="0" w:color="auto"/>
              <w:left w:val="single" w:sz="4" w:space="0" w:color="auto"/>
              <w:bottom w:val="single" w:sz="4" w:space="0" w:color="000000"/>
              <w:right w:val="single" w:sz="4" w:space="0" w:color="auto"/>
            </w:tcBorders>
            <w:vAlign w:val="center"/>
            <w:hideMark/>
          </w:tcPr>
          <w:p w:rsidR="00F5122D" w:rsidRDefault="00F5122D" w:rsidP="00F5122D">
            <w:pPr>
              <w:spacing w:after="0"/>
              <w:jc w:val="left"/>
              <w:rPr>
                <w:b/>
                <w:sz w:val="20"/>
                <w:szCs w:val="20"/>
                <w:lang w:eastAsia="en-US"/>
              </w:rPr>
            </w:pP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Středočeský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14,49</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63,05</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827</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Jihočeský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15,71</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53,71</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1487</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Plzeňský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3,6</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12,75</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330</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b/>
                <w:sz w:val="20"/>
                <w:szCs w:val="20"/>
                <w:lang w:eastAsia="en-US"/>
              </w:rPr>
            </w:pPr>
            <w:r>
              <w:rPr>
                <w:b/>
                <w:sz w:val="20"/>
                <w:szCs w:val="20"/>
                <w:lang w:eastAsia="en-US"/>
              </w:rPr>
              <w:t>Karlovarský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137,18</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407,3</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b/>
                <w:sz w:val="20"/>
                <w:szCs w:val="20"/>
                <w:lang w:eastAsia="en-US"/>
              </w:rPr>
            </w:pPr>
            <w:r>
              <w:rPr>
                <w:b/>
                <w:sz w:val="20"/>
                <w:szCs w:val="20"/>
                <w:lang w:eastAsia="en-US"/>
              </w:rPr>
              <w:t>11 026</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Ústecký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15,14</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49,14</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1002</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Liberecký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7,15</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8,25</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634</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Královehradecký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19,81</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61,24</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1242</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Pardubický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44,36</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left"/>
              <w:rPr>
                <w:rFonts w:asciiTheme="minorHAnsi" w:eastAsiaTheme="minorHAnsi" w:hAnsiTheme="minorHAnsi" w:cs="Times New Roman"/>
                <w:lang w:eastAsia="en-US"/>
              </w:rPr>
            </w:pP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Jihomoravský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7,94</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21,75</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259</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Olomoucký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22,1</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69,54</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1995</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Zlínský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22,02</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65,78</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1964</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sz w:val="20"/>
                <w:szCs w:val="20"/>
                <w:lang w:eastAsia="en-US"/>
              </w:rPr>
            </w:pPr>
            <w:r>
              <w:rPr>
                <w:sz w:val="20"/>
                <w:szCs w:val="20"/>
                <w:lang w:eastAsia="en-US"/>
              </w:rPr>
              <w:t>Moravskoslezský</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17,46</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88,11</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1638</w:t>
            </w:r>
          </w:p>
        </w:tc>
      </w:tr>
      <w:tr w:rsidR="00F5122D" w:rsidTr="00F5122D">
        <w:trPr>
          <w:trHeight w:val="253"/>
        </w:trPr>
        <w:tc>
          <w:tcPr>
            <w:tcW w:w="1173"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b/>
                <w:sz w:val="20"/>
                <w:szCs w:val="20"/>
                <w:lang w:eastAsia="en-US"/>
              </w:rPr>
            </w:pPr>
            <w:r>
              <w:rPr>
                <w:b/>
                <w:sz w:val="20"/>
                <w:szCs w:val="20"/>
                <w:lang w:eastAsia="en-US"/>
              </w:rPr>
              <w:t>Celkem ČR</w:t>
            </w:r>
          </w:p>
        </w:tc>
        <w:tc>
          <w:tcPr>
            <w:tcW w:w="177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289,6</w:t>
            </w:r>
          </w:p>
        </w:tc>
        <w:tc>
          <w:tcPr>
            <w:tcW w:w="92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944,98</w:t>
            </w:r>
          </w:p>
        </w:tc>
        <w:tc>
          <w:tcPr>
            <w:tcW w:w="1128" w:type="pct"/>
            <w:tcBorders>
              <w:top w:val="nil"/>
              <w:left w:val="nil"/>
              <w:bottom w:val="single" w:sz="4" w:space="0" w:color="auto"/>
              <w:right w:val="single" w:sz="4" w:space="0" w:color="auto"/>
            </w:tcBorders>
            <w:noWrap/>
            <w:vAlign w:val="bottom"/>
            <w:hideMark/>
          </w:tcPr>
          <w:p w:rsidR="00F5122D" w:rsidRDefault="00F5122D" w:rsidP="00F5122D">
            <w:pPr>
              <w:spacing w:after="0"/>
              <w:jc w:val="center"/>
              <w:rPr>
                <w:b/>
                <w:sz w:val="20"/>
                <w:szCs w:val="20"/>
                <w:lang w:eastAsia="en-US"/>
              </w:rPr>
            </w:pPr>
            <w:r>
              <w:rPr>
                <w:b/>
                <w:sz w:val="20"/>
                <w:szCs w:val="20"/>
                <w:lang w:eastAsia="en-US"/>
              </w:rPr>
              <w:t>22 404</w:t>
            </w:r>
          </w:p>
        </w:tc>
      </w:tr>
    </w:tbl>
    <w:p w:rsidR="00F5122D" w:rsidRDefault="00F5122D" w:rsidP="00F5122D">
      <w:pPr>
        <w:spacing w:before="120" w:after="0" w:line="240" w:lineRule="auto"/>
        <w:rPr>
          <w:i/>
          <w:sz w:val="20"/>
        </w:rPr>
      </w:pPr>
      <w:r>
        <w:rPr>
          <w:i/>
          <w:sz w:val="20"/>
        </w:rPr>
        <w:t>Pozn. ZPBD – zdravotní personál bez dohledu</w:t>
      </w:r>
    </w:p>
    <w:p w:rsidR="00F5122D" w:rsidRDefault="00F5122D" w:rsidP="00F5122D">
      <w:pPr>
        <w:spacing w:after="120" w:line="240" w:lineRule="auto"/>
        <w:rPr>
          <w:i/>
          <w:sz w:val="20"/>
        </w:rPr>
      </w:pPr>
      <w:r>
        <w:rPr>
          <w:i/>
          <w:sz w:val="20"/>
        </w:rPr>
        <w:t>Zdroj: ÚZIS - Lázeňská péče 2015</w:t>
      </w:r>
    </w:p>
    <w:p w:rsidR="00955AC0" w:rsidRDefault="00F5122D" w:rsidP="00F5122D">
      <w:pPr>
        <w:spacing w:after="160"/>
      </w:pPr>
      <w:r>
        <w:rPr>
          <w:b/>
        </w:rPr>
        <w:t>Karlovarský kraj dlouhodobě vykazuje absolutně nejvyšší počet hostů ubytovaných v lázeňských ubytovacích zařízeních, který tvoří přibližně dvě třetiny všech hostů v těchto zařízeních v Česku</w:t>
      </w:r>
      <w:r>
        <w:t xml:space="preserve"> (tabulka 8.7). </w:t>
      </w:r>
      <w:r w:rsidRPr="00414AB7">
        <w:rPr>
          <w:b/>
        </w:rPr>
        <w:t>P</w:t>
      </w:r>
      <w:r>
        <w:rPr>
          <w:b/>
        </w:rPr>
        <w:t>očet hostů v lázeňských zařízeních</w:t>
      </w:r>
      <w:r>
        <w:t xml:space="preserve"> v KK v letech 2012 – 2015 postupně </w:t>
      </w:r>
      <w:r>
        <w:rPr>
          <w:b/>
        </w:rPr>
        <w:t>klesal</w:t>
      </w:r>
      <w:r>
        <w:t xml:space="preserve"> (stejně tak tomu bylo pouze u dalších dvou krajů - Středočeského a Ústeckého). </w:t>
      </w:r>
      <w:r>
        <w:rPr>
          <w:b/>
        </w:rPr>
        <w:t>V roce 2015 tvořili cizinci přibližně 70 % pacientů v lázeňských ubytovacích zařízeních v KK</w:t>
      </w:r>
      <w:r>
        <w:t xml:space="preserve">. Tento jev je patrný pouze v Karlovarském kraji, v ostatních krajích převažuje zastoupení rezidentů. Podíl kraje na celkovém počtu zahraničních lázeňských hostů v Česku činil cca 93 %, přestože počet nerezidenčních hostů v těchto zařízeních v kraji v posledních letech klesal (tabulka 8.8). Přesto jsou výše uvedené podíly v posledních letech víceméně stabilní. Naproti tomu </w:t>
      </w:r>
      <w:r>
        <w:rPr>
          <w:b/>
        </w:rPr>
        <w:t>návštěvnost lázeňských ubytovacích zařízení ze strany rezidentů v kraji stoupá.</w:t>
      </w:r>
      <w:r>
        <w:t xml:space="preserve"> Tento trend je patrný ve většině krajů Česka. </w:t>
      </w:r>
    </w:p>
    <w:p w:rsidR="00E74659" w:rsidRDefault="00E74659">
      <w:pPr>
        <w:spacing w:after="160" w:line="259" w:lineRule="auto"/>
        <w:jc w:val="left"/>
      </w:pPr>
      <w:r>
        <w:br w:type="page"/>
      </w:r>
    </w:p>
    <w:p w:rsidR="00F5122D" w:rsidRDefault="00F5122D" w:rsidP="000B3B9C">
      <w:pPr>
        <w:pStyle w:val="Titulek"/>
      </w:pPr>
      <w:bookmarkStart w:id="166" w:name="_Toc478118082"/>
      <w:r>
        <w:lastRenderedPageBreak/>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7</w:t>
      </w:r>
      <w:r w:rsidR="004F2330">
        <w:fldChar w:fldCharType="end"/>
      </w:r>
      <w:r>
        <w:t>: Počet hostů v lázeňských ubytovacích zařízeních v krajích v letech 2012 – 2015</w:t>
      </w:r>
      <w:bookmarkEnd w:id="166"/>
    </w:p>
    <w:tbl>
      <w:tblPr>
        <w:tblW w:w="5000" w:type="pct"/>
        <w:tblCellMar>
          <w:left w:w="0" w:type="dxa"/>
          <w:right w:w="0" w:type="dxa"/>
        </w:tblCellMar>
        <w:tblLook w:val="04A0" w:firstRow="1" w:lastRow="0" w:firstColumn="1" w:lastColumn="0" w:noHBand="0" w:noVBand="1"/>
      </w:tblPr>
      <w:tblGrid>
        <w:gridCol w:w="1983"/>
        <w:gridCol w:w="1423"/>
        <w:gridCol w:w="1424"/>
        <w:gridCol w:w="1424"/>
        <w:gridCol w:w="1424"/>
        <w:gridCol w:w="1424"/>
      </w:tblGrid>
      <w:tr w:rsidR="00F5122D" w:rsidTr="00F5122D">
        <w:trPr>
          <w:trHeight w:val="284"/>
          <w:tblHeader/>
        </w:trPr>
        <w:tc>
          <w:tcPr>
            <w:tcW w:w="1090"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Pr="009469CB" w:rsidRDefault="00F5122D" w:rsidP="00F5122D">
            <w:pPr>
              <w:spacing w:after="0"/>
              <w:ind w:firstLine="142"/>
              <w:jc w:val="left"/>
              <w:rPr>
                <w:b/>
                <w:bCs/>
                <w:sz w:val="20"/>
                <w:szCs w:val="20"/>
                <w:lang w:eastAsia="en-US"/>
              </w:rPr>
            </w:pPr>
            <w:r w:rsidRPr="00F96576">
              <w:rPr>
                <w:b/>
                <w:sz w:val="20"/>
                <w:szCs w:val="20"/>
                <w:lang w:eastAsia="en-US"/>
              </w:rPr>
              <w:t>ČR, k</w:t>
            </w:r>
            <w:r w:rsidRPr="00F2457A">
              <w:rPr>
                <w:b/>
                <w:sz w:val="20"/>
                <w:szCs w:val="20"/>
                <w:lang w:eastAsia="en-US"/>
              </w:rPr>
              <w:t>raj</w:t>
            </w:r>
          </w:p>
        </w:tc>
        <w:tc>
          <w:tcPr>
            <w:tcW w:w="782"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782"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782"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782"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782"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bCs/>
                <w:sz w:val="20"/>
                <w:szCs w:val="20"/>
                <w:lang w:eastAsia="en-US"/>
              </w:rPr>
            </w:pPr>
            <w:r>
              <w:rPr>
                <w:b/>
                <w:bCs/>
                <w:sz w:val="20"/>
                <w:szCs w:val="20"/>
                <w:lang w:eastAsia="en-US"/>
              </w:rPr>
              <w:t xml:space="preserve">Index změny </w:t>
            </w:r>
            <w:r>
              <w:rPr>
                <w:b/>
                <w:bCs/>
                <w:sz w:val="20"/>
                <w:szCs w:val="20"/>
                <w:lang w:eastAsia="en-US"/>
              </w:rPr>
              <w:br/>
              <w:t>2015/2012 (v %)</w:t>
            </w:r>
          </w:p>
        </w:tc>
      </w:tr>
      <w:tr w:rsidR="00F5122D" w:rsidTr="00F5122D">
        <w:trPr>
          <w:trHeight w:val="450"/>
          <w:tblHeader/>
        </w:trPr>
        <w:tc>
          <w:tcPr>
            <w:tcW w:w="1090" w:type="pct"/>
            <w:vMerge/>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b/>
                <w:sz w:val="20"/>
                <w:szCs w:val="20"/>
                <w:lang w:eastAsia="en-US"/>
              </w:rPr>
            </w:pPr>
            <w:r>
              <w:rPr>
                <w:b/>
                <w:sz w:val="20"/>
                <w:szCs w:val="20"/>
                <w:lang w:eastAsia="en-US"/>
              </w:rPr>
              <w:t xml:space="preserve">ČR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710 858</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745 935</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742 281</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732 276</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103,0</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Hl.m. Praha</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Středočeský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26 179</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26 847</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25 594</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25 593</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97,8</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Jihočeský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28 761</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32 941</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40 747</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41 090</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142,9</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Plzeňský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b/>
                <w:sz w:val="20"/>
                <w:szCs w:val="20"/>
                <w:lang w:eastAsia="en-US"/>
              </w:rPr>
            </w:pPr>
            <w:r>
              <w:rPr>
                <w:b/>
                <w:sz w:val="20"/>
                <w:szCs w:val="20"/>
                <w:lang w:eastAsia="en-US"/>
              </w:rPr>
              <w:t xml:space="preserve">Karlovarský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436 664</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446 515</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426 147</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417 806</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b/>
                <w:sz w:val="20"/>
                <w:szCs w:val="20"/>
                <w:lang w:eastAsia="en-US"/>
              </w:rPr>
            </w:pPr>
            <w:r>
              <w:rPr>
                <w:b/>
                <w:sz w:val="20"/>
                <w:szCs w:val="20"/>
                <w:lang w:eastAsia="en-US"/>
              </w:rPr>
              <w:t>95,7</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Ústecký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21 095</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20 284</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22 154</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20 225</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95,9</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Liberecký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Královéhradecký</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23 661</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27 485</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23 870</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26 036</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110,0</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Pardubický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Vysočina</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Jihomoravský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Olomoucký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48 465</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58 518</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61 205</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62 313</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128,6</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Zlínský</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64 100</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71 603</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68 179</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66 384</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103,6</w:t>
            </w:r>
          </w:p>
        </w:tc>
      </w:tr>
      <w:tr w:rsidR="00F5122D" w:rsidTr="00F5122D">
        <w:trPr>
          <w:trHeight w:val="284"/>
          <w:tblHeader/>
        </w:trPr>
        <w:tc>
          <w:tcPr>
            <w:tcW w:w="109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ind w:firstLine="142"/>
              <w:jc w:val="left"/>
              <w:rPr>
                <w:sz w:val="20"/>
                <w:szCs w:val="20"/>
                <w:lang w:eastAsia="en-US"/>
              </w:rPr>
            </w:pPr>
            <w:r>
              <w:rPr>
                <w:sz w:val="20"/>
                <w:szCs w:val="20"/>
                <w:lang w:eastAsia="en-US"/>
              </w:rPr>
              <w:t xml:space="preserve">Moravskoslezský </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25 057</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24 684</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27 507</w:t>
            </w:r>
          </w:p>
        </w:tc>
        <w:tc>
          <w:tcPr>
            <w:tcW w:w="78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28 806</w:t>
            </w:r>
          </w:p>
        </w:tc>
        <w:tc>
          <w:tcPr>
            <w:tcW w:w="78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F5122D" w:rsidRDefault="00F5122D" w:rsidP="00F5122D">
            <w:pPr>
              <w:spacing w:after="0"/>
              <w:jc w:val="center"/>
              <w:rPr>
                <w:sz w:val="20"/>
                <w:szCs w:val="20"/>
                <w:lang w:eastAsia="en-US"/>
              </w:rPr>
            </w:pPr>
            <w:r>
              <w:rPr>
                <w:sz w:val="20"/>
                <w:szCs w:val="20"/>
                <w:lang w:eastAsia="en-US"/>
              </w:rPr>
              <w:t>115,0</w:t>
            </w:r>
          </w:p>
        </w:tc>
      </w:tr>
    </w:tbl>
    <w:p w:rsidR="00F5122D" w:rsidRDefault="00F5122D" w:rsidP="00F5122D">
      <w:pPr>
        <w:spacing w:before="120" w:after="0" w:line="240" w:lineRule="auto"/>
        <w:rPr>
          <w:rStyle w:val="Zdraznnjemn"/>
          <w:rFonts w:ascii="Calibri" w:hAnsi="Calibri"/>
        </w:rPr>
      </w:pPr>
      <w:r>
        <w:rPr>
          <w:rStyle w:val="Zdraznnjemn"/>
          <w:rFonts w:eastAsiaTheme="minorHAnsi"/>
        </w:rPr>
        <w:t>Pozn. i.d. = primární důvěrný údaj. Kategorie dorost a děti nejsou v přehledu uvedeny, jelikož jejich počty jsou marginální.</w:t>
      </w:r>
    </w:p>
    <w:p w:rsidR="00F5122D" w:rsidRDefault="00F5122D" w:rsidP="00F5122D">
      <w:pPr>
        <w:spacing w:after="120" w:line="240" w:lineRule="auto"/>
        <w:rPr>
          <w:rStyle w:val="Zdraznnjemn"/>
          <w:rFonts w:eastAsiaTheme="minorHAnsi"/>
        </w:rPr>
      </w:pPr>
      <w:r>
        <w:rPr>
          <w:rStyle w:val="Zdraznnjemn"/>
          <w:rFonts w:eastAsiaTheme="minorHAnsi"/>
        </w:rPr>
        <w:t>Zdroj: ČSÚ - Veřejná databáze</w:t>
      </w:r>
    </w:p>
    <w:p w:rsidR="00F5122D" w:rsidRDefault="00F5122D" w:rsidP="000B3B9C">
      <w:pPr>
        <w:pStyle w:val="Titulek"/>
      </w:pPr>
      <w:bookmarkStart w:id="167" w:name="_Toc478118083"/>
      <w:bookmarkStart w:id="168" w:name="_Toc488233486"/>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8</w:t>
      </w:r>
      <w:r w:rsidR="004F2330">
        <w:fldChar w:fldCharType="end"/>
      </w:r>
      <w:r>
        <w:t>: Počet rezidentů a nerezidentů v lázeňských ubytovacích zařízeních v krajích v letech 2012 – 2015</w:t>
      </w:r>
      <w:bookmarkEnd w:id="167"/>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83"/>
        <w:gridCol w:w="895"/>
        <w:gridCol w:w="898"/>
        <w:gridCol w:w="895"/>
        <w:gridCol w:w="899"/>
        <w:gridCol w:w="895"/>
        <w:gridCol w:w="897"/>
        <w:gridCol w:w="855"/>
        <w:gridCol w:w="895"/>
      </w:tblGrid>
      <w:tr w:rsidR="00F5122D" w:rsidTr="00F5122D">
        <w:trPr>
          <w:trHeight w:val="284"/>
          <w:tblHeader/>
        </w:trPr>
        <w:tc>
          <w:tcPr>
            <w:tcW w:w="1130" w:type="pct"/>
            <w:vMerge w:val="restart"/>
            <w:tcBorders>
              <w:top w:val="single" w:sz="4" w:space="0" w:color="auto"/>
              <w:left w:val="single" w:sz="4" w:space="0" w:color="auto"/>
              <w:right w:val="single" w:sz="4" w:space="0" w:color="auto"/>
            </w:tcBorders>
            <w:noWrap/>
            <w:vAlign w:val="bottom"/>
            <w:hideMark/>
          </w:tcPr>
          <w:p w:rsidR="00F5122D" w:rsidRDefault="00F5122D" w:rsidP="00F5122D">
            <w:pPr>
              <w:spacing w:after="160"/>
              <w:jc w:val="left"/>
              <w:rPr>
                <w:rFonts w:asciiTheme="minorHAnsi" w:eastAsiaTheme="minorHAnsi" w:hAnsiTheme="minorHAnsi" w:cs="Times New Roman"/>
                <w:lang w:eastAsia="en-US"/>
              </w:rPr>
            </w:pPr>
            <w:r w:rsidRPr="00133897">
              <w:rPr>
                <w:b/>
                <w:sz w:val="20"/>
                <w:szCs w:val="20"/>
                <w:lang w:eastAsia="en-US"/>
              </w:rPr>
              <w:t>ČR, kraj</w:t>
            </w:r>
          </w:p>
          <w:p w:rsidR="00F5122D" w:rsidRDefault="00F5122D" w:rsidP="00F5122D">
            <w:pPr>
              <w:spacing w:after="0"/>
              <w:jc w:val="center"/>
              <w:rPr>
                <w:rFonts w:asciiTheme="minorHAnsi" w:eastAsiaTheme="minorHAnsi" w:hAnsiTheme="minorHAnsi" w:cs="Times New Roman"/>
                <w:lang w:eastAsia="en-US"/>
              </w:rPr>
            </w:pPr>
            <w:r>
              <w:rPr>
                <w:b/>
                <w:bCs/>
                <w:sz w:val="20"/>
                <w:szCs w:val="20"/>
                <w:lang w:eastAsia="en-US"/>
              </w:rPr>
              <w:t> </w:t>
            </w:r>
          </w:p>
        </w:tc>
        <w:tc>
          <w:tcPr>
            <w:tcW w:w="1946" w:type="pct"/>
            <w:gridSpan w:val="4"/>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Počet nerezidentů</w:t>
            </w:r>
          </w:p>
        </w:tc>
        <w:tc>
          <w:tcPr>
            <w:tcW w:w="1923" w:type="pct"/>
            <w:gridSpan w:val="4"/>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Počet rezidentů</w:t>
            </w:r>
          </w:p>
        </w:tc>
      </w:tr>
      <w:tr w:rsidR="00F5122D" w:rsidTr="00F5122D">
        <w:trPr>
          <w:trHeight w:val="284"/>
          <w:tblHeader/>
        </w:trPr>
        <w:tc>
          <w:tcPr>
            <w:tcW w:w="1130" w:type="pct"/>
            <w:vMerge/>
            <w:tcBorders>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sz w:val="20"/>
                <w:szCs w:val="20"/>
                <w:lang w:eastAsia="en-US"/>
              </w:rPr>
            </w:pPr>
            <w:r>
              <w:rPr>
                <w:b/>
                <w:sz w:val="20"/>
                <w:szCs w:val="20"/>
                <w:lang w:eastAsia="en-US"/>
              </w:rPr>
              <w:t xml:space="preserve">ČR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349 531</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374 744</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350 488</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318 135</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361 327</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371 191</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391 793</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414 141</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Hl.m. Praha</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Středočeský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4 094</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4 508</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4 026</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3 928</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22 085</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22 339</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21 568</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21 665</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Jihočeský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785</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1 109</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1 032</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815</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27 976</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31 832</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39 715</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40 275</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Plzeňský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sz w:val="20"/>
                <w:szCs w:val="20"/>
                <w:lang w:eastAsia="en-US"/>
              </w:rPr>
            </w:pPr>
            <w:r>
              <w:rPr>
                <w:b/>
                <w:sz w:val="20"/>
                <w:szCs w:val="20"/>
                <w:lang w:eastAsia="en-US"/>
              </w:rPr>
              <w:t xml:space="preserve">Karlovarský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327 357</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346 676</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324 440</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294 524</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109 307</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99 839</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101 707</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123 282</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Ústecký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4 460</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5 550</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6 122</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4 648</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16 635</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14 734</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16 032</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15 577</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Liberecký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Královéhradecký</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1 467</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3 439</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1 697</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1 808</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22 194</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24 046</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22 173</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24 228</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Pardubický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Vysočina</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Jihomoravský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i.d.</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Olomoucký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1 515</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2 674</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2 263</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2 566</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46 950</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55 844</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58 942</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59 747</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Zlínský</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5 887</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6 774</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6 732</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6 191</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58 213</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64 829</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61 447</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60 193</w:t>
            </w:r>
          </w:p>
        </w:tc>
      </w:tr>
      <w:tr w:rsidR="00F5122D" w:rsidTr="00F5122D">
        <w:trPr>
          <w:trHeight w:val="284"/>
          <w:tblHeader/>
        </w:trPr>
        <w:tc>
          <w:tcPr>
            <w:tcW w:w="113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Cs/>
                <w:sz w:val="20"/>
                <w:szCs w:val="20"/>
                <w:lang w:eastAsia="en-US"/>
              </w:rPr>
            </w:pPr>
            <w:r>
              <w:rPr>
                <w:sz w:val="20"/>
                <w:szCs w:val="20"/>
                <w:lang w:eastAsia="en-US"/>
              </w:rPr>
              <w:t xml:space="preserve">Moravskoslezský </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1 566</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1 702</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1 775</w:t>
            </w:r>
          </w:p>
        </w:tc>
        <w:tc>
          <w:tcPr>
            <w:tcW w:w="48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1 455</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23 491</w:t>
            </w:r>
          </w:p>
        </w:tc>
        <w:tc>
          <w:tcPr>
            <w:tcW w:w="487"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22 982</w:t>
            </w:r>
          </w:p>
        </w:tc>
        <w:tc>
          <w:tcPr>
            <w:tcW w:w="46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25 732</w:t>
            </w:r>
          </w:p>
        </w:tc>
        <w:tc>
          <w:tcPr>
            <w:tcW w:w="486"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27 351</w:t>
            </w:r>
          </w:p>
        </w:tc>
      </w:tr>
    </w:tbl>
    <w:p w:rsidR="00F5122D" w:rsidRPr="00414AB7" w:rsidRDefault="00F5122D" w:rsidP="00F5122D">
      <w:pPr>
        <w:spacing w:before="120" w:after="0" w:line="240" w:lineRule="auto"/>
        <w:jc w:val="left"/>
        <w:rPr>
          <w:rStyle w:val="Zdraznnjemn"/>
        </w:rPr>
      </w:pPr>
      <w:r w:rsidRPr="00414AB7">
        <w:rPr>
          <w:rStyle w:val="Zdraznnjemn"/>
        </w:rPr>
        <w:t>Pozn. i.d. = primární důvěrný údaj</w:t>
      </w:r>
    </w:p>
    <w:p w:rsidR="00F5122D" w:rsidRPr="00414AB7" w:rsidRDefault="00F5122D" w:rsidP="00F5122D">
      <w:pPr>
        <w:spacing w:after="120" w:line="240" w:lineRule="auto"/>
        <w:rPr>
          <w:rStyle w:val="Zdraznnjemn"/>
          <w:rFonts w:eastAsiaTheme="minorHAnsi"/>
        </w:rPr>
      </w:pPr>
      <w:r w:rsidRPr="00133897">
        <w:rPr>
          <w:rStyle w:val="Zdraznnjemn"/>
          <w:rFonts w:eastAsiaTheme="minorHAnsi"/>
        </w:rPr>
        <w:t>Zdroj: ČSÚ - Veřejná databáze</w:t>
      </w:r>
    </w:p>
    <w:p w:rsidR="00F5122D" w:rsidRDefault="00F5122D" w:rsidP="00F5122D">
      <w:pPr>
        <w:spacing w:before="240"/>
        <w:rPr>
          <w:lang w:eastAsia="en-US"/>
        </w:rPr>
      </w:pPr>
      <w:r>
        <w:rPr>
          <w:b/>
          <w:lang w:eastAsia="en-US"/>
        </w:rPr>
        <w:lastRenderedPageBreak/>
        <w:t>Počet přenocování v lázeňských zařízeních se v posledních čtyřech letech v Karlovarském kraji snížil, přesto i nadále zůstává nejvyšší v porovnání s ostatními kraji</w:t>
      </w:r>
      <w:r>
        <w:rPr>
          <w:lang w:eastAsia="en-US"/>
        </w:rPr>
        <w:t xml:space="preserve"> (graf 8.4). Prvenství si kraj udržuje zejména vlivem podmíněnosti léčebných pobytů délkou léčby, aby bylo dosaženo účinků.</w:t>
      </w:r>
    </w:p>
    <w:p w:rsidR="00F5122D" w:rsidRDefault="00F5122D" w:rsidP="000B3B9C">
      <w:pPr>
        <w:pStyle w:val="Titulek"/>
      </w:pPr>
      <w:bookmarkStart w:id="169" w:name="_Toc488234356"/>
      <w:r>
        <w:t xml:space="preserve">Graf </w:t>
      </w:r>
      <w:r w:rsidR="008965FE">
        <w:fldChar w:fldCharType="begin"/>
      </w:r>
      <w:r w:rsidR="00FD378B">
        <w:instrText xml:space="preserve"> STYLEREF 1 \s </w:instrText>
      </w:r>
      <w:r w:rsidR="008965FE">
        <w:fldChar w:fldCharType="separate"/>
      </w:r>
      <w:r w:rsidR="00CB29BD">
        <w:t>8</w:t>
      </w:r>
      <w:r w:rsidR="008965FE">
        <w:fldChar w:fldCharType="end"/>
      </w:r>
      <w:r w:rsidR="00FD378B">
        <w:t>.</w:t>
      </w:r>
      <w:r w:rsidR="008965FE">
        <w:fldChar w:fldCharType="begin"/>
      </w:r>
      <w:r w:rsidR="00FD378B">
        <w:instrText xml:space="preserve"> SEQ Graf \* ARABIC \s 1 </w:instrText>
      </w:r>
      <w:r w:rsidR="008965FE">
        <w:fldChar w:fldCharType="separate"/>
      </w:r>
      <w:r w:rsidR="00CB29BD">
        <w:t>4</w:t>
      </w:r>
      <w:r w:rsidR="008965FE">
        <w:fldChar w:fldCharType="end"/>
      </w:r>
      <w:r>
        <w:t>: Počet přenocování celkem v lázeňských zařízeních v krajích v letech 2012 - 2015</w:t>
      </w:r>
      <w:bookmarkEnd w:id="169"/>
    </w:p>
    <w:p w:rsidR="00F5122D" w:rsidRDefault="00F5122D" w:rsidP="00F5122D">
      <w:pPr>
        <w:spacing w:after="0"/>
        <w:jc w:val="left"/>
        <w:rPr>
          <w:b/>
          <w:sz w:val="20"/>
          <w:lang w:eastAsia="en-US"/>
        </w:rPr>
      </w:pPr>
      <w:r>
        <w:rPr>
          <w:noProof/>
        </w:rPr>
        <w:drawing>
          <wp:inline distT="0" distB="0" distL="0" distR="0">
            <wp:extent cx="5772150" cy="3048000"/>
            <wp:effectExtent l="19050" t="0" r="0" b="0"/>
            <wp:docPr id="50" name="Obrázek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5"/>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72150" cy="3048000"/>
                    </a:xfrm>
                    <a:prstGeom prst="rect">
                      <a:avLst/>
                    </a:prstGeom>
                    <a:noFill/>
                    <a:ln>
                      <a:noFill/>
                    </a:ln>
                  </pic:spPr>
                </pic:pic>
              </a:graphicData>
            </a:graphic>
          </wp:inline>
        </w:drawing>
      </w:r>
    </w:p>
    <w:p w:rsidR="00F5122D" w:rsidRDefault="00F5122D" w:rsidP="00F5122D">
      <w:pPr>
        <w:spacing w:before="120" w:after="0" w:line="240" w:lineRule="auto"/>
        <w:rPr>
          <w:i/>
          <w:sz w:val="20"/>
          <w:lang w:eastAsia="en-US"/>
        </w:rPr>
      </w:pPr>
      <w:r>
        <w:rPr>
          <w:i/>
          <w:sz w:val="20"/>
          <w:lang w:eastAsia="en-US"/>
        </w:rPr>
        <w:t xml:space="preserve">Pozn. </w:t>
      </w:r>
      <w:r>
        <w:rPr>
          <w:i/>
          <w:sz w:val="20"/>
        </w:rPr>
        <w:t>Index změny je spočten jako počet hostů v roce 2015 dělený počtem hostů v roce 2012 násobený 100.</w:t>
      </w:r>
    </w:p>
    <w:p w:rsidR="00F5122D" w:rsidRDefault="00F5122D" w:rsidP="00F5122D">
      <w:pPr>
        <w:tabs>
          <w:tab w:val="left" w:pos="2820"/>
        </w:tabs>
        <w:spacing w:after="120" w:line="240" w:lineRule="auto"/>
        <w:rPr>
          <w:rStyle w:val="Zdraznnjemn"/>
          <w:rFonts w:ascii="Calibri" w:eastAsiaTheme="minorHAnsi" w:hAnsi="Calibri"/>
        </w:rPr>
      </w:pPr>
      <w:r>
        <w:rPr>
          <w:rStyle w:val="Zdraznnjemn"/>
          <w:rFonts w:eastAsiaTheme="minorHAnsi"/>
        </w:rPr>
        <w:t>Zdroj: ČSÚ - Veřejná databáze</w:t>
      </w:r>
      <w:r>
        <w:rPr>
          <w:rStyle w:val="Zdraznnjemn"/>
          <w:rFonts w:eastAsiaTheme="minorHAnsi"/>
        </w:rPr>
        <w:tab/>
      </w:r>
    </w:p>
    <w:p w:rsidR="00F5122D" w:rsidRDefault="00F5122D" w:rsidP="00F5122D">
      <w:r>
        <w:t xml:space="preserve">V roce 2015 došlo v porovnání s rokem 2012 ke snížení celkového počtu přenocování v Karlovarském kraji, které činilo ca 9 % a bylo </w:t>
      </w:r>
      <w:r>
        <w:rPr>
          <w:b/>
        </w:rPr>
        <w:t>zapříčiněno snížením počtu přenocování zahraničních hostů</w:t>
      </w:r>
      <w:r>
        <w:t xml:space="preserve"> o 18 % (tabulka 8.9)</w:t>
      </w:r>
      <w:r>
        <w:rPr>
          <w:b/>
        </w:rPr>
        <w:t xml:space="preserve">. Počet přenocování rezidenčních hostů se naproti tomu zvýšil </w:t>
      </w:r>
      <w:r>
        <w:t xml:space="preserve">přibližně o 23 %. Pokles byl zaznamenán i u počtu hostů ubytovaných v lázeňských zařízeních v KK (snížení o 4 %). Pokles byl evidován u zahraniční klientely o 10 %. Naopak návštěvnost tuzemských hostů se zvýšila o téměř </w:t>
      </w:r>
      <w:r>
        <w:br/>
        <w:t xml:space="preserve">13 %. </w:t>
      </w:r>
    </w:p>
    <w:p w:rsidR="00F5122D" w:rsidRDefault="00F5122D" w:rsidP="000B3B9C">
      <w:pPr>
        <w:pStyle w:val="Titulek"/>
      </w:pPr>
      <w:bookmarkStart w:id="170" w:name="_Toc478118084"/>
      <w:bookmarkStart w:id="171" w:name="_Toc488233487"/>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9</w:t>
      </w:r>
      <w:r w:rsidR="004F2330">
        <w:fldChar w:fldCharType="end"/>
      </w:r>
      <w:r>
        <w:t xml:space="preserve"> Návštěvnost v lázeňských ubytovacích zařízeních v KK v letech 2012 - 2015</w:t>
      </w:r>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1"/>
        <w:gridCol w:w="1438"/>
        <w:gridCol w:w="1436"/>
        <w:gridCol w:w="1437"/>
        <w:gridCol w:w="1435"/>
        <w:gridCol w:w="1435"/>
      </w:tblGrid>
      <w:tr w:rsidR="00F5122D" w:rsidTr="00F5122D">
        <w:trPr>
          <w:trHeight w:val="265"/>
        </w:trPr>
        <w:tc>
          <w:tcPr>
            <w:tcW w:w="1102"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160"/>
              <w:jc w:val="left"/>
              <w:rPr>
                <w:rFonts w:asciiTheme="minorHAnsi" w:eastAsiaTheme="minorHAnsi" w:hAnsiTheme="minorHAnsi" w:cs="Times New Roman"/>
                <w:lang w:eastAsia="en-US"/>
              </w:rPr>
            </w:pPr>
          </w:p>
        </w:tc>
        <w:tc>
          <w:tcPr>
            <w:tcW w:w="78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779"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780"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779"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779" w:type="pct"/>
            <w:tcBorders>
              <w:top w:val="single" w:sz="4" w:space="0" w:color="auto"/>
              <w:left w:val="single" w:sz="4" w:space="0" w:color="auto"/>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b/>
                <w:bCs/>
                <w:sz w:val="20"/>
                <w:szCs w:val="20"/>
                <w:lang w:eastAsia="en-US"/>
              </w:rPr>
              <w:t xml:space="preserve">Index změny 2015/2012 </w:t>
            </w:r>
            <w:r>
              <w:rPr>
                <w:b/>
                <w:bCs/>
                <w:sz w:val="20"/>
                <w:szCs w:val="20"/>
                <w:lang w:eastAsia="en-US"/>
              </w:rPr>
              <w:br/>
              <w:t>(v %)</w:t>
            </w:r>
          </w:p>
        </w:tc>
      </w:tr>
      <w:tr w:rsidR="00F5122D" w:rsidTr="00F5122D">
        <w:trPr>
          <w:trHeight w:val="113"/>
        </w:trPr>
        <w:tc>
          <w:tcPr>
            <w:tcW w:w="1102"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r>
              <w:rPr>
                <w:b/>
                <w:bCs/>
                <w:sz w:val="20"/>
                <w:szCs w:val="20"/>
                <w:lang w:eastAsia="en-US"/>
              </w:rPr>
              <w:t>Počet hostů</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436 664</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446 515</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426 147</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417 806</w:t>
            </w:r>
          </w:p>
        </w:tc>
        <w:tc>
          <w:tcPr>
            <w:tcW w:w="779"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96</w:t>
            </w:r>
          </w:p>
        </w:tc>
      </w:tr>
      <w:tr w:rsidR="00F5122D" w:rsidTr="00F5122D">
        <w:trPr>
          <w:trHeight w:val="113"/>
        </w:trPr>
        <w:tc>
          <w:tcPr>
            <w:tcW w:w="1102" w:type="pct"/>
            <w:tcBorders>
              <w:top w:val="nil"/>
              <w:left w:val="single" w:sz="4" w:space="0" w:color="auto"/>
              <w:bottom w:val="nil"/>
              <w:right w:val="single" w:sz="4" w:space="0" w:color="auto"/>
            </w:tcBorders>
            <w:vAlign w:val="center"/>
            <w:hideMark/>
          </w:tcPr>
          <w:p w:rsidR="00F5122D" w:rsidRDefault="00F5122D" w:rsidP="00F5122D">
            <w:pPr>
              <w:spacing w:after="0"/>
              <w:ind w:left="654"/>
              <w:jc w:val="left"/>
              <w:rPr>
                <w:b/>
                <w:bCs/>
                <w:sz w:val="20"/>
                <w:szCs w:val="20"/>
                <w:lang w:eastAsia="en-US"/>
              </w:rPr>
            </w:pPr>
            <w:r>
              <w:rPr>
                <w:b/>
                <w:bCs/>
                <w:sz w:val="20"/>
                <w:szCs w:val="20"/>
                <w:lang w:eastAsia="en-US"/>
              </w:rPr>
              <w:t>nerezidenti</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327 357</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346 676</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324 440</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294 524</w:t>
            </w:r>
          </w:p>
        </w:tc>
        <w:tc>
          <w:tcPr>
            <w:tcW w:w="779"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90</w:t>
            </w:r>
          </w:p>
        </w:tc>
      </w:tr>
      <w:tr w:rsidR="00F5122D" w:rsidTr="00F5122D">
        <w:trPr>
          <w:trHeight w:val="113"/>
        </w:trPr>
        <w:tc>
          <w:tcPr>
            <w:tcW w:w="1102"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ind w:left="654"/>
              <w:jc w:val="left"/>
              <w:rPr>
                <w:b/>
                <w:bCs/>
                <w:sz w:val="20"/>
                <w:szCs w:val="20"/>
                <w:lang w:eastAsia="en-US"/>
              </w:rPr>
            </w:pPr>
            <w:r>
              <w:rPr>
                <w:b/>
                <w:bCs/>
                <w:sz w:val="20"/>
                <w:szCs w:val="20"/>
                <w:lang w:eastAsia="en-US"/>
              </w:rPr>
              <w:t>rezidenti</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109 307</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99 839</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101 707</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123 282</w:t>
            </w:r>
          </w:p>
        </w:tc>
        <w:tc>
          <w:tcPr>
            <w:tcW w:w="779"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113</w:t>
            </w:r>
          </w:p>
        </w:tc>
      </w:tr>
      <w:tr w:rsidR="00F5122D" w:rsidTr="00F5122D">
        <w:trPr>
          <w:trHeight w:val="113"/>
        </w:trPr>
        <w:tc>
          <w:tcPr>
            <w:tcW w:w="1102"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r>
              <w:rPr>
                <w:b/>
                <w:bCs/>
                <w:sz w:val="20"/>
                <w:szCs w:val="20"/>
                <w:lang w:eastAsia="en-US"/>
              </w:rPr>
              <w:t>Počet přenocování</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3 636 403</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3 480 502</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3 400 716</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3 300 359</w:t>
            </w:r>
          </w:p>
        </w:tc>
        <w:tc>
          <w:tcPr>
            <w:tcW w:w="779"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91</w:t>
            </w:r>
          </w:p>
        </w:tc>
      </w:tr>
      <w:tr w:rsidR="00F5122D" w:rsidTr="00F5122D">
        <w:trPr>
          <w:trHeight w:val="113"/>
        </w:trPr>
        <w:tc>
          <w:tcPr>
            <w:tcW w:w="1102" w:type="pct"/>
            <w:tcBorders>
              <w:top w:val="nil"/>
              <w:left w:val="single" w:sz="4" w:space="0" w:color="auto"/>
              <w:bottom w:val="nil"/>
              <w:right w:val="single" w:sz="4" w:space="0" w:color="auto"/>
            </w:tcBorders>
            <w:vAlign w:val="center"/>
            <w:hideMark/>
          </w:tcPr>
          <w:p w:rsidR="00F5122D" w:rsidRDefault="00F5122D" w:rsidP="00F5122D">
            <w:pPr>
              <w:spacing w:after="0"/>
              <w:ind w:left="654"/>
              <w:jc w:val="left"/>
              <w:rPr>
                <w:b/>
                <w:bCs/>
                <w:sz w:val="20"/>
                <w:szCs w:val="20"/>
                <w:lang w:eastAsia="en-US"/>
              </w:rPr>
            </w:pPr>
            <w:r>
              <w:rPr>
                <w:b/>
                <w:bCs/>
                <w:sz w:val="20"/>
                <w:szCs w:val="20"/>
                <w:lang w:eastAsia="en-US"/>
              </w:rPr>
              <w:t>nerezidenti</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2 840 635</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2 853 064</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2 678 608</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2 317 621</w:t>
            </w:r>
          </w:p>
        </w:tc>
        <w:tc>
          <w:tcPr>
            <w:tcW w:w="779"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82</w:t>
            </w:r>
          </w:p>
        </w:tc>
      </w:tr>
      <w:tr w:rsidR="00F5122D" w:rsidTr="00F5122D">
        <w:trPr>
          <w:trHeight w:val="113"/>
        </w:trPr>
        <w:tc>
          <w:tcPr>
            <w:tcW w:w="1102"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ind w:left="654"/>
              <w:jc w:val="left"/>
              <w:rPr>
                <w:b/>
                <w:bCs/>
                <w:sz w:val="20"/>
                <w:szCs w:val="20"/>
                <w:lang w:eastAsia="en-US"/>
              </w:rPr>
            </w:pPr>
            <w:r>
              <w:rPr>
                <w:b/>
                <w:bCs/>
                <w:sz w:val="20"/>
                <w:szCs w:val="20"/>
                <w:lang w:eastAsia="en-US"/>
              </w:rPr>
              <w:t>rezidenti</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795 768</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627 438</w:t>
            </w:r>
          </w:p>
        </w:tc>
        <w:tc>
          <w:tcPr>
            <w:tcW w:w="780"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722 108</w:t>
            </w:r>
          </w:p>
        </w:tc>
        <w:tc>
          <w:tcPr>
            <w:tcW w:w="779" w:type="pct"/>
            <w:tcBorders>
              <w:top w:val="single" w:sz="4" w:space="0" w:color="auto"/>
              <w:left w:val="single" w:sz="4" w:space="0" w:color="auto"/>
              <w:bottom w:val="single" w:sz="4" w:space="0" w:color="auto"/>
              <w:right w:val="single" w:sz="4" w:space="0" w:color="auto"/>
            </w:tcBorders>
            <w:noWrap/>
            <w:vAlign w:val="bottom"/>
            <w:hideMark/>
          </w:tcPr>
          <w:p w:rsidR="00F5122D" w:rsidRDefault="00F5122D" w:rsidP="00F5122D">
            <w:pPr>
              <w:spacing w:after="0"/>
              <w:jc w:val="center"/>
              <w:rPr>
                <w:sz w:val="20"/>
                <w:szCs w:val="20"/>
                <w:lang w:eastAsia="en-US"/>
              </w:rPr>
            </w:pPr>
            <w:r>
              <w:rPr>
                <w:sz w:val="20"/>
                <w:szCs w:val="20"/>
                <w:lang w:eastAsia="en-US"/>
              </w:rPr>
              <w:t>982 738</w:t>
            </w:r>
          </w:p>
        </w:tc>
        <w:tc>
          <w:tcPr>
            <w:tcW w:w="779" w:type="pct"/>
            <w:tcBorders>
              <w:top w:val="single" w:sz="4" w:space="0" w:color="auto"/>
              <w:left w:val="single" w:sz="4" w:space="0" w:color="auto"/>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123</w:t>
            </w:r>
          </w:p>
        </w:tc>
      </w:tr>
    </w:tbl>
    <w:p w:rsidR="00F5122D" w:rsidRPr="00414AB7" w:rsidRDefault="00F5122D" w:rsidP="00F5122D">
      <w:pPr>
        <w:spacing w:before="120" w:after="120"/>
        <w:rPr>
          <w:rStyle w:val="Zdraznnjemn"/>
        </w:rPr>
      </w:pPr>
      <w:r w:rsidRPr="00800B7B">
        <w:rPr>
          <w:rStyle w:val="Zdraznnjemn"/>
          <w:rFonts w:eastAsiaTheme="minorHAnsi"/>
        </w:rPr>
        <w:t>Zdroj: ČSÚ - Veřejná databáze</w:t>
      </w:r>
    </w:p>
    <w:p w:rsidR="00F5122D" w:rsidRDefault="00F5122D" w:rsidP="00F5122D">
      <w:pPr>
        <w:spacing w:before="240" w:after="160"/>
      </w:pPr>
      <w:r>
        <w:rPr>
          <w:b/>
        </w:rPr>
        <w:t>Počet přijatých dospělých pacientů v Karlovarském kraji tvoří téměř polovinu všech dospělých pacientů, kterým byla poskytnuta zdravotní péče v Česku v roce 2015</w:t>
      </w:r>
      <w:r>
        <w:t xml:space="preserve"> (tabulka 8.10). </w:t>
      </w:r>
      <w:r>
        <w:rPr>
          <w:b/>
        </w:rPr>
        <w:t>Počet přijatých pacientů v Karlovarském kraji je absolutně nejvyšší při porovnání s ostatními kraji ČR</w:t>
      </w:r>
      <w:r>
        <w:t xml:space="preserve">, a to jak u </w:t>
      </w:r>
      <w:r>
        <w:lastRenderedPageBreak/>
        <w:t xml:space="preserve">komplexní lékařské péče, tak u příspěvkové lázeňské péče. Pacienti s komplexní lékařskou péčí významně převyšují počet pacientů s příspěvkovou lázeňskou péčí. Ačkoliv </w:t>
      </w:r>
      <w:r>
        <w:rPr>
          <w:b/>
        </w:rPr>
        <w:t>od roku 2012 došlo ke změně struktury pacientů dle typu úhrady, a to vlivem změny indikačního seznamu pro lázeňskou léčebnou rehabilitační péči o dospělé, děti a dorost</w:t>
      </w:r>
      <w:r>
        <w:t xml:space="preserve"> (účinnost od 1. října 2012), který vymezuje onemocnění, která jsou předmětem lázeňské léčby. Vlivem změny výše uvedeného zákona došlo ke snížení počtu pacientů s komplexní lázeňskou péčí a navýšení počtu klientů s jinou formou financování, např. příspěvková lázeňská péče, léčba na vlastní náklady (tabulka 8.11).</w:t>
      </w:r>
    </w:p>
    <w:p w:rsidR="00F5122D" w:rsidRDefault="00F5122D" w:rsidP="00F5122D">
      <w:pPr>
        <w:spacing w:after="160"/>
      </w:pPr>
      <w:r>
        <w:t xml:space="preserve">Současně </w:t>
      </w:r>
      <w:r>
        <w:rPr>
          <w:b/>
        </w:rPr>
        <w:t>v Karlovarském kraji jako v jediném kraji ČR tvoří podíl tuzemských pacientů pouze 16 %.</w:t>
      </w:r>
      <w:r>
        <w:t xml:space="preserve"> Lázeňská péče je tak v tomto kraji poskytována zejména cizincům, kteří si hradí léčbu plně na vlastní náklady. Ve všech ostatních krajích tvoří tuzemští pacienti ca 70 – 99,9 % všech přijatých pacientů. </w:t>
      </w:r>
    </w:p>
    <w:p w:rsidR="00F5122D" w:rsidRDefault="00F5122D" w:rsidP="000B3B9C">
      <w:pPr>
        <w:pStyle w:val="Titulek"/>
        <w:rPr>
          <w:sz w:val="20"/>
        </w:rPr>
      </w:pPr>
      <w:bookmarkStart w:id="172" w:name="_Toc478118085"/>
      <w:bookmarkStart w:id="173" w:name="_Toc488233488"/>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10</w:t>
      </w:r>
      <w:r w:rsidR="004F2330">
        <w:fldChar w:fldCharType="end"/>
      </w:r>
      <w:r>
        <w:t>: Počet přijatých pacientů (dospělí) v lázeňských zařízeních v krajích v roce 2015</w:t>
      </w:r>
      <w:bookmarkEnd w:id="172"/>
      <w:bookmarkEnd w:id="173"/>
    </w:p>
    <w:tbl>
      <w:tblPr>
        <w:tblW w:w="5000" w:type="pct"/>
        <w:tblLayout w:type="fixed"/>
        <w:tblCellMar>
          <w:left w:w="70" w:type="dxa"/>
          <w:right w:w="70" w:type="dxa"/>
        </w:tblCellMar>
        <w:tblLook w:val="04A0" w:firstRow="1" w:lastRow="0" w:firstColumn="1" w:lastColumn="0" w:noHBand="0" w:noVBand="1"/>
      </w:tblPr>
      <w:tblGrid>
        <w:gridCol w:w="1630"/>
        <w:gridCol w:w="1135"/>
        <w:gridCol w:w="1135"/>
        <w:gridCol w:w="1131"/>
        <w:gridCol w:w="1135"/>
        <w:gridCol w:w="1135"/>
        <w:gridCol w:w="1911"/>
      </w:tblGrid>
      <w:tr w:rsidR="00F5122D" w:rsidTr="00AA4D66">
        <w:trPr>
          <w:trHeight w:val="316"/>
        </w:trPr>
        <w:tc>
          <w:tcPr>
            <w:tcW w:w="885" w:type="pct"/>
            <w:vMerge w:val="restart"/>
            <w:tcBorders>
              <w:top w:val="single" w:sz="4" w:space="0" w:color="auto"/>
              <w:left w:val="single" w:sz="4" w:space="0" w:color="auto"/>
              <w:right w:val="single" w:sz="4" w:space="0" w:color="auto"/>
            </w:tcBorders>
            <w:vAlign w:val="center"/>
            <w:hideMark/>
          </w:tcPr>
          <w:p w:rsidR="00F5122D" w:rsidRPr="00380B6B" w:rsidRDefault="00F5122D" w:rsidP="00F5122D">
            <w:pPr>
              <w:spacing w:after="0"/>
              <w:jc w:val="left"/>
              <w:rPr>
                <w:b/>
                <w:bCs/>
                <w:color w:val="000000"/>
                <w:sz w:val="20"/>
                <w:szCs w:val="20"/>
                <w:lang w:eastAsia="en-US"/>
              </w:rPr>
            </w:pPr>
            <w:r w:rsidRPr="00F96576">
              <w:rPr>
                <w:b/>
                <w:bCs/>
                <w:color w:val="000000"/>
                <w:sz w:val="20"/>
                <w:szCs w:val="20"/>
                <w:lang w:eastAsia="en-US"/>
              </w:rPr>
              <w:t>ČR, k</w:t>
            </w:r>
            <w:r w:rsidRPr="00380B6B">
              <w:rPr>
                <w:b/>
                <w:bCs/>
                <w:color w:val="000000"/>
                <w:sz w:val="20"/>
                <w:szCs w:val="20"/>
                <w:lang w:eastAsia="en-US"/>
              </w:rPr>
              <w:t>raj</w:t>
            </w:r>
          </w:p>
          <w:p w:rsidR="00F5122D" w:rsidRPr="00F96576" w:rsidRDefault="00F5122D" w:rsidP="00F5122D">
            <w:pPr>
              <w:spacing w:after="0"/>
              <w:jc w:val="center"/>
              <w:rPr>
                <w:b/>
                <w:bCs/>
                <w:color w:val="000000"/>
                <w:sz w:val="20"/>
                <w:szCs w:val="20"/>
                <w:lang w:eastAsia="en-US"/>
              </w:rPr>
            </w:pPr>
            <w:r w:rsidRPr="00414AB7">
              <w:rPr>
                <w:b/>
                <w:color w:val="000000"/>
                <w:sz w:val="20"/>
                <w:szCs w:val="20"/>
                <w:lang w:eastAsia="en-US"/>
              </w:rPr>
              <w:t> </w:t>
            </w:r>
          </w:p>
        </w:tc>
        <w:tc>
          <w:tcPr>
            <w:tcW w:w="4115" w:type="pct"/>
            <w:gridSpan w:val="6"/>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Poskytnutá lázeňská péče</w:t>
            </w:r>
          </w:p>
        </w:tc>
      </w:tr>
      <w:tr w:rsidR="00AA4D66" w:rsidTr="00AA4D66">
        <w:trPr>
          <w:trHeight w:val="301"/>
        </w:trPr>
        <w:tc>
          <w:tcPr>
            <w:tcW w:w="885" w:type="pct"/>
            <w:vMerge/>
            <w:tcBorders>
              <w:left w:val="single" w:sz="4" w:space="0" w:color="auto"/>
              <w:right w:val="single" w:sz="4" w:space="0" w:color="auto"/>
            </w:tcBorders>
            <w:vAlign w:val="center"/>
            <w:hideMark/>
          </w:tcPr>
          <w:p w:rsidR="00F5122D" w:rsidRDefault="00F5122D" w:rsidP="00F5122D">
            <w:pPr>
              <w:spacing w:after="0"/>
              <w:jc w:val="center"/>
              <w:rPr>
                <w:b/>
                <w:bCs/>
                <w:color w:val="000000"/>
                <w:sz w:val="20"/>
                <w:szCs w:val="20"/>
                <w:lang w:eastAsia="en-US"/>
              </w:rPr>
            </w:pPr>
          </w:p>
        </w:tc>
        <w:tc>
          <w:tcPr>
            <w:tcW w:w="1232" w:type="pct"/>
            <w:gridSpan w:val="2"/>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na náklad zdravotního pojištění</w:t>
            </w:r>
          </w:p>
        </w:tc>
        <w:tc>
          <w:tcPr>
            <w:tcW w:w="1230" w:type="pct"/>
            <w:gridSpan w:val="2"/>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plně na vlastní náklady</w:t>
            </w:r>
          </w:p>
        </w:tc>
        <w:tc>
          <w:tcPr>
            <w:tcW w:w="616" w:type="pct"/>
            <w:vMerge w:val="restar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celkem</w:t>
            </w:r>
          </w:p>
        </w:tc>
        <w:tc>
          <w:tcPr>
            <w:tcW w:w="1038" w:type="pct"/>
            <w:vMerge w:val="restart"/>
            <w:tcBorders>
              <w:top w:val="nil"/>
              <w:left w:val="single" w:sz="4" w:space="0" w:color="auto"/>
              <w:bottom w:val="single" w:sz="4" w:space="0" w:color="auto"/>
              <w:right w:val="single" w:sz="4" w:space="0" w:color="auto"/>
            </w:tcBorders>
            <w:vAlign w:val="center"/>
            <w:hideMark/>
          </w:tcPr>
          <w:p w:rsidR="00F5122D" w:rsidRDefault="00F5122D" w:rsidP="00AA4D66">
            <w:pPr>
              <w:spacing w:after="0"/>
              <w:jc w:val="center"/>
              <w:rPr>
                <w:b/>
                <w:bCs/>
                <w:color w:val="000000"/>
                <w:sz w:val="20"/>
                <w:szCs w:val="20"/>
                <w:lang w:eastAsia="en-US"/>
              </w:rPr>
            </w:pPr>
            <w:r>
              <w:rPr>
                <w:b/>
                <w:bCs/>
                <w:color w:val="000000"/>
                <w:sz w:val="20"/>
                <w:szCs w:val="20"/>
                <w:lang w:eastAsia="en-US"/>
              </w:rPr>
              <w:t>Podíl tuzemských hostů ze všech pacientů léčených na vlastní náklady (v %)</w:t>
            </w:r>
          </w:p>
        </w:tc>
      </w:tr>
      <w:tr w:rsidR="00AA4D66" w:rsidTr="00AA4D66">
        <w:trPr>
          <w:trHeight w:val="301"/>
        </w:trPr>
        <w:tc>
          <w:tcPr>
            <w:tcW w:w="885" w:type="pct"/>
            <w:vMerge/>
            <w:tcBorders>
              <w:left w:val="single" w:sz="4" w:space="0" w:color="auto"/>
              <w:bottom w:val="single" w:sz="4" w:space="0" w:color="auto"/>
              <w:right w:val="single" w:sz="4" w:space="0" w:color="auto"/>
            </w:tcBorders>
            <w:vAlign w:val="center"/>
            <w:hideMark/>
          </w:tcPr>
          <w:p w:rsidR="00F5122D" w:rsidRDefault="00F5122D" w:rsidP="00F5122D">
            <w:pPr>
              <w:spacing w:after="0"/>
              <w:jc w:val="center"/>
              <w:rPr>
                <w:color w:val="000000"/>
                <w:sz w:val="20"/>
                <w:szCs w:val="20"/>
                <w:lang w:eastAsia="en-US"/>
              </w:rPr>
            </w:pP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KLP</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PLP</w:t>
            </w:r>
          </w:p>
        </w:tc>
        <w:tc>
          <w:tcPr>
            <w:tcW w:w="614" w:type="pct"/>
            <w:tcBorders>
              <w:top w:val="nil"/>
              <w:left w:val="nil"/>
              <w:bottom w:val="single" w:sz="4" w:space="0" w:color="auto"/>
              <w:right w:val="single" w:sz="4" w:space="0" w:color="auto"/>
            </w:tcBorders>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tuzemci</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cizinci</w:t>
            </w:r>
          </w:p>
        </w:tc>
        <w:tc>
          <w:tcPr>
            <w:tcW w:w="616" w:type="pct"/>
            <w:vMerge/>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
                <w:bCs/>
                <w:color w:val="000000"/>
                <w:sz w:val="20"/>
                <w:szCs w:val="20"/>
                <w:lang w:eastAsia="en-US"/>
              </w:rPr>
            </w:pPr>
          </w:p>
        </w:tc>
        <w:tc>
          <w:tcPr>
            <w:tcW w:w="1038" w:type="pct"/>
            <w:vMerge/>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
                <w:bCs/>
                <w:color w:val="000000"/>
                <w:sz w:val="20"/>
                <w:szCs w:val="20"/>
                <w:lang w:eastAsia="en-US"/>
              </w:rPr>
            </w:pP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Středočeský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4 220</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399</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3 013</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575</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8 207</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84,0</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Jihočeský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10 911</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1 267</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27 972</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373</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40 523</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98,7</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Plzeňský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1 867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164</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853</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313</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3 197</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73,2</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color w:val="000000"/>
                <w:sz w:val="20"/>
                <w:szCs w:val="20"/>
                <w:lang w:eastAsia="en-US"/>
              </w:rPr>
            </w:pPr>
            <w:r>
              <w:rPr>
                <w:b/>
                <w:bCs/>
                <w:color w:val="000000"/>
                <w:sz w:val="20"/>
                <w:szCs w:val="20"/>
                <w:lang w:eastAsia="en-US"/>
              </w:rPr>
              <w:t>Karlovarský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17 527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3 623</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26 651</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115 990</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163 791</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18,7</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Ústecký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3 929</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590</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10 131</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2 647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17 297</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79,3</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Liberecký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2 074</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249</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2 170</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379</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4 872</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85,1</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Královehradecký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5 390</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722</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2 227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172</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8 511</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92,8</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Pardubický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Jihomoravský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2 689</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505</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5 724</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8 923</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99,9</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Olomoucký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9 527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926</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15 550</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287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26 290</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98,2</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Zlínský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8 027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1 325</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21 798</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3 620</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34 770</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85,8</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color w:val="000000"/>
                <w:sz w:val="20"/>
                <w:szCs w:val="20"/>
                <w:lang w:eastAsia="en-US"/>
              </w:rPr>
              <w:t>Moravskoslezský</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11 796</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610</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5 553</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771</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18 730</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87,8</w:t>
            </w:r>
          </w:p>
        </w:tc>
      </w:tr>
      <w:tr w:rsidR="00AA4D66" w:rsidTr="00AA4D66">
        <w:trPr>
          <w:trHeight w:val="301"/>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color w:val="000000"/>
                <w:sz w:val="20"/>
                <w:szCs w:val="20"/>
                <w:lang w:eastAsia="en-US"/>
              </w:rPr>
            </w:pPr>
            <w:r>
              <w:rPr>
                <w:b/>
                <w:bCs/>
                <w:color w:val="000000"/>
                <w:sz w:val="20"/>
                <w:szCs w:val="20"/>
                <w:lang w:eastAsia="en-US"/>
              </w:rPr>
              <w:t>ČR</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77 957</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10 380</w:t>
            </w:r>
          </w:p>
        </w:tc>
        <w:tc>
          <w:tcPr>
            <w:tcW w:w="61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121 642</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125 132</w:t>
            </w:r>
          </w:p>
        </w:tc>
        <w:tc>
          <w:tcPr>
            <w:tcW w:w="616"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335 111</w:t>
            </w:r>
          </w:p>
        </w:tc>
        <w:tc>
          <w:tcPr>
            <w:tcW w:w="103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49,3</w:t>
            </w:r>
          </w:p>
        </w:tc>
      </w:tr>
    </w:tbl>
    <w:p w:rsidR="00F5122D" w:rsidRDefault="00F5122D" w:rsidP="00F5122D">
      <w:pPr>
        <w:spacing w:before="120" w:after="0" w:line="240" w:lineRule="auto"/>
        <w:rPr>
          <w:rStyle w:val="Zdraznnjemn"/>
          <w:rFonts w:ascii="Calibri" w:hAnsi="Calibri"/>
        </w:rPr>
      </w:pPr>
      <w:r>
        <w:rPr>
          <w:rStyle w:val="Zdraznnjemn"/>
          <w:rFonts w:eastAsiaTheme="minorHAnsi"/>
        </w:rPr>
        <w:t>Pozn.: KLP = komplexní lázeňská péče, PLP = příspěvková lázeňská péče, . – údaj je nespolehlivý/není k dispozici</w:t>
      </w:r>
    </w:p>
    <w:p w:rsidR="00F5122D" w:rsidRDefault="00F5122D" w:rsidP="00F5122D">
      <w:pPr>
        <w:spacing w:after="120" w:line="240" w:lineRule="auto"/>
        <w:rPr>
          <w:rStyle w:val="Zdraznnjemn"/>
          <w:rFonts w:eastAsiaTheme="minorHAnsi"/>
        </w:rPr>
      </w:pPr>
      <w:r>
        <w:rPr>
          <w:rStyle w:val="Zdraznnjemn"/>
          <w:rFonts w:eastAsiaTheme="minorHAnsi"/>
        </w:rPr>
        <w:t>Zdroj: ÚZIS - Lázeňská péče 2015</w:t>
      </w:r>
    </w:p>
    <w:p w:rsidR="009E424D" w:rsidRDefault="00F5122D">
      <w:pPr>
        <w:pStyle w:val="Titulek"/>
      </w:pPr>
      <w:bookmarkStart w:id="174" w:name="_Toc478118086"/>
      <w:bookmarkStart w:id="175" w:name="_Toc488233489"/>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11</w:t>
      </w:r>
      <w:r w:rsidR="004F2330">
        <w:fldChar w:fldCharType="end"/>
      </w:r>
      <w:r>
        <w:t>: Počet přijatých pacientů v lázeňských zařízeních v KK v letech 2012 – 2015</w:t>
      </w:r>
      <w:bookmarkEnd w:id="174"/>
      <w:bookmarkEnd w:id="175"/>
    </w:p>
    <w:tbl>
      <w:tblPr>
        <w:tblW w:w="9062" w:type="dxa"/>
        <w:tblInd w:w="55" w:type="dxa"/>
        <w:tblCellMar>
          <w:left w:w="70" w:type="dxa"/>
          <w:right w:w="70" w:type="dxa"/>
        </w:tblCellMar>
        <w:tblLook w:val="04A0" w:firstRow="1" w:lastRow="0" w:firstColumn="1" w:lastColumn="0" w:noHBand="0" w:noVBand="1"/>
      </w:tblPr>
      <w:tblGrid>
        <w:gridCol w:w="1410"/>
        <w:gridCol w:w="2075"/>
        <w:gridCol w:w="1714"/>
        <w:gridCol w:w="1507"/>
        <w:gridCol w:w="1256"/>
        <w:gridCol w:w="1100"/>
      </w:tblGrid>
      <w:tr w:rsidR="00F5122D" w:rsidTr="00F5122D">
        <w:trPr>
          <w:trHeight w:val="261"/>
        </w:trPr>
        <w:tc>
          <w:tcPr>
            <w:tcW w:w="1410" w:type="dxa"/>
            <w:vMerge w:val="restart"/>
            <w:tcBorders>
              <w:top w:val="single" w:sz="4" w:space="0" w:color="auto"/>
              <w:left w:val="single" w:sz="4" w:space="0" w:color="auto"/>
              <w:bottom w:val="single" w:sz="4" w:space="0" w:color="000000"/>
              <w:right w:val="single" w:sz="4" w:space="0" w:color="auto"/>
            </w:tcBorders>
            <w:noWrap/>
            <w:vAlign w:val="center"/>
            <w:hideMark/>
          </w:tcPr>
          <w:p w:rsidR="00F5122D" w:rsidRDefault="00F5122D" w:rsidP="00F5122D">
            <w:pPr>
              <w:spacing w:after="0"/>
              <w:jc w:val="left"/>
              <w:rPr>
                <w:b/>
                <w:sz w:val="20"/>
                <w:szCs w:val="20"/>
                <w:lang w:eastAsia="en-US"/>
              </w:rPr>
            </w:pPr>
            <w:r>
              <w:rPr>
                <w:b/>
                <w:sz w:val="20"/>
                <w:szCs w:val="20"/>
                <w:lang w:eastAsia="en-US"/>
              </w:rPr>
              <w:t>Rok</w:t>
            </w:r>
          </w:p>
        </w:tc>
        <w:tc>
          <w:tcPr>
            <w:tcW w:w="7652" w:type="dxa"/>
            <w:gridSpan w:val="5"/>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Poskytnutá lázeňská péče</w:t>
            </w:r>
          </w:p>
        </w:tc>
      </w:tr>
      <w:tr w:rsidR="00F5122D" w:rsidTr="00F5122D">
        <w:trPr>
          <w:trHeight w:val="261"/>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5122D" w:rsidRDefault="00F5122D" w:rsidP="00F5122D">
            <w:pPr>
              <w:spacing w:after="0"/>
              <w:jc w:val="left"/>
              <w:rPr>
                <w:b/>
                <w:sz w:val="20"/>
                <w:szCs w:val="20"/>
                <w:lang w:eastAsia="en-US"/>
              </w:rPr>
            </w:pPr>
          </w:p>
        </w:tc>
        <w:tc>
          <w:tcPr>
            <w:tcW w:w="3789" w:type="dxa"/>
            <w:gridSpan w:val="2"/>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na náklad zdravotního pojištění</w:t>
            </w:r>
          </w:p>
        </w:tc>
        <w:tc>
          <w:tcPr>
            <w:tcW w:w="2763" w:type="dxa"/>
            <w:gridSpan w:val="2"/>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plně na vlastní náklady</w:t>
            </w:r>
          </w:p>
        </w:tc>
        <w:tc>
          <w:tcPr>
            <w:tcW w:w="1100" w:type="dxa"/>
            <w:vMerge w:val="restar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celkem</w:t>
            </w:r>
          </w:p>
        </w:tc>
      </w:tr>
      <w:tr w:rsidR="00F5122D" w:rsidTr="00F5122D">
        <w:trPr>
          <w:trHeight w:val="261"/>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5122D" w:rsidRDefault="00F5122D" w:rsidP="00F5122D">
            <w:pPr>
              <w:spacing w:after="0"/>
              <w:jc w:val="left"/>
              <w:rPr>
                <w:b/>
                <w:sz w:val="20"/>
                <w:szCs w:val="20"/>
                <w:lang w:eastAsia="en-US"/>
              </w:rPr>
            </w:pPr>
          </w:p>
        </w:tc>
        <w:tc>
          <w:tcPr>
            <w:tcW w:w="2075"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KLP</w:t>
            </w:r>
          </w:p>
        </w:tc>
        <w:tc>
          <w:tcPr>
            <w:tcW w:w="1714"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PLP</w:t>
            </w:r>
          </w:p>
        </w:tc>
        <w:tc>
          <w:tcPr>
            <w:tcW w:w="1507" w:type="dxa"/>
            <w:tcBorders>
              <w:top w:val="nil"/>
              <w:left w:val="nil"/>
              <w:bottom w:val="single" w:sz="4" w:space="0" w:color="auto"/>
              <w:right w:val="single" w:sz="4" w:space="0" w:color="auto"/>
            </w:tcBorders>
            <w:vAlign w:val="center"/>
            <w:hideMark/>
          </w:tcPr>
          <w:p w:rsidR="00F5122D" w:rsidRDefault="00F5122D" w:rsidP="00F5122D">
            <w:pPr>
              <w:spacing w:after="0"/>
              <w:jc w:val="center"/>
              <w:rPr>
                <w:b/>
                <w:sz w:val="20"/>
                <w:szCs w:val="20"/>
                <w:lang w:eastAsia="en-US"/>
              </w:rPr>
            </w:pPr>
            <w:r>
              <w:rPr>
                <w:b/>
                <w:sz w:val="20"/>
                <w:szCs w:val="20"/>
                <w:lang w:eastAsia="en-US"/>
              </w:rPr>
              <w:t>tuzemci</w:t>
            </w:r>
          </w:p>
        </w:tc>
        <w:tc>
          <w:tcPr>
            <w:tcW w:w="1256"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b/>
                <w:sz w:val="20"/>
                <w:szCs w:val="20"/>
                <w:lang w:eastAsia="en-US"/>
              </w:rPr>
            </w:pPr>
            <w:r>
              <w:rPr>
                <w:b/>
                <w:sz w:val="20"/>
                <w:szCs w:val="20"/>
                <w:lang w:eastAsia="en-US"/>
              </w:rPr>
              <w:t>cizinci</w:t>
            </w:r>
          </w:p>
        </w:tc>
        <w:tc>
          <w:tcPr>
            <w:tcW w:w="0" w:type="auto"/>
            <w:vMerge/>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
                <w:sz w:val="20"/>
                <w:szCs w:val="20"/>
                <w:lang w:eastAsia="en-US"/>
              </w:rPr>
            </w:pPr>
          </w:p>
        </w:tc>
      </w:tr>
      <w:tr w:rsidR="00F5122D" w:rsidTr="00F5122D">
        <w:trPr>
          <w:trHeight w:val="261"/>
        </w:trPr>
        <w:tc>
          <w:tcPr>
            <w:tcW w:w="1410" w:type="dxa"/>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sz w:val="20"/>
                <w:szCs w:val="20"/>
                <w:lang w:eastAsia="en-US"/>
              </w:rPr>
            </w:pPr>
            <w:r>
              <w:rPr>
                <w:sz w:val="20"/>
                <w:szCs w:val="20"/>
                <w:lang w:eastAsia="en-US"/>
              </w:rPr>
              <w:t>2012</w:t>
            </w:r>
          </w:p>
        </w:tc>
        <w:tc>
          <w:tcPr>
            <w:tcW w:w="2075"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12 264</w:t>
            </w:r>
          </w:p>
        </w:tc>
        <w:tc>
          <w:tcPr>
            <w:tcW w:w="1714"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2 566</w:t>
            </w:r>
          </w:p>
        </w:tc>
        <w:tc>
          <w:tcPr>
            <w:tcW w:w="1507"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15 826</w:t>
            </w:r>
          </w:p>
        </w:tc>
        <w:tc>
          <w:tcPr>
            <w:tcW w:w="1256"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145 268</w:t>
            </w:r>
          </w:p>
        </w:tc>
        <w:tc>
          <w:tcPr>
            <w:tcW w:w="1100"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175 924</w:t>
            </w:r>
          </w:p>
        </w:tc>
      </w:tr>
      <w:tr w:rsidR="00F5122D" w:rsidTr="00F5122D">
        <w:trPr>
          <w:trHeight w:val="261"/>
        </w:trPr>
        <w:tc>
          <w:tcPr>
            <w:tcW w:w="1410" w:type="dxa"/>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sz w:val="20"/>
                <w:szCs w:val="20"/>
                <w:lang w:eastAsia="en-US"/>
              </w:rPr>
            </w:pPr>
            <w:r>
              <w:rPr>
                <w:sz w:val="20"/>
                <w:szCs w:val="20"/>
                <w:lang w:eastAsia="en-US"/>
              </w:rPr>
              <w:t>2013</w:t>
            </w:r>
          </w:p>
        </w:tc>
        <w:tc>
          <w:tcPr>
            <w:tcW w:w="2075"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7 519</w:t>
            </w:r>
          </w:p>
        </w:tc>
        <w:tc>
          <w:tcPr>
            <w:tcW w:w="1714"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2 746</w:t>
            </w:r>
          </w:p>
        </w:tc>
        <w:tc>
          <w:tcPr>
            <w:tcW w:w="1507"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21 581</w:t>
            </w:r>
          </w:p>
        </w:tc>
        <w:tc>
          <w:tcPr>
            <w:tcW w:w="1256"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151 886</w:t>
            </w:r>
          </w:p>
        </w:tc>
        <w:tc>
          <w:tcPr>
            <w:tcW w:w="1100"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183 732</w:t>
            </w:r>
          </w:p>
        </w:tc>
      </w:tr>
      <w:tr w:rsidR="00F5122D" w:rsidTr="00F5122D">
        <w:trPr>
          <w:trHeight w:val="261"/>
        </w:trPr>
        <w:tc>
          <w:tcPr>
            <w:tcW w:w="1410" w:type="dxa"/>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sz w:val="20"/>
                <w:szCs w:val="20"/>
                <w:lang w:eastAsia="en-US"/>
              </w:rPr>
            </w:pPr>
            <w:r>
              <w:rPr>
                <w:sz w:val="20"/>
                <w:szCs w:val="20"/>
                <w:lang w:eastAsia="en-US"/>
              </w:rPr>
              <w:t>2014</w:t>
            </w:r>
          </w:p>
        </w:tc>
        <w:tc>
          <w:tcPr>
            <w:tcW w:w="2075"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3 587</w:t>
            </w:r>
          </w:p>
        </w:tc>
        <w:tc>
          <w:tcPr>
            <w:tcW w:w="1714"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698</w:t>
            </w:r>
          </w:p>
        </w:tc>
        <w:tc>
          <w:tcPr>
            <w:tcW w:w="1507"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7 331</w:t>
            </w:r>
          </w:p>
        </w:tc>
        <w:tc>
          <w:tcPr>
            <w:tcW w:w="1256"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118 052</w:t>
            </w:r>
          </w:p>
        </w:tc>
        <w:tc>
          <w:tcPr>
            <w:tcW w:w="1100"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129 668</w:t>
            </w:r>
          </w:p>
        </w:tc>
      </w:tr>
      <w:tr w:rsidR="00F5122D" w:rsidTr="00F5122D">
        <w:trPr>
          <w:trHeight w:val="261"/>
        </w:trPr>
        <w:tc>
          <w:tcPr>
            <w:tcW w:w="1410" w:type="dxa"/>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sz w:val="20"/>
                <w:szCs w:val="20"/>
                <w:lang w:eastAsia="en-US"/>
              </w:rPr>
            </w:pPr>
            <w:r>
              <w:rPr>
                <w:sz w:val="20"/>
                <w:szCs w:val="20"/>
                <w:lang w:eastAsia="en-US"/>
              </w:rPr>
              <w:t>2015</w:t>
            </w:r>
          </w:p>
        </w:tc>
        <w:tc>
          <w:tcPr>
            <w:tcW w:w="2075"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17 527</w:t>
            </w:r>
          </w:p>
        </w:tc>
        <w:tc>
          <w:tcPr>
            <w:tcW w:w="1714"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3 623</w:t>
            </w:r>
          </w:p>
        </w:tc>
        <w:tc>
          <w:tcPr>
            <w:tcW w:w="1507"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26 651</w:t>
            </w:r>
          </w:p>
        </w:tc>
        <w:tc>
          <w:tcPr>
            <w:tcW w:w="1256"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115 990</w:t>
            </w:r>
          </w:p>
        </w:tc>
        <w:tc>
          <w:tcPr>
            <w:tcW w:w="1100" w:type="dxa"/>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163 791</w:t>
            </w:r>
          </w:p>
        </w:tc>
      </w:tr>
    </w:tbl>
    <w:p w:rsidR="00F5122D" w:rsidRDefault="00F5122D" w:rsidP="00F5122D">
      <w:pPr>
        <w:spacing w:before="120" w:after="0" w:line="240" w:lineRule="auto"/>
        <w:rPr>
          <w:rStyle w:val="Zdraznnjemn"/>
          <w:rFonts w:eastAsiaTheme="minorHAnsi"/>
        </w:rPr>
      </w:pPr>
      <w:r>
        <w:rPr>
          <w:rStyle w:val="Zdraznnjemn"/>
          <w:rFonts w:eastAsiaTheme="minorHAnsi"/>
        </w:rPr>
        <w:t>Pozn. KLP = komplexní lázeňská péče, PLP = příspěvková lázeňská péče</w:t>
      </w:r>
    </w:p>
    <w:p w:rsidR="00F5122D" w:rsidRDefault="00F5122D" w:rsidP="00F5122D">
      <w:pPr>
        <w:spacing w:after="120" w:line="240" w:lineRule="auto"/>
        <w:rPr>
          <w:rStyle w:val="Zdraznnjemn"/>
          <w:rFonts w:ascii="Calibri" w:hAnsi="Calibri"/>
        </w:rPr>
      </w:pPr>
      <w:r>
        <w:rPr>
          <w:rStyle w:val="Zdraznnjemn"/>
          <w:rFonts w:eastAsiaTheme="minorHAnsi"/>
        </w:rPr>
        <w:t>Zdroj: ÚZIS - Lázeňská péče 2012 – 2015</w:t>
      </w:r>
    </w:p>
    <w:p w:rsidR="00F5122D" w:rsidRDefault="00F5122D" w:rsidP="00F5122D">
      <w:pPr>
        <w:pStyle w:val="Nadpis2"/>
        <w:rPr>
          <w:rFonts w:cs="Calibri"/>
        </w:rPr>
      </w:pPr>
      <w:r>
        <w:rPr>
          <w:rFonts w:ascii="Calibri" w:hAnsi="Calibri" w:cs="Calibri"/>
        </w:rPr>
        <w:lastRenderedPageBreak/>
        <w:t>Hromadná ubytovací zařízení</w:t>
      </w:r>
    </w:p>
    <w:p w:rsidR="00F5122D" w:rsidRDefault="00F5122D" w:rsidP="00F5122D">
      <w:pPr>
        <w:spacing w:after="160"/>
      </w:pPr>
      <w:r>
        <w:t>Zaměření cestovního ruchu s důrazem na lázeňství odpovídá i struktura hromadných ubytovacích zařízení v Karlovarském kraji (tabulka 8.12).</w:t>
      </w:r>
      <w:r>
        <w:rPr>
          <w:b/>
        </w:rPr>
        <w:t xml:space="preserve"> V kraji je značné množství hotelů vyšší kvality</w:t>
      </w:r>
      <w:r>
        <w:t xml:space="preserve"> (4hvězdičkové a 3hvězdičkové kvality). Významně zastoupeny jsou však i hotely nižší kvality a penziony. V čase dochází k celkovému poklesu počtu hromadných ubytovacích zařízení - celkem jich bylo k dispozici 471 s kapacitou 32 706 lůžek v roce 2015. Klesají počty ubytovacích zařízení všech kategorií vyjma hotelů vyšší kvality, jejichž počet se v posledních letech mírně zvýšil. Pokles souvisí zejména se změnou skladby pokojů, která souvisí se změnou poptávky po jedno- a dvoulůžkových pokojích na úkor vícelůžkových pokojů</w:t>
      </w:r>
      <w:r w:rsidR="00E74659">
        <w:t>,</w:t>
      </w:r>
      <w:r>
        <w:t xml:space="preserve"> a posunem poptávky k ubytovacím zařízením s vyšším standardem služeb.</w:t>
      </w:r>
    </w:p>
    <w:p w:rsidR="00F5122D" w:rsidRDefault="00F5122D" w:rsidP="000B3B9C">
      <w:pPr>
        <w:pStyle w:val="Titulek"/>
      </w:pPr>
      <w:bookmarkStart w:id="176" w:name="_Toc478118087"/>
      <w:bookmarkStart w:id="177" w:name="_Toc488233490"/>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12</w:t>
      </w:r>
      <w:r w:rsidR="004F2330">
        <w:fldChar w:fldCharType="end"/>
      </w:r>
      <w:r>
        <w:t>: Počet a struktura hromadných ubytovacích zařízení v KK v letech 2012 – 2015</w:t>
      </w:r>
      <w:bookmarkEnd w:id="176"/>
      <w:bookmarkEnd w:id="177"/>
    </w:p>
    <w:tbl>
      <w:tblPr>
        <w:tblW w:w="5000" w:type="pct"/>
        <w:tblLayout w:type="fixed"/>
        <w:tblCellMar>
          <w:left w:w="70" w:type="dxa"/>
          <w:right w:w="70" w:type="dxa"/>
        </w:tblCellMar>
        <w:tblLook w:val="04A0" w:firstRow="1" w:lastRow="0" w:firstColumn="1" w:lastColumn="0" w:noHBand="0" w:noVBand="1"/>
      </w:tblPr>
      <w:tblGrid>
        <w:gridCol w:w="2313"/>
        <w:gridCol w:w="1261"/>
        <w:gridCol w:w="1261"/>
        <w:gridCol w:w="1260"/>
        <w:gridCol w:w="1260"/>
        <w:gridCol w:w="1857"/>
      </w:tblGrid>
      <w:tr w:rsidR="00F5122D" w:rsidTr="00F5122D">
        <w:trPr>
          <w:trHeight w:val="253"/>
          <w:tblHeader/>
        </w:trPr>
        <w:tc>
          <w:tcPr>
            <w:tcW w:w="1255"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160"/>
              <w:jc w:val="left"/>
              <w:rPr>
                <w:rFonts w:asciiTheme="minorHAnsi" w:eastAsiaTheme="minorHAnsi" w:hAnsiTheme="minorHAnsi" w:cs="Times New Roman"/>
                <w:lang w:eastAsia="en-US"/>
              </w:rPr>
            </w:pPr>
          </w:p>
        </w:tc>
        <w:tc>
          <w:tcPr>
            <w:tcW w:w="684"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684"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684"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684" w:type="pct"/>
            <w:tcBorders>
              <w:top w:val="single" w:sz="4" w:space="0" w:color="auto"/>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1008" w:type="pct"/>
            <w:tcBorders>
              <w:top w:val="single" w:sz="4" w:space="0" w:color="auto"/>
              <w:left w:val="nil"/>
              <w:bottom w:val="single" w:sz="4" w:space="0" w:color="auto"/>
              <w:right w:val="single" w:sz="4" w:space="0" w:color="auto"/>
            </w:tcBorders>
            <w:vAlign w:val="center"/>
            <w:hideMark/>
          </w:tcPr>
          <w:p w:rsidR="00F5122D" w:rsidRDefault="00F5122D" w:rsidP="00F5122D">
            <w:pPr>
              <w:spacing w:after="0"/>
              <w:jc w:val="center"/>
              <w:rPr>
                <w:b/>
                <w:bCs/>
                <w:sz w:val="20"/>
                <w:szCs w:val="20"/>
                <w:lang w:eastAsia="en-US"/>
              </w:rPr>
            </w:pPr>
            <w:r>
              <w:rPr>
                <w:b/>
                <w:bCs/>
                <w:sz w:val="20"/>
                <w:szCs w:val="20"/>
                <w:lang w:eastAsia="en-US"/>
              </w:rPr>
              <w:t>Index změny 2015/2012 (v %)</w:t>
            </w:r>
          </w:p>
        </w:tc>
      </w:tr>
      <w:tr w:rsidR="00F5122D" w:rsidTr="00F5122D">
        <w:trPr>
          <w:trHeight w:val="253"/>
        </w:trPr>
        <w:tc>
          <w:tcPr>
            <w:tcW w:w="125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sz w:val="20"/>
                <w:szCs w:val="20"/>
                <w:lang w:eastAsia="en-US"/>
              </w:rPr>
            </w:pPr>
            <w:r>
              <w:rPr>
                <w:b/>
                <w:sz w:val="20"/>
                <w:szCs w:val="20"/>
                <w:lang w:eastAsia="en-US"/>
              </w:rPr>
              <w:t>Počet hromadných ubytovacích zařízení celkem</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504</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488</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439</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471</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93</w:t>
            </w:r>
          </w:p>
        </w:tc>
      </w:tr>
      <w:tr w:rsidR="00F5122D" w:rsidTr="00F5122D">
        <w:trPr>
          <w:trHeight w:val="253"/>
        </w:trPr>
        <w:tc>
          <w:tcPr>
            <w:tcW w:w="125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ind w:leftChars="155" w:left="369" w:hangingChars="14" w:hanging="28"/>
              <w:jc w:val="left"/>
              <w:rPr>
                <w:sz w:val="20"/>
                <w:szCs w:val="20"/>
                <w:lang w:eastAsia="en-US"/>
              </w:rPr>
            </w:pPr>
            <w:r>
              <w:rPr>
                <w:sz w:val="20"/>
                <w:szCs w:val="20"/>
                <w:lang w:eastAsia="en-US"/>
              </w:rPr>
              <w:t>hotely ***** a ****</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90</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90</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89</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98</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109</w:t>
            </w:r>
          </w:p>
        </w:tc>
      </w:tr>
      <w:tr w:rsidR="00F5122D" w:rsidTr="00F5122D">
        <w:trPr>
          <w:trHeight w:val="253"/>
        </w:trPr>
        <w:tc>
          <w:tcPr>
            <w:tcW w:w="125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ind w:leftChars="155" w:left="369" w:hangingChars="14" w:hanging="28"/>
              <w:jc w:val="left"/>
              <w:rPr>
                <w:sz w:val="20"/>
                <w:szCs w:val="20"/>
                <w:lang w:eastAsia="en-US"/>
              </w:rPr>
            </w:pPr>
            <w:r>
              <w:rPr>
                <w:sz w:val="20"/>
                <w:szCs w:val="20"/>
                <w:lang w:eastAsia="en-US"/>
              </w:rPr>
              <w:t>ostatní hotely</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133</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133</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124</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127</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95</w:t>
            </w:r>
          </w:p>
        </w:tc>
      </w:tr>
      <w:tr w:rsidR="00F5122D" w:rsidTr="00F5122D">
        <w:trPr>
          <w:trHeight w:val="253"/>
        </w:trPr>
        <w:tc>
          <w:tcPr>
            <w:tcW w:w="125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ind w:leftChars="155" w:left="369" w:hangingChars="14" w:hanging="28"/>
              <w:jc w:val="left"/>
              <w:rPr>
                <w:sz w:val="20"/>
                <w:szCs w:val="20"/>
                <w:lang w:eastAsia="en-US"/>
              </w:rPr>
            </w:pPr>
            <w:r>
              <w:rPr>
                <w:sz w:val="20"/>
                <w:szCs w:val="20"/>
                <w:lang w:eastAsia="en-US"/>
              </w:rPr>
              <w:t>penziony</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167</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161</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136</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147</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88</w:t>
            </w:r>
          </w:p>
        </w:tc>
      </w:tr>
      <w:tr w:rsidR="00F5122D" w:rsidTr="00F5122D">
        <w:trPr>
          <w:trHeight w:val="505"/>
        </w:trPr>
        <w:tc>
          <w:tcPr>
            <w:tcW w:w="1255"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ind w:leftChars="155" w:left="369" w:hangingChars="14" w:hanging="28"/>
              <w:jc w:val="left"/>
              <w:rPr>
                <w:sz w:val="20"/>
                <w:szCs w:val="20"/>
                <w:lang w:eastAsia="en-US"/>
              </w:rPr>
            </w:pPr>
            <w:r>
              <w:rPr>
                <w:sz w:val="20"/>
                <w:szCs w:val="20"/>
                <w:lang w:eastAsia="en-US"/>
              </w:rPr>
              <w:t>ostatní hromadná ubytovací zařízení</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114</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104</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90</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99</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87</w:t>
            </w:r>
          </w:p>
        </w:tc>
      </w:tr>
      <w:tr w:rsidR="00F5122D" w:rsidTr="00F5122D">
        <w:trPr>
          <w:trHeight w:val="253"/>
        </w:trPr>
        <w:tc>
          <w:tcPr>
            <w:tcW w:w="125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sz w:val="20"/>
                <w:szCs w:val="20"/>
                <w:lang w:eastAsia="en-US"/>
              </w:rPr>
            </w:pPr>
            <w:r>
              <w:rPr>
                <w:b/>
                <w:sz w:val="20"/>
                <w:szCs w:val="20"/>
                <w:lang w:eastAsia="en-US"/>
              </w:rPr>
              <w:t>Počet pokojů</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15 967</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15 799</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15 105</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15 929</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100</w:t>
            </w:r>
          </w:p>
        </w:tc>
      </w:tr>
      <w:tr w:rsidR="00F5122D" w:rsidTr="00F5122D">
        <w:trPr>
          <w:trHeight w:val="253"/>
        </w:trPr>
        <w:tc>
          <w:tcPr>
            <w:tcW w:w="125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sz w:val="20"/>
                <w:szCs w:val="20"/>
                <w:lang w:eastAsia="en-US"/>
              </w:rPr>
            </w:pPr>
            <w:r>
              <w:rPr>
                <w:b/>
                <w:sz w:val="20"/>
                <w:szCs w:val="20"/>
                <w:lang w:eastAsia="en-US"/>
              </w:rPr>
              <w:t>Počet lůžek</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33 132</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32 412</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30 786</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32 706</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99</w:t>
            </w:r>
          </w:p>
        </w:tc>
      </w:tr>
      <w:tr w:rsidR="00F5122D" w:rsidTr="00F5122D">
        <w:trPr>
          <w:trHeight w:val="253"/>
        </w:trPr>
        <w:tc>
          <w:tcPr>
            <w:tcW w:w="125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sz w:val="20"/>
                <w:szCs w:val="20"/>
                <w:lang w:eastAsia="en-US"/>
              </w:rPr>
            </w:pPr>
            <w:r>
              <w:rPr>
                <w:b/>
                <w:sz w:val="20"/>
                <w:szCs w:val="20"/>
                <w:lang w:eastAsia="en-US"/>
              </w:rPr>
              <w:t>Počet míst pro stany a karavany</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1 279</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1 159</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1 152</w:t>
            </w:r>
          </w:p>
        </w:tc>
        <w:tc>
          <w:tcPr>
            <w:tcW w:w="684"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1 088</w:t>
            </w:r>
          </w:p>
        </w:tc>
        <w:tc>
          <w:tcPr>
            <w:tcW w:w="1008" w:type="pct"/>
            <w:tcBorders>
              <w:top w:val="nil"/>
              <w:left w:val="nil"/>
              <w:bottom w:val="single" w:sz="4" w:space="0" w:color="auto"/>
              <w:right w:val="single" w:sz="4" w:space="0" w:color="auto"/>
            </w:tcBorders>
            <w:vAlign w:val="center"/>
            <w:hideMark/>
          </w:tcPr>
          <w:p w:rsidR="00F5122D" w:rsidRDefault="00F5122D" w:rsidP="00F5122D">
            <w:pPr>
              <w:spacing w:after="0"/>
              <w:jc w:val="center"/>
              <w:rPr>
                <w:sz w:val="20"/>
                <w:szCs w:val="20"/>
                <w:lang w:eastAsia="en-US"/>
              </w:rPr>
            </w:pPr>
            <w:r>
              <w:rPr>
                <w:sz w:val="20"/>
                <w:szCs w:val="20"/>
                <w:lang w:eastAsia="en-US"/>
              </w:rPr>
              <w:t>85</w:t>
            </w:r>
          </w:p>
        </w:tc>
      </w:tr>
    </w:tbl>
    <w:p w:rsidR="00F5122D" w:rsidRDefault="00F5122D" w:rsidP="00F5122D">
      <w:pPr>
        <w:spacing w:before="120" w:after="120"/>
        <w:rPr>
          <w:rStyle w:val="Zdraznnjemn"/>
          <w:rFonts w:ascii="Calibri" w:hAnsi="Calibri"/>
        </w:rPr>
      </w:pPr>
      <w:r>
        <w:rPr>
          <w:rStyle w:val="Zdraznnjemn"/>
          <w:rFonts w:eastAsiaTheme="minorHAnsi"/>
        </w:rPr>
        <w:t>Zdroj: ČSÚ - Veřejná databáze</w:t>
      </w:r>
    </w:p>
    <w:p w:rsidR="00F5122D" w:rsidRDefault="00F5122D" w:rsidP="00F5122D">
      <w:pPr>
        <w:pStyle w:val="Nadpis2"/>
        <w:rPr>
          <w:rFonts w:cs="Calibri"/>
        </w:rPr>
      </w:pPr>
      <w:r>
        <w:rPr>
          <w:rFonts w:ascii="Calibri" w:hAnsi="Calibri" w:cs="Calibri"/>
        </w:rPr>
        <w:t>Kongresový a incentivní cestovní ruch</w:t>
      </w:r>
    </w:p>
    <w:p w:rsidR="00F5122D" w:rsidRDefault="00F5122D" w:rsidP="00F5122D">
      <w:pPr>
        <w:spacing w:after="160"/>
      </w:pPr>
      <w:r>
        <w:t xml:space="preserve">Dobrá infrastruktura KK především z hlediska kvalitního ubytování (značný počet hotelů vyšší kvality - 3hvězdičkové a vyšší) a bohatých doplňkových aktivit (lázeňství, možnosti trávení volného času) představuje významný potenciál pro kongresovou a incentivní turistiku. Ta je však v KK velmi málo rozvinuta. </w:t>
      </w:r>
    </w:p>
    <w:p w:rsidR="00AA4D66" w:rsidRDefault="00F5122D" w:rsidP="00F5122D">
      <w:pPr>
        <w:spacing w:after="160"/>
      </w:pPr>
      <w:r>
        <w:t xml:space="preserve">V KK bylo v roce 2011 celkem 53 konferenčních zařízení, což je v porovnání s ostatními kraji srovnatelný počet – vyjma Hl. m. Prahy (tabulka 8.13). Nejvíce jsou v kraji zastoupeny konferenční zařízení v 4hvězdičkových a dále pak 3hvězdičkových hotelích. Obdobně je tomu i z hlediska celkové kapacity těchto zařízení (tabulka 8.14), která taktéž víceméně odpovídá průměru skupiny krajů. </w:t>
      </w:r>
    </w:p>
    <w:p w:rsidR="00AA4D66" w:rsidRDefault="00AA4D66">
      <w:pPr>
        <w:spacing w:after="160" w:line="259" w:lineRule="auto"/>
        <w:jc w:val="left"/>
      </w:pPr>
      <w:r>
        <w:br w:type="page"/>
      </w:r>
    </w:p>
    <w:p w:rsidR="00F5122D" w:rsidRDefault="00F5122D" w:rsidP="000B3B9C">
      <w:pPr>
        <w:pStyle w:val="Titulek"/>
      </w:pPr>
      <w:bookmarkStart w:id="178" w:name="_Toc478118088"/>
      <w:r>
        <w:lastRenderedPageBreak/>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13</w:t>
      </w:r>
      <w:r w:rsidR="004F2330">
        <w:fldChar w:fldCharType="end"/>
      </w:r>
      <w:r>
        <w:t>: Počet konferenčních zařízení v krajích v roce 2011</w:t>
      </w:r>
      <w:bookmarkEnd w:id="178"/>
    </w:p>
    <w:tbl>
      <w:tblPr>
        <w:tblW w:w="5000" w:type="pct"/>
        <w:tblLayout w:type="fixed"/>
        <w:tblCellMar>
          <w:left w:w="70" w:type="dxa"/>
          <w:right w:w="70" w:type="dxa"/>
        </w:tblCellMar>
        <w:tblLook w:val="04A0" w:firstRow="1" w:lastRow="0" w:firstColumn="1" w:lastColumn="0" w:noHBand="0" w:noVBand="1"/>
      </w:tblPr>
      <w:tblGrid>
        <w:gridCol w:w="1632"/>
        <w:gridCol w:w="591"/>
        <w:gridCol w:w="778"/>
        <w:gridCol w:w="777"/>
        <w:gridCol w:w="777"/>
        <w:gridCol w:w="777"/>
        <w:gridCol w:w="777"/>
        <w:gridCol w:w="777"/>
        <w:gridCol w:w="777"/>
        <w:gridCol w:w="777"/>
        <w:gridCol w:w="772"/>
      </w:tblGrid>
      <w:tr w:rsidR="00F5122D" w:rsidTr="00AA4D66">
        <w:trPr>
          <w:cantSplit/>
          <w:trHeight w:val="1134"/>
          <w:tblHeader/>
        </w:trPr>
        <w:tc>
          <w:tcPr>
            <w:tcW w:w="885" w:type="pct"/>
            <w:tcBorders>
              <w:top w:val="single" w:sz="4" w:space="0" w:color="auto"/>
              <w:left w:val="single" w:sz="4" w:space="0" w:color="auto"/>
              <w:bottom w:val="single" w:sz="4" w:space="0" w:color="auto"/>
              <w:right w:val="single" w:sz="4" w:space="0" w:color="auto"/>
            </w:tcBorders>
            <w:noWrap/>
            <w:vAlign w:val="bottom"/>
            <w:hideMark/>
          </w:tcPr>
          <w:p w:rsidR="00F5122D" w:rsidRPr="00414AB7" w:rsidRDefault="00F5122D" w:rsidP="00F5122D">
            <w:pPr>
              <w:rPr>
                <w:b/>
                <w:sz w:val="20"/>
                <w:szCs w:val="20"/>
              </w:rPr>
            </w:pPr>
            <w:r w:rsidRPr="00414AB7">
              <w:rPr>
                <w:b/>
                <w:sz w:val="20"/>
                <w:szCs w:val="20"/>
              </w:rPr>
              <w:t>ČR, kraj</w:t>
            </w:r>
          </w:p>
        </w:tc>
        <w:tc>
          <w:tcPr>
            <w:tcW w:w="320"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hotel 5*</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hotel 4*</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hotel 3*</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konferenční centrum</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bývalý kulturní dům</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výstaviště</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E74659">
            <w:pPr>
              <w:spacing w:after="0"/>
              <w:ind w:left="113" w:right="113"/>
              <w:jc w:val="center"/>
              <w:rPr>
                <w:b/>
                <w:bCs/>
                <w:color w:val="000000"/>
                <w:sz w:val="20"/>
                <w:szCs w:val="20"/>
                <w:lang w:eastAsia="en-US"/>
              </w:rPr>
            </w:pPr>
            <w:r>
              <w:rPr>
                <w:b/>
                <w:bCs/>
                <w:color w:val="000000"/>
                <w:sz w:val="20"/>
                <w:szCs w:val="20"/>
                <w:lang w:eastAsia="en-US"/>
              </w:rPr>
              <w:t>postaveno před r.</w:t>
            </w:r>
            <w:r w:rsidR="00E74659">
              <w:rPr>
                <w:b/>
                <w:bCs/>
                <w:color w:val="000000"/>
                <w:sz w:val="20"/>
                <w:szCs w:val="20"/>
                <w:lang w:eastAsia="en-US"/>
              </w:rPr>
              <w:t xml:space="preserve"> </w:t>
            </w:r>
            <w:r>
              <w:rPr>
                <w:b/>
                <w:bCs/>
                <w:color w:val="000000"/>
                <w:sz w:val="20"/>
                <w:szCs w:val="20"/>
                <w:lang w:eastAsia="en-US"/>
              </w:rPr>
              <w:t>1900</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E74659" w:rsidP="00F5122D">
            <w:pPr>
              <w:spacing w:after="0"/>
              <w:ind w:left="113" w:right="113"/>
              <w:jc w:val="center"/>
              <w:rPr>
                <w:b/>
                <w:bCs/>
                <w:color w:val="000000"/>
                <w:sz w:val="20"/>
                <w:szCs w:val="20"/>
                <w:lang w:eastAsia="en-US"/>
              </w:rPr>
            </w:pPr>
            <w:r>
              <w:rPr>
                <w:b/>
                <w:bCs/>
                <w:color w:val="000000"/>
                <w:sz w:val="20"/>
                <w:szCs w:val="20"/>
                <w:lang w:eastAsia="en-US"/>
              </w:rPr>
              <w:t>K</w:t>
            </w:r>
            <w:r w:rsidR="00F5122D">
              <w:rPr>
                <w:b/>
                <w:bCs/>
                <w:color w:val="000000"/>
                <w:sz w:val="20"/>
                <w:szCs w:val="20"/>
                <w:lang w:eastAsia="en-US"/>
              </w:rPr>
              <w:t>ultur</w:t>
            </w:r>
            <w:r>
              <w:rPr>
                <w:b/>
                <w:bCs/>
                <w:color w:val="000000"/>
                <w:sz w:val="20"/>
                <w:szCs w:val="20"/>
                <w:lang w:eastAsia="en-US"/>
              </w:rPr>
              <w:t xml:space="preserve">ní </w:t>
            </w:r>
            <w:r w:rsidR="00F5122D">
              <w:rPr>
                <w:b/>
                <w:bCs/>
                <w:color w:val="000000"/>
                <w:sz w:val="20"/>
                <w:szCs w:val="20"/>
                <w:lang w:eastAsia="en-US"/>
              </w:rPr>
              <w:t>zaříz</w:t>
            </w:r>
            <w:r>
              <w:rPr>
                <w:b/>
                <w:bCs/>
                <w:color w:val="000000"/>
                <w:sz w:val="20"/>
                <w:szCs w:val="20"/>
                <w:lang w:eastAsia="en-US"/>
              </w:rPr>
              <w:t>ení</w:t>
            </w:r>
          </w:p>
        </w:tc>
        <w:tc>
          <w:tcPr>
            <w:tcW w:w="422"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 xml:space="preserve">sport. hala </w:t>
            </w:r>
          </w:p>
        </w:tc>
        <w:tc>
          <w:tcPr>
            <w:tcW w:w="421"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Celkem</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Hl.m. Praha</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122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263</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Středočeský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72</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Jihočeský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65</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Plzeňský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20</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41</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color w:val="000000"/>
                <w:sz w:val="20"/>
                <w:szCs w:val="20"/>
                <w:lang w:eastAsia="en-US"/>
              </w:rPr>
            </w:pPr>
            <w:r>
              <w:rPr>
                <w:b/>
                <w:sz w:val="20"/>
                <w:szCs w:val="20"/>
                <w:lang w:eastAsia="en-US"/>
              </w:rPr>
              <w:t xml:space="preserve">Karlovarský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16</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53</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Ústecký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34</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Liberecký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26</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Královéhradecký</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36</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Pardubický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10</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34</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Vysočina</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16</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31</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Jihomoravský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20</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83</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Olomoucký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30</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Zlínský</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14</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35</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center"/>
            <w:hideMark/>
          </w:tcPr>
          <w:p w:rsidR="00F5122D" w:rsidRDefault="00F5122D" w:rsidP="00F5122D">
            <w:pPr>
              <w:spacing w:after="0"/>
              <w:jc w:val="left"/>
              <w:rPr>
                <w:color w:val="000000"/>
                <w:sz w:val="20"/>
                <w:szCs w:val="20"/>
                <w:lang w:eastAsia="en-US"/>
              </w:rPr>
            </w:pPr>
            <w:r>
              <w:rPr>
                <w:sz w:val="20"/>
                <w:szCs w:val="20"/>
                <w:lang w:eastAsia="en-US"/>
              </w:rPr>
              <w:t xml:space="preserve">Moravskoslezský </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49</w:t>
            </w:r>
          </w:p>
        </w:tc>
      </w:tr>
      <w:tr w:rsidR="00F5122D" w:rsidTr="00AA4D66">
        <w:trPr>
          <w:trHeight w:val="286"/>
        </w:trPr>
        <w:tc>
          <w:tcPr>
            <w:tcW w:w="885"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b/>
                <w:bCs/>
                <w:color w:val="000000"/>
                <w:sz w:val="20"/>
                <w:szCs w:val="20"/>
                <w:lang w:eastAsia="en-US"/>
              </w:rPr>
            </w:pPr>
            <w:r>
              <w:rPr>
                <w:b/>
                <w:bCs/>
                <w:color w:val="000000"/>
                <w:sz w:val="20"/>
                <w:szCs w:val="20"/>
                <w:lang w:eastAsia="en-US"/>
              </w:rPr>
              <w:t>ČR</w:t>
            </w:r>
          </w:p>
        </w:tc>
        <w:tc>
          <w:tcPr>
            <w:tcW w:w="320"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38</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328</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239</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76</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45</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10</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47</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61</w:t>
            </w:r>
          </w:p>
        </w:tc>
        <w:tc>
          <w:tcPr>
            <w:tcW w:w="422"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8</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852</w:t>
            </w:r>
          </w:p>
        </w:tc>
      </w:tr>
    </w:tbl>
    <w:p w:rsidR="00F5122D" w:rsidRDefault="00F5122D" w:rsidP="00F5122D">
      <w:pPr>
        <w:spacing w:before="120" w:after="120"/>
        <w:rPr>
          <w:rStyle w:val="Zdraznnjemn"/>
          <w:rFonts w:ascii="Calibri" w:hAnsi="Calibri"/>
        </w:rPr>
      </w:pPr>
      <w:r>
        <w:rPr>
          <w:rStyle w:val="Zdraznnjemn"/>
          <w:rFonts w:eastAsiaTheme="minorHAnsi"/>
        </w:rPr>
        <w:t>Zdroj: KPMG 2011</w:t>
      </w:r>
    </w:p>
    <w:p w:rsidR="00F5122D" w:rsidRDefault="00F5122D" w:rsidP="000B3B9C">
      <w:pPr>
        <w:pStyle w:val="Titulek"/>
      </w:pPr>
      <w:bookmarkStart w:id="179" w:name="_Toc478118089"/>
      <w:bookmarkStart w:id="180" w:name="_Toc488233491"/>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14</w:t>
      </w:r>
      <w:r w:rsidR="004F2330">
        <w:fldChar w:fldCharType="end"/>
      </w:r>
      <w:r>
        <w:t>: Celková kapacita konferenčních zařízení v krajích v roce 2011</w:t>
      </w:r>
      <w:bookmarkEnd w:id="179"/>
      <w:bookmarkEnd w:id="180"/>
    </w:p>
    <w:tbl>
      <w:tblPr>
        <w:tblW w:w="5000" w:type="pct"/>
        <w:tblCellMar>
          <w:left w:w="70" w:type="dxa"/>
          <w:right w:w="70" w:type="dxa"/>
        </w:tblCellMar>
        <w:tblLook w:val="04A0" w:firstRow="1" w:lastRow="0" w:firstColumn="1" w:lastColumn="0" w:noHBand="0" w:noVBand="1"/>
      </w:tblPr>
      <w:tblGrid>
        <w:gridCol w:w="1533"/>
        <w:gridCol w:w="748"/>
        <w:gridCol w:w="748"/>
        <w:gridCol w:w="748"/>
        <w:gridCol w:w="877"/>
        <w:gridCol w:w="748"/>
        <w:gridCol w:w="748"/>
        <w:gridCol w:w="772"/>
        <w:gridCol w:w="748"/>
        <w:gridCol w:w="748"/>
        <w:gridCol w:w="794"/>
      </w:tblGrid>
      <w:tr w:rsidR="00F5122D" w:rsidTr="00F5122D">
        <w:trPr>
          <w:cantSplit/>
          <w:trHeight w:val="1239"/>
        </w:trPr>
        <w:tc>
          <w:tcPr>
            <w:tcW w:w="834"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left"/>
              <w:rPr>
                <w:b/>
                <w:bCs/>
                <w:color w:val="000000"/>
                <w:sz w:val="20"/>
                <w:szCs w:val="20"/>
                <w:lang w:eastAsia="en-US"/>
              </w:rPr>
            </w:pPr>
            <w:r>
              <w:rPr>
                <w:b/>
                <w:bCs/>
                <w:color w:val="000000"/>
                <w:sz w:val="20"/>
                <w:szCs w:val="20"/>
                <w:lang w:eastAsia="en-US"/>
              </w:rPr>
              <w:t>ČR, kraj</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hotel 5*</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hotel 4*</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hotel 3*</w:t>
            </w:r>
          </w:p>
        </w:tc>
        <w:tc>
          <w:tcPr>
            <w:tcW w:w="47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konferenční centrum</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bývalý kulturní dům</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výstaviště</w:t>
            </w:r>
          </w:p>
        </w:tc>
        <w:tc>
          <w:tcPr>
            <w:tcW w:w="421"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postaveno před r. 1900</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kulturní zařízení</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 xml:space="preserve">sportovní hala </w:t>
            </w:r>
          </w:p>
        </w:tc>
        <w:tc>
          <w:tcPr>
            <w:tcW w:w="408" w:type="pct"/>
            <w:tcBorders>
              <w:top w:val="single" w:sz="4" w:space="0" w:color="auto"/>
              <w:left w:val="nil"/>
              <w:bottom w:val="single" w:sz="4" w:space="0" w:color="auto"/>
              <w:right w:val="single" w:sz="4" w:space="0" w:color="auto"/>
            </w:tcBorders>
            <w:noWrap/>
            <w:textDirection w:val="btLr"/>
            <w:vAlign w:val="center"/>
            <w:hideMark/>
          </w:tcPr>
          <w:p w:rsidR="00F5122D" w:rsidRDefault="00F5122D" w:rsidP="00F5122D">
            <w:pPr>
              <w:spacing w:after="0"/>
              <w:ind w:left="113" w:right="113"/>
              <w:jc w:val="center"/>
              <w:rPr>
                <w:b/>
                <w:bCs/>
                <w:color w:val="000000"/>
                <w:sz w:val="20"/>
                <w:szCs w:val="20"/>
                <w:lang w:eastAsia="en-US"/>
              </w:rPr>
            </w:pPr>
            <w:r>
              <w:rPr>
                <w:b/>
                <w:bCs/>
                <w:color w:val="000000"/>
                <w:sz w:val="20"/>
                <w:szCs w:val="20"/>
                <w:lang w:eastAsia="en-US"/>
              </w:rPr>
              <w:t>Celkem</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Hl. m. Praha</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14 163</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29 859</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7 374</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19 766</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2 411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47 520</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13 044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19 741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13 430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167 308</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Středočeský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5 594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6 604</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2 490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1 305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4 500</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3 115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1 797</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25 405</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Jihočeský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6 044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3 151</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1 905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2 824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1 100</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3 883</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3 909</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5 870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28 686</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Plzeňský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4 627</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1 825</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1 910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700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664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1 737</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11 463</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b/>
                <w:bCs/>
                <w:color w:val="000000"/>
                <w:sz w:val="20"/>
                <w:szCs w:val="20"/>
                <w:lang w:eastAsia="en-US"/>
              </w:rPr>
            </w:pPr>
            <w:r>
              <w:rPr>
                <w:b/>
                <w:bCs/>
                <w:color w:val="000000"/>
                <w:sz w:val="20"/>
                <w:szCs w:val="20"/>
                <w:lang w:eastAsia="en-US"/>
              </w:rPr>
              <w:t xml:space="preserve">Karlovarský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1 823</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4 004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4 161</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2 308</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1 210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240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4 400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18 146</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Ústecký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1 775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902</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280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2 953</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1 000</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716</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2 480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10 106</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Liberecký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3 434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1 890</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1 095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1 622</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2 500</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277</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2 109</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6 000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18 927</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Královehradecký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3 844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3 059</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1 510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1 695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1 766</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11 874</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Pardubický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215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2 051</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5 029</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1 865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1 796</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2 084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6 000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19 040</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Vysočina</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1 640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6 001</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1 886</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1 589</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637</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11 838</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Jihomoravský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7 096</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6 698</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3 842</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2 774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30 471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3 790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4 111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5 000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63 782</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Olomoucký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2151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4 076</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3 558</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845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2 000</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1 984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14 614</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Zlínský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1 525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4 726</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1 462</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2 021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9 734</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color w:val="000000"/>
                <w:sz w:val="20"/>
                <w:szCs w:val="20"/>
                <w:lang w:eastAsia="en-US"/>
              </w:rPr>
            </w:pPr>
            <w:r>
              <w:rPr>
                <w:color w:val="000000"/>
                <w:sz w:val="20"/>
                <w:szCs w:val="20"/>
                <w:lang w:eastAsia="en-US"/>
              </w:rPr>
              <w:t xml:space="preserve">Moravskoslezský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 </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2 191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6 580</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2 275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3 821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1 720</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1010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2 057</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color w:val="000000"/>
                <w:sz w:val="20"/>
                <w:szCs w:val="20"/>
                <w:lang w:eastAsia="en-US"/>
              </w:rPr>
            </w:pPr>
            <w:r>
              <w:rPr>
                <w:color w:val="000000"/>
                <w:sz w:val="20"/>
                <w:szCs w:val="20"/>
                <w:lang w:eastAsia="en-US"/>
              </w:rPr>
              <w:t>10 650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30 304</w:t>
            </w:r>
          </w:p>
        </w:tc>
      </w:tr>
      <w:tr w:rsidR="00F5122D" w:rsidTr="00F5122D">
        <w:trPr>
          <w:trHeight w:val="328"/>
        </w:trPr>
        <w:tc>
          <w:tcPr>
            <w:tcW w:w="834" w:type="pct"/>
            <w:tcBorders>
              <w:top w:val="nil"/>
              <w:left w:val="single" w:sz="4" w:space="0" w:color="auto"/>
              <w:bottom w:val="single" w:sz="4" w:space="0" w:color="auto"/>
              <w:right w:val="single" w:sz="4" w:space="0" w:color="auto"/>
            </w:tcBorders>
            <w:noWrap/>
            <w:vAlign w:val="bottom"/>
            <w:hideMark/>
          </w:tcPr>
          <w:p w:rsidR="00F5122D" w:rsidRDefault="00F5122D" w:rsidP="00F5122D">
            <w:pPr>
              <w:spacing w:after="0"/>
              <w:jc w:val="left"/>
              <w:rPr>
                <w:b/>
                <w:bCs/>
                <w:color w:val="000000"/>
                <w:sz w:val="20"/>
                <w:szCs w:val="20"/>
                <w:lang w:eastAsia="en-US"/>
              </w:rPr>
            </w:pPr>
            <w:r>
              <w:rPr>
                <w:b/>
                <w:bCs/>
                <w:color w:val="000000"/>
                <w:sz w:val="20"/>
                <w:szCs w:val="20"/>
                <w:lang w:eastAsia="en-US"/>
              </w:rPr>
              <w:t>ČR</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15 986</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73 999</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59 098</w:t>
            </w:r>
          </w:p>
        </w:tc>
        <w:tc>
          <w:tcPr>
            <w:tcW w:w="4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47 854</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25 381</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90 811</w:t>
            </w:r>
          </w:p>
        </w:tc>
        <w:tc>
          <w:tcPr>
            <w:tcW w:w="421"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30 075</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46 673</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51 350</w:t>
            </w:r>
          </w:p>
        </w:tc>
        <w:tc>
          <w:tcPr>
            <w:tcW w:w="40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color w:val="000000"/>
                <w:sz w:val="20"/>
                <w:szCs w:val="20"/>
                <w:lang w:eastAsia="en-US"/>
              </w:rPr>
            </w:pPr>
            <w:r>
              <w:rPr>
                <w:b/>
                <w:bCs/>
                <w:color w:val="000000"/>
                <w:sz w:val="20"/>
                <w:szCs w:val="20"/>
                <w:lang w:eastAsia="en-US"/>
              </w:rPr>
              <w:t>441 227</w:t>
            </w:r>
          </w:p>
        </w:tc>
      </w:tr>
    </w:tbl>
    <w:p w:rsidR="00F5122D" w:rsidRPr="00E74659" w:rsidRDefault="00F5122D" w:rsidP="00E74659">
      <w:pPr>
        <w:spacing w:before="120" w:after="120"/>
        <w:rPr>
          <w:rStyle w:val="Zdraznnjemn"/>
          <w:rFonts w:eastAsiaTheme="minorHAnsi"/>
        </w:rPr>
      </w:pPr>
      <w:r>
        <w:rPr>
          <w:rStyle w:val="Zdraznnjemn"/>
          <w:rFonts w:eastAsiaTheme="minorHAnsi"/>
        </w:rPr>
        <w:t>Zdroj: KPMG 2011</w:t>
      </w:r>
    </w:p>
    <w:p w:rsidR="00F5122D" w:rsidRDefault="00F5122D" w:rsidP="00F5122D">
      <w:pPr>
        <w:spacing w:after="160"/>
      </w:pPr>
      <w:r>
        <w:lastRenderedPageBreak/>
        <w:t xml:space="preserve">Nicméně </w:t>
      </w:r>
      <w:r w:rsidRPr="00414AB7">
        <w:rPr>
          <w:b/>
        </w:rPr>
        <w:t>počtem konferencí</w:t>
      </w:r>
      <w:r>
        <w:t xml:space="preserve">, které byly v KK konány, </w:t>
      </w:r>
      <w:r w:rsidRPr="00414AB7">
        <w:rPr>
          <w:b/>
        </w:rPr>
        <w:t>se KK dlouhodobě řadí na poslední místo</w:t>
      </w:r>
      <w:r>
        <w:t xml:space="preserve"> v porovnání s ostatními kraji ČR (tabulka 8.15). Podíl konferencí konaných v KK na celkovém počtu konferencí konaných v ČR v roce 2015 činil pouhých 0,6 %. Stejně tak tomu je i z hlediska počtu účastníků konferencí. Jejich počet v KK navíc výrazně poklesl, a to z ca 30 tis. v roce 2006 na ca 6,5 tis. v roce 2015 (tabulka 8.15). </w:t>
      </w:r>
      <w:r>
        <w:rPr>
          <w:b/>
        </w:rPr>
        <w:t xml:space="preserve">V Karlovarském kraji tak jako v jediném kraji v Česku dochází ke snižování počtu účastníků akcí. </w:t>
      </w:r>
    </w:p>
    <w:p w:rsidR="00F5122D" w:rsidRDefault="00F5122D" w:rsidP="000B3B9C">
      <w:pPr>
        <w:pStyle w:val="Titulek"/>
      </w:pPr>
      <w:bookmarkStart w:id="181" w:name="_Toc478118090"/>
      <w:bookmarkStart w:id="182" w:name="_Toc488233492"/>
      <w:r>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15</w:t>
      </w:r>
      <w:r w:rsidR="004F2330">
        <w:fldChar w:fldCharType="end"/>
      </w:r>
      <w:r>
        <w:t xml:space="preserve"> Počet konferencí v krajích v letech 2011</w:t>
      </w:r>
      <w:r w:rsidR="00955AC0">
        <w:t xml:space="preserve"> </w:t>
      </w:r>
      <w:r>
        <w:t>–</w:t>
      </w:r>
      <w:r w:rsidR="00955AC0">
        <w:t xml:space="preserve"> </w:t>
      </w:r>
      <w:r>
        <w:t>2015</w:t>
      </w:r>
      <w:bookmarkEnd w:id="181"/>
      <w:bookmarkEnd w:id="182"/>
    </w:p>
    <w:tbl>
      <w:tblPr>
        <w:tblW w:w="5000" w:type="pct"/>
        <w:tblLayout w:type="fixed"/>
        <w:tblCellMar>
          <w:left w:w="70" w:type="dxa"/>
          <w:right w:w="70" w:type="dxa"/>
        </w:tblCellMar>
        <w:tblLook w:val="04A0" w:firstRow="1" w:lastRow="0" w:firstColumn="1" w:lastColumn="0" w:noHBand="0" w:noVBand="1"/>
      </w:tblPr>
      <w:tblGrid>
        <w:gridCol w:w="1715"/>
        <w:gridCol w:w="1249"/>
        <w:gridCol w:w="1251"/>
        <w:gridCol w:w="1251"/>
        <w:gridCol w:w="1251"/>
        <w:gridCol w:w="1251"/>
        <w:gridCol w:w="1244"/>
      </w:tblGrid>
      <w:tr w:rsidR="00F5122D" w:rsidTr="00F5122D">
        <w:trPr>
          <w:trHeight w:val="502"/>
          <w:tblHeader/>
        </w:trPr>
        <w:tc>
          <w:tcPr>
            <w:tcW w:w="931" w:type="pct"/>
            <w:tcBorders>
              <w:top w:val="single" w:sz="4" w:space="0" w:color="auto"/>
              <w:left w:val="single" w:sz="4" w:space="0" w:color="auto"/>
              <w:bottom w:val="single" w:sz="4" w:space="0" w:color="auto"/>
              <w:right w:val="single" w:sz="4" w:space="0" w:color="000000"/>
            </w:tcBorders>
            <w:noWrap/>
            <w:vAlign w:val="center"/>
            <w:hideMark/>
          </w:tcPr>
          <w:p w:rsidR="00F5122D" w:rsidRDefault="00F5122D" w:rsidP="00F5122D">
            <w:pPr>
              <w:spacing w:after="0"/>
              <w:jc w:val="left"/>
              <w:rPr>
                <w:bCs/>
                <w:sz w:val="20"/>
                <w:szCs w:val="20"/>
                <w:lang w:eastAsia="en-US"/>
              </w:rPr>
            </w:pPr>
            <w:r>
              <w:rPr>
                <w:b/>
                <w:bCs/>
                <w:color w:val="000000"/>
                <w:sz w:val="20"/>
                <w:szCs w:val="20"/>
                <w:lang w:eastAsia="en-US"/>
              </w:rPr>
              <w:t>ČR, kraj</w:t>
            </w:r>
          </w:p>
        </w:tc>
        <w:tc>
          <w:tcPr>
            <w:tcW w:w="678"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2011</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2012</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2013</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2014</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2015</w:t>
            </w:r>
          </w:p>
        </w:tc>
        <w:tc>
          <w:tcPr>
            <w:tcW w:w="677" w:type="pct"/>
            <w:tcBorders>
              <w:top w:val="single" w:sz="4" w:space="0" w:color="auto"/>
              <w:left w:val="single" w:sz="4" w:space="0" w:color="auto"/>
              <w:bottom w:val="single" w:sz="4" w:space="0" w:color="auto"/>
              <w:right w:val="single" w:sz="4" w:space="0" w:color="auto"/>
            </w:tcBorders>
            <w:hideMark/>
          </w:tcPr>
          <w:p w:rsidR="00F5122D" w:rsidRDefault="00F5122D" w:rsidP="00F5122D">
            <w:pPr>
              <w:spacing w:after="0"/>
              <w:jc w:val="center"/>
              <w:rPr>
                <w:b/>
                <w:bCs/>
                <w:sz w:val="20"/>
                <w:szCs w:val="20"/>
                <w:lang w:eastAsia="en-US"/>
              </w:rPr>
            </w:pPr>
            <w:r>
              <w:rPr>
                <w:b/>
                <w:bCs/>
                <w:sz w:val="20"/>
                <w:szCs w:val="20"/>
                <w:lang w:eastAsia="en-US"/>
              </w:rPr>
              <w:t>Podíl na celkovém počtu konferencí v roce 2015 (v %)</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r>
              <w:rPr>
                <w:b/>
                <w:bCs/>
                <w:sz w:val="20"/>
                <w:szCs w:val="20"/>
                <w:lang w:eastAsia="en-US"/>
              </w:rPr>
              <w:t xml:space="preserve">ČR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10 601</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11 547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10 040</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10 446</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12 788</w:t>
            </w:r>
          </w:p>
        </w:tc>
        <w:tc>
          <w:tcPr>
            <w:tcW w:w="677" w:type="pct"/>
            <w:tcBorders>
              <w:top w:val="nil"/>
              <w:left w:val="nil"/>
              <w:bottom w:val="single" w:sz="4" w:space="0" w:color="auto"/>
              <w:right w:val="single" w:sz="4" w:space="0" w:color="auto"/>
            </w:tcBorders>
            <w:hideMark/>
          </w:tcPr>
          <w:p w:rsidR="00F5122D" w:rsidRDefault="00F5122D" w:rsidP="00F5122D">
            <w:pPr>
              <w:spacing w:after="0"/>
              <w:jc w:val="center"/>
              <w:rPr>
                <w:sz w:val="20"/>
                <w:szCs w:val="20"/>
                <w:lang w:eastAsia="en-US"/>
              </w:rPr>
            </w:pPr>
            <w:r>
              <w:rPr>
                <w:sz w:val="20"/>
                <w:szCs w:val="20"/>
                <w:lang w:eastAsia="en-US"/>
              </w:rPr>
              <w:t>-</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Hl.  m. Praha</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4 030</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4 264</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3 427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3 667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4 187</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32,7</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Středočeský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631</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712</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532</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427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772</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6,0</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Jihočeský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255</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320</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373</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462</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526</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4,1</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Plzeňský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415</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430</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518</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458</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546</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4,3</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
                <w:bCs/>
                <w:sz w:val="20"/>
                <w:szCs w:val="20"/>
                <w:lang w:eastAsia="en-US"/>
              </w:rPr>
            </w:pPr>
            <w:r>
              <w:rPr>
                <w:b/>
                <w:bCs/>
                <w:sz w:val="20"/>
                <w:szCs w:val="20"/>
                <w:lang w:eastAsia="en-US"/>
              </w:rPr>
              <w:t xml:space="preserve">Karlovarský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82</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68</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52</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47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b/>
                <w:bCs/>
                <w:sz w:val="20"/>
                <w:szCs w:val="20"/>
                <w:lang w:eastAsia="en-US"/>
              </w:rPr>
            </w:pPr>
            <w:r>
              <w:rPr>
                <w:b/>
                <w:bCs/>
                <w:sz w:val="20"/>
                <w:szCs w:val="20"/>
                <w:lang w:eastAsia="en-US"/>
              </w:rPr>
              <w:t>83</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b/>
                <w:bCs/>
                <w:sz w:val="20"/>
                <w:szCs w:val="20"/>
                <w:lang w:eastAsia="en-US"/>
              </w:rPr>
            </w:pPr>
            <w:r>
              <w:rPr>
                <w:color w:val="000000"/>
                <w:sz w:val="20"/>
                <w:lang w:eastAsia="en-US"/>
              </w:rPr>
              <w:t>0,6</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Ústecký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141</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267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272</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211</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483</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3,8</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Liberecký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291</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365</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258</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269</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349</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2,7</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Královéhradecký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392</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304</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303</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319</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339</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2,7</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Pardubický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387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351</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427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409</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460</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3,6</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Vysočina</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667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630</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940</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835</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951</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7,4</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Jihomoravský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1 659</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1 947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1 579</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1 453</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2 107</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16,5</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Olomoucký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357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325</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401</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577</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789</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6,2</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Zlínský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286</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486</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345</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568</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576</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4,5</w:t>
            </w:r>
          </w:p>
        </w:tc>
      </w:tr>
      <w:tr w:rsidR="00F5122D" w:rsidTr="00F5122D">
        <w:trPr>
          <w:trHeight w:val="20"/>
        </w:trPr>
        <w:tc>
          <w:tcPr>
            <w:tcW w:w="931" w:type="pct"/>
            <w:tcBorders>
              <w:top w:val="nil"/>
              <w:left w:val="single" w:sz="4" w:space="0" w:color="auto"/>
              <w:bottom w:val="single" w:sz="4" w:space="0" w:color="auto"/>
              <w:right w:val="single" w:sz="4" w:space="0" w:color="auto"/>
            </w:tcBorders>
            <w:vAlign w:val="center"/>
            <w:hideMark/>
          </w:tcPr>
          <w:p w:rsidR="00F5122D" w:rsidRDefault="00F5122D" w:rsidP="00F5122D">
            <w:pPr>
              <w:spacing w:after="0"/>
              <w:jc w:val="left"/>
              <w:rPr>
                <w:bCs/>
                <w:sz w:val="20"/>
                <w:szCs w:val="20"/>
                <w:lang w:eastAsia="en-US"/>
              </w:rPr>
            </w:pPr>
            <w:r>
              <w:rPr>
                <w:bCs/>
                <w:sz w:val="20"/>
                <w:szCs w:val="20"/>
                <w:lang w:eastAsia="en-US"/>
              </w:rPr>
              <w:t xml:space="preserve">Moravskoslezský </w:t>
            </w:r>
          </w:p>
        </w:tc>
        <w:tc>
          <w:tcPr>
            <w:tcW w:w="678"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1 008</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1 078</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613</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744</w:t>
            </w:r>
          </w:p>
        </w:tc>
        <w:tc>
          <w:tcPr>
            <w:tcW w:w="679" w:type="pct"/>
            <w:tcBorders>
              <w:top w:val="nil"/>
              <w:left w:val="nil"/>
              <w:bottom w:val="single" w:sz="4" w:space="0" w:color="auto"/>
              <w:right w:val="single" w:sz="4" w:space="0" w:color="auto"/>
            </w:tcBorders>
            <w:noWrap/>
            <w:vAlign w:val="center"/>
            <w:hideMark/>
          </w:tcPr>
          <w:p w:rsidR="00F5122D" w:rsidRDefault="00F5122D" w:rsidP="00F5122D">
            <w:pPr>
              <w:spacing w:after="0"/>
              <w:jc w:val="center"/>
              <w:rPr>
                <w:sz w:val="20"/>
                <w:szCs w:val="20"/>
                <w:lang w:eastAsia="en-US"/>
              </w:rPr>
            </w:pPr>
            <w:r>
              <w:rPr>
                <w:sz w:val="20"/>
                <w:szCs w:val="20"/>
                <w:lang w:eastAsia="en-US"/>
              </w:rPr>
              <w:t>620</w:t>
            </w:r>
          </w:p>
        </w:tc>
        <w:tc>
          <w:tcPr>
            <w:tcW w:w="677" w:type="pct"/>
            <w:tcBorders>
              <w:top w:val="nil"/>
              <w:left w:val="nil"/>
              <w:bottom w:val="single" w:sz="4" w:space="0" w:color="auto"/>
              <w:right w:val="single" w:sz="4" w:space="0" w:color="auto"/>
            </w:tcBorders>
            <w:vAlign w:val="bottom"/>
            <w:hideMark/>
          </w:tcPr>
          <w:p w:rsidR="00F5122D" w:rsidRDefault="00F5122D" w:rsidP="00F5122D">
            <w:pPr>
              <w:spacing w:after="0"/>
              <w:jc w:val="center"/>
              <w:rPr>
                <w:sz w:val="20"/>
                <w:szCs w:val="20"/>
                <w:lang w:eastAsia="en-US"/>
              </w:rPr>
            </w:pPr>
            <w:r>
              <w:rPr>
                <w:color w:val="000000"/>
                <w:sz w:val="20"/>
                <w:lang w:eastAsia="en-US"/>
              </w:rPr>
              <w:t>4,8</w:t>
            </w:r>
          </w:p>
        </w:tc>
      </w:tr>
    </w:tbl>
    <w:p w:rsidR="00F5122D" w:rsidRDefault="00F5122D" w:rsidP="00F5122D">
      <w:pPr>
        <w:spacing w:before="120" w:after="0" w:line="240" w:lineRule="auto"/>
        <w:rPr>
          <w:rStyle w:val="Zdraznnjemn"/>
          <w:rFonts w:ascii="Calibri" w:hAnsi="Calibri"/>
        </w:rPr>
      </w:pPr>
      <w:r>
        <w:rPr>
          <w:rStyle w:val="Zdraznnjemn"/>
          <w:rFonts w:eastAsiaTheme="minorHAnsi"/>
        </w:rPr>
        <w:t xml:space="preserve">Pozn. Počet kongresů/konferencí a počet účastníků na těchto akcích je zjišťován výkazy o návštěvnosti </w:t>
      </w:r>
      <w:r>
        <w:rPr>
          <w:rStyle w:val="Zdraznnjemn"/>
          <w:rFonts w:eastAsiaTheme="minorHAnsi"/>
        </w:rPr>
        <w:br/>
        <w:t>v hromadných ubytovacích zařízeních. Do počtu zařízení jsou od roku 2009 zahrnuta všechna hromadná ubytovací zařízení, která v průběhu sledovaného období vykázala alespoň jednu akci s 50 a více účastníky. Do roku 2008 to byla všechna zařízení, která vykázala alespoň jednu akci nad 100 účastníků.</w:t>
      </w:r>
    </w:p>
    <w:p w:rsidR="00F5122D" w:rsidRDefault="00F5122D" w:rsidP="00F5122D">
      <w:pPr>
        <w:spacing w:after="120" w:line="240" w:lineRule="auto"/>
        <w:rPr>
          <w:rStyle w:val="Zdraznnjemn"/>
          <w:rFonts w:eastAsiaTheme="minorHAnsi"/>
        </w:rPr>
      </w:pPr>
      <w:r>
        <w:rPr>
          <w:rStyle w:val="Zdraznnjemn"/>
          <w:rFonts w:eastAsiaTheme="minorHAnsi"/>
        </w:rPr>
        <w:t>Zdroj: ČSÚ - Veřejná databáze</w:t>
      </w:r>
    </w:p>
    <w:p w:rsidR="00F5122D" w:rsidRDefault="00F5122D" w:rsidP="00F5122D">
      <w:pPr>
        <w:spacing w:after="160" w:line="259" w:lineRule="auto"/>
        <w:jc w:val="left"/>
        <w:rPr>
          <w:rStyle w:val="Zdraznnjemn"/>
          <w:rFonts w:eastAsiaTheme="minorHAnsi"/>
        </w:rPr>
      </w:pPr>
      <w:r>
        <w:rPr>
          <w:rStyle w:val="Zdraznnjemn"/>
          <w:rFonts w:eastAsiaTheme="minorHAnsi"/>
        </w:rPr>
        <w:br w:type="page"/>
      </w:r>
    </w:p>
    <w:p w:rsidR="009E424D" w:rsidRDefault="00F5122D">
      <w:pPr>
        <w:pStyle w:val="Titulek"/>
      </w:pPr>
      <w:bookmarkStart w:id="183" w:name="_Toc478118091"/>
      <w:bookmarkStart w:id="184" w:name="_Toc488233493"/>
      <w:r>
        <w:lastRenderedPageBreak/>
        <w:t xml:space="preserve">Tabulka </w:t>
      </w:r>
      <w:r w:rsidR="004F2330">
        <w:fldChar w:fldCharType="begin"/>
      </w:r>
      <w:r w:rsidR="004F2330">
        <w:instrText xml:space="preserve"> STYLEREF 1 \s </w:instrText>
      </w:r>
      <w:r w:rsidR="004F2330">
        <w:fldChar w:fldCharType="separate"/>
      </w:r>
      <w:r w:rsidR="00CB29BD">
        <w:t>8</w:t>
      </w:r>
      <w:r w:rsidR="004F2330">
        <w:fldChar w:fldCharType="end"/>
      </w:r>
      <w:r>
        <w:t>.</w:t>
      </w:r>
      <w:r w:rsidR="004F2330">
        <w:fldChar w:fldCharType="begin"/>
      </w:r>
      <w:r w:rsidR="004F2330">
        <w:instrText xml:space="preserve"> SEQ Tabulka \* ARABIC \s 1 </w:instrText>
      </w:r>
      <w:r w:rsidR="004F2330">
        <w:fldChar w:fldCharType="separate"/>
      </w:r>
      <w:r w:rsidR="00CB29BD">
        <w:t>16</w:t>
      </w:r>
      <w:r w:rsidR="004F2330">
        <w:fldChar w:fldCharType="end"/>
      </w:r>
      <w:r>
        <w:t>: Počet účastníků konferencí v krajích v letech 2006 – 2015</w:t>
      </w:r>
      <w:bookmarkEnd w:id="183"/>
      <w:bookmarkEnd w:id="184"/>
    </w:p>
    <w:tbl>
      <w:tblPr>
        <w:tblW w:w="5000" w:type="pct"/>
        <w:tblCellMar>
          <w:left w:w="70" w:type="dxa"/>
          <w:right w:w="70" w:type="dxa"/>
        </w:tblCellMar>
        <w:tblLook w:val="04A0" w:firstRow="1" w:lastRow="0" w:firstColumn="1" w:lastColumn="0" w:noHBand="0" w:noVBand="1"/>
      </w:tblPr>
      <w:tblGrid>
        <w:gridCol w:w="818"/>
        <w:gridCol w:w="814"/>
        <w:gridCol w:w="815"/>
        <w:gridCol w:w="815"/>
        <w:gridCol w:w="850"/>
        <w:gridCol w:w="850"/>
        <w:gridCol w:w="850"/>
        <w:gridCol w:w="850"/>
        <w:gridCol w:w="850"/>
        <w:gridCol w:w="850"/>
        <w:gridCol w:w="850"/>
      </w:tblGrid>
      <w:tr w:rsidR="00F5122D" w:rsidRPr="004379B0" w:rsidTr="00F5122D">
        <w:trPr>
          <w:trHeight w:val="300"/>
        </w:trPr>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 </w:t>
            </w:r>
            <w:r w:rsidRPr="004379B0">
              <w:rPr>
                <w:rFonts w:cs="Times New Roman"/>
                <w:b/>
                <w:bCs/>
                <w:color w:val="000000"/>
                <w:sz w:val="20"/>
                <w:szCs w:val="20"/>
                <w:lang w:eastAsia="en-US"/>
              </w:rPr>
              <w:t>ČR, kraj</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2006</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2007</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2008</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2009</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2010</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2011</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2012</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2013</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2014</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2015</w:t>
            </w:r>
          </w:p>
        </w:tc>
      </w:tr>
      <w:tr w:rsidR="00F5122D" w:rsidRPr="004379B0" w:rsidTr="00F5122D">
        <w:trPr>
          <w:trHeight w:val="408"/>
        </w:trPr>
        <w:tc>
          <w:tcPr>
            <w:tcW w:w="393"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c>
          <w:tcPr>
            <w:tcW w:w="461" w:type="pct"/>
            <w:vMerge/>
            <w:tcBorders>
              <w:top w:val="single" w:sz="4" w:space="0" w:color="auto"/>
              <w:left w:val="single" w:sz="4" w:space="0" w:color="auto"/>
              <w:bottom w:val="single" w:sz="4" w:space="0" w:color="auto"/>
              <w:right w:val="single" w:sz="4" w:space="0" w:color="auto"/>
            </w:tcBorders>
            <w:vAlign w:val="center"/>
            <w:hideMark/>
          </w:tcPr>
          <w:p w:rsidR="00F5122D" w:rsidRPr="004379B0" w:rsidRDefault="00F5122D" w:rsidP="00F5122D">
            <w:pPr>
              <w:spacing w:after="0" w:line="240" w:lineRule="auto"/>
              <w:jc w:val="left"/>
              <w:rPr>
                <w:rFonts w:cs="Times New Roman"/>
                <w:b/>
                <w:bCs/>
                <w:color w:val="000000"/>
                <w:sz w:val="20"/>
                <w:szCs w:val="20"/>
              </w:rPr>
            </w:pP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b/>
                <w:bCs/>
                <w:color w:val="000000"/>
                <w:sz w:val="20"/>
                <w:szCs w:val="20"/>
              </w:rPr>
            </w:pPr>
            <w:r w:rsidRPr="004379B0">
              <w:rPr>
                <w:rFonts w:cs="Times New Roman"/>
                <w:b/>
                <w:bCs/>
                <w:color w:val="000000"/>
                <w:sz w:val="20"/>
                <w:szCs w:val="20"/>
                <w:lang w:eastAsia="en-US"/>
              </w:rPr>
              <w:t xml:space="preserve">ČR  </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655227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702586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761901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1192909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1295287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1350459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1535597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1282054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1388751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1407897</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PHA</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284358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302282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290649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484807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561350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577297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671812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549225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544847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536432</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STC</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40962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27310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21728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81524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94909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80519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86559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63579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54592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65283</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JHC</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10133</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9386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18019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20659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32785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23400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32640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40905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51109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45011</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PLK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14330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35397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40645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43205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43321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44552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53251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56261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49992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83274</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b/>
                <w:bCs/>
                <w:color w:val="000000"/>
                <w:sz w:val="20"/>
                <w:szCs w:val="20"/>
              </w:rPr>
            </w:pPr>
            <w:r w:rsidRPr="004379B0">
              <w:rPr>
                <w:rFonts w:cs="Times New Roman"/>
                <w:b/>
                <w:bCs/>
                <w:color w:val="000000"/>
                <w:sz w:val="20"/>
                <w:szCs w:val="20"/>
                <w:lang w:eastAsia="en-US"/>
              </w:rPr>
              <w:t>KVK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30078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34971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17997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11069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18072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13125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10144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7649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8941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b/>
                <w:bCs/>
                <w:color w:val="000000"/>
                <w:sz w:val="20"/>
                <w:szCs w:val="20"/>
              </w:rPr>
            </w:pPr>
            <w:r w:rsidRPr="004379B0">
              <w:rPr>
                <w:rFonts w:cs="Times New Roman"/>
                <w:b/>
                <w:bCs/>
                <w:color w:val="000000"/>
                <w:sz w:val="20"/>
                <w:szCs w:val="20"/>
                <w:lang w:eastAsia="en-US"/>
              </w:rPr>
              <w:t>6442</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ULK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5097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2730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590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3707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5886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10518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20654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27358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62001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55151</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LBK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6663</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6890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28194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30444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38450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34218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30193</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21401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43232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29310</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HKK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20621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21647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27938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38534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32725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43568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32711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32034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36905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37649</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PAK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10066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8917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11767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27492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29178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39255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35414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45778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51477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46253</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VYS</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31716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33671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31540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51411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45181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53557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51688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70188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67391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75189</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JHM</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131978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131630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167696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227786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222603</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214021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237044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192625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168309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200427</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OLK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18238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20470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15772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27692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35445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53716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36196</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58062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84607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106730</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ZLK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19293</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21645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17865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43880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37045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27235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48232</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31314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60301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47851</w:t>
            </w:r>
          </w:p>
        </w:tc>
      </w:tr>
      <w:tr w:rsidR="00F5122D" w:rsidRPr="004379B0" w:rsidTr="00F5122D">
        <w:trPr>
          <w:trHeight w:val="300"/>
        </w:trPr>
        <w:tc>
          <w:tcPr>
            <w:tcW w:w="393" w:type="pct"/>
            <w:tcBorders>
              <w:top w:val="nil"/>
              <w:left w:val="single" w:sz="4" w:space="0" w:color="auto"/>
              <w:bottom w:val="single" w:sz="4" w:space="0" w:color="auto"/>
              <w:right w:val="single" w:sz="4" w:space="0" w:color="auto"/>
            </w:tcBorders>
            <w:shd w:val="clear" w:color="auto" w:fill="auto"/>
            <w:vAlign w:val="center"/>
            <w:hideMark/>
          </w:tcPr>
          <w:p w:rsidR="00F5122D" w:rsidRPr="004379B0" w:rsidRDefault="00F5122D" w:rsidP="00F5122D">
            <w:pPr>
              <w:spacing w:after="0" w:line="240" w:lineRule="auto"/>
              <w:jc w:val="left"/>
              <w:rPr>
                <w:rFonts w:cs="Times New Roman"/>
                <w:color w:val="000000"/>
                <w:sz w:val="20"/>
                <w:szCs w:val="20"/>
              </w:rPr>
            </w:pPr>
            <w:r w:rsidRPr="004379B0">
              <w:rPr>
                <w:rFonts w:cs="Times New Roman"/>
                <w:bCs/>
                <w:color w:val="000000"/>
                <w:sz w:val="20"/>
                <w:szCs w:val="20"/>
                <w:lang w:eastAsia="en-US"/>
              </w:rPr>
              <w:t>MSK</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31694</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45640</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71501</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100699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98337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135478</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189059</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85675</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105047</w:t>
            </w:r>
          </w:p>
        </w:tc>
        <w:tc>
          <w:tcPr>
            <w:tcW w:w="461" w:type="pct"/>
            <w:tcBorders>
              <w:top w:val="nil"/>
              <w:left w:val="nil"/>
              <w:bottom w:val="single" w:sz="4" w:space="0" w:color="auto"/>
              <w:right w:val="single" w:sz="4" w:space="0" w:color="auto"/>
            </w:tcBorders>
            <w:shd w:val="clear" w:color="auto" w:fill="auto"/>
            <w:noWrap/>
            <w:vAlign w:val="center"/>
            <w:hideMark/>
          </w:tcPr>
          <w:p w:rsidR="00F5122D" w:rsidRPr="004379B0" w:rsidRDefault="00F5122D" w:rsidP="00F5122D">
            <w:pPr>
              <w:spacing w:after="0" w:line="240" w:lineRule="auto"/>
              <w:jc w:val="center"/>
              <w:rPr>
                <w:rFonts w:cs="Times New Roman"/>
                <w:color w:val="000000"/>
                <w:sz w:val="20"/>
                <w:szCs w:val="20"/>
              </w:rPr>
            </w:pPr>
            <w:r w:rsidRPr="004379B0">
              <w:rPr>
                <w:rFonts w:cs="Times New Roman"/>
                <w:color w:val="000000"/>
                <w:sz w:val="20"/>
                <w:szCs w:val="20"/>
                <w:lang w:eastAsia="en-US"/>
              </w:rPr>
              <w:t>72895</w:t>
            </w:r>
          </w:p>
        </w:tc>
      </w:tr>
    </w:tbl>
    <w:p w:rsidR="00F5122D" w:rsidRDefault="00F5122D" w:rsidP="00F5122D">
      <w:pPr>
        <w:spacing w:before="120" w:after="120"/>
        <w:rPr>
          <w:rStyle w:val="Zdraznnjemn"/>
          <w:rFonts w:ascii="Calibri" w:hAnsi="Calibri"/>
        </w:rPr>
      </w:pPr>
      <w:r>
        <w:rPr>
          <w:rStyle w:val="Zdraznnjemn"/>
          <w:rFonts w:eastAsiaTheme="minorHAnsi"/>
        </w:rPr>
        <w:t>Zdroj: ČSÚ - Veřejná databáze</w:t>
      </w:r>
    </w:p>
    <w:p w:rsidR="00F5122D" w:rsidRDefault="00F5122D" w:rsidP="00F5122D">
      <w:pPr>
        <w:spacing w:before="240"/>
      </w:pPr>
      <w:r>
        <w:t xml:space="preserve">Důvodem nízké míry využití výhodných podmínek pro rozvoj kongresové a incentivní turistiky může být téměř celoroční vytížení ubytovacích kapacit hromadných i lázeňských ubytovacích zařízení lázeňskými hosty, což neumožňuje realizaci akcí, které vyžadují vyšší kapacitu ubytovacích zařízení. Překážku představuje i perifernost kraje, s níž je spojená zhoršená dopravní dostupnost. V oblasti dopravy lze označit za bariéru nedostatečnou hustotu silniční sítě a omezená letecká spojení (více viz kapitola Pozemní dopravní infrastruktura). Důvodem může být i skutečnost, že pouze města Karlovy Vary a Mariánské Lázně jsou středisky nadregionálního významu v oblasti kongresového cestovního ruchu (dle Koncepce státní politiky v oblasti cestovního ruchu na období 2014–2020). </w:t>
      </w:r>
    </w:p>
    <w:p w:rsidR="00F5122D" w:rsidRDefault="00F5122D" w:rsidP="00F5122D">
      <w:r>
        <w:t>Za účelem podpory kongresové a incentivní turistiky v Karlovarském kraji byla zřízena nezisková agentura Carlsbad Convention Bureau, o.p.s.</w:t>
      </w:r>
      <w:r>
        <w:rPr>
          <w:vertAlign w:val="superscript"/>
        </w:rPr>
        <w:footnoteReference w:id="15"/>
      </w:r>
      <w:r>
        <w:t xml:space="preserve"> (dále jen CCB), jejíž aktivity cílí na zařazení Karlových Varů a Karlovarského kraje mezi prestižní destinace pro konání MICE akcí. CCB funguje jako centrální informační místo, které úzce spolupracuje s krajským úřadem Karlovarského kraje a podílí se na prezentaci města Karlovy Vary a kraje jako významných kongresových destinacích. Portál CCB je provázán s portálem Živý kraj (viz výše).</w:t>
      </w:r>
    </w:p>
    <w:p w:rsidR="00F5122D" w:rsidRDefault="00F5122D" w:rsidP="00F5122D">
      <w:pPr>
        <w:pStyle w:val="Nadpis2"/>
        <w:rPr>
          <w:rFonts w:ascii="Calibri" w:hAnsi="Calibri" w:cs="Calibri"/>
        </w:rPr>
      </w:pPr>
      <w:r>
        <w:rPr>
          <w:rFonts w:ascii="Calibri" w:hAnsi="Calibri" w:cs="Calibri"/>
        </w:rPr>
        <w:t>Turistika</w:t>
      </w:r>
    </w:p>
    <w:p w:rsidR="00F5122D" w:rsidRDefault="00F5122D" w:rsidP="00F5122D">
      <w:pPr>
        <w:tabs>
          <w:tab w:val="left" w:pos="1507"/>
        </w:tabs>
        <w:spacing w:before="240" w:after="0"/>
      </w:pPr>
      <w:r>
        <w:t xml:space="preserve">Pro většinu území Karlovarského kraje je charakteristická vysoká kvalita přírodního prostředí, o čemž vypovídá značné množství chráněných území (více viz kapitola Kvalita životního prostředí). Vlivem rozmanitosti přírodních podmínek a značnému množstvím přírodních atraktivit jsou v kraji příznivé podmínky pro rozvoj cestovního ruchu spojeného s aktivním trávením času, např. vodáctvím, zimními </w:t>
      </w:r>
      <w:r>
        <w:lastRenderedPageBreak/>
        <w:t xml:space="preserve">sporty, cykloturistikou, pěší turistikou. Turisticky vyhledávané lokality se nachází zejména v severozápadní části kraje – </w:t>
      </w:r>
      <w:r w:rsidR="00A506D1">
        <w:t xml:space="preserve">v </w:t>
      </w:r>
      <w:r>
        <w:t>Krušných horách a podkr</w:t>
      </w:r>
      <w:r w:rsidR="00A506D1">
        <w:t>u</w:t>
      </w:r>
      <w:r>
        <w:t>šnohoří. Významnou oblastí je Chráněná krajinná oblast Slavkovský les, která je unikátní množstvím přírodně hodnotných lokalit. Turisticky atrak</w:t>
      </w:r>
      <w:r w:rsidR="005B2F5E">
        <w:t>tivními lokalitami jsou i mokřad</w:t>
      </w:r>
      <w:r>
        <w:t>ní, rašeliništní a vodní biotopy (např. rašeliniště u Kladské, Soos na Chebsku, horská rašeliniště v Krušných horách) a ojedinělé geologické útvary (např. vyhaslá sopka Komorní hůrka).</w:t>
      </w:r>
    </w:p>
    <w:p w:rsidR="00F5122D" w:rsidRDefault="00F5122D" w:rsidP="00F5122D">
      <w:pPr>
        <w:tabs>
          <w:tab w:val="left" w:pos="1507"/>
        </w:tabs>
        <w:spacing w:before="240" w:after="0"/>
        <w:rPr>
          <w:b/>
        </w:rPr>
      </w:pPr>
      <w:r>
        <w:rPr>
          <w:b/>
        </w:rPr>
        <w:t>Zimní sporty</w:t>
      </w:r>
    </w:p>
    <w:p w:rsidR="00F5122D" w:rsidRDefault="00F5122D" w:rsidP="00F5122D">
      <w:pPr>
        <w:tabs>
          <w:tab w:val="left" w:pos="1507"/>
        </w:tabs>
        <w:spacing w:before="240" w:after="0"/>
      </w:pPr>
      <w:r>
        <w:t>V KK jsou příznivé podmínky pro sjezdové i běžecké lyžování. Pro oba typy sportů jsou nejvhodnější podmínky zejména v oblasti Krušných hor, kde lze nalézt téměř 20 skiareálů pro sjezdové lyžování (např. lyžařské skiareály Klínovec, Bublava, Boží dar, Plešivec atd.), snowparky a rozsáhlou síť běžeckých tratí</w:t>
      </w:r>
      <w:r>
        <w:rPr>
          <w:rStyle w:val="Znakapoznpodarou"/>
        </w:rPr>
        <w:footnoteReference w:id="16"/>
      </w:r>
      <w:r>
        <w:t>. V případě příznivých sněhových podmínek je běžkařům k dispozici přibližně 400 km běžeckých tras. Celou oblastí prochází Krušnohorská lyžařská magistrála, která je nadregionální trasou. Vyjma Krušných hor jsou významná i střediska na území Smrčin, Slavkovského lesa a v blízkosti měst Aš a Mariánské Lázně.</w:t>
      </w:r>
    </w:p>
    <w:p w:rsidR="00F5122D" w:rsidRDefault="00F5122D" w:rsidP="00F5122D">
      <w:pPr>
        <w:tabs>
          <w:tab w:val="left" w:pos="1507"/>
        </w:tabs>
        <w:spacing w:before="240" w:after="0"/>
        <w:rPr>
          <w:b/>
        </w:rPr>
      </w:pPr>
      <w:r>
        <w:rPr>
          <w:b/>
        </w:rPr>
        <w:t>Vodáctví a vodní turistika</w:t>
      </w:r>
    </w:p>
    <w:p w:rsidR="00F5122D" w:rsidRDefault="00F5122D" w:rsidP="00F5122D">
      <w:pPr>
        <w:tabs>
          <w:tab w:val="left" w:pos="1507"/>
        </w:tabs>
        <w:spacing w:before="240" w:after="0"/>
      </w:pPr>
      <w:r>
        <w:t xml:space="preserve">Vodácky atraktivní je řeka Ohře, do jejíhož povodí spadá téměř celé území kraje. V Karlovarském kraji je řeka splavná pro vodáky od Skalky do Perštejna (celkem 103,4 km). Podél celého toku Ohře lze nalézt řadu přírodních zajímavostí a památek. Výzvou do budoucna je zajištění odpovídajícího zázemí a služeb pro vodáky, které jsou vnímány jako nevyhovující z hlediska kapacity i kvality. Bariéru pro nápravu těchto skutečností však představuje legislativa neumožňující výstavbu v povodňových zónách. </w:t>
      </w:r>
    </w:p>
    <w:p w:rsidR="00F5122D" w:rsidRDefault="00F5122D" w:rsidP="00F5122D">
      <w:pPr>
        <w:tabs>
          <w:tab w:val="left" w:pos="1507"/>
        </w:tabs>
        <w:spacing w:before="240" w:after="0"/>
      </w:pPr>
      <w:r>
        <w:t>Znační potenciál (především pro rozvoj vodních sportů) představují zaplavovaná území, kterými jsou např. vodní nádrže Michal, Medard či Libík. Na některých z nich se již nyní rozvíjí aktivity spjaté s vodní turistikou (např. kiteboarding na jezeře Medard).</w:t>
      </w:r>
    </w:p>
    <w:p w:rsidR="00F5122D" w:rsidRDefault="00F5122D" w:rsidP="00F5122D">
      <w:pPr>
        <w:tabs>
          <w:tab w:val="left" w:pos="1507"/>
        </w:tabs>
        <w:spacing w:before="240" w:after="0"/>
        <w:rPr>
          <w:b/>
        </w:rPr>
      </w:pPr>
      <w:r>
        <w:rPr>
          <w:b/>
        </w:rPr>
        <w:t>Dostihy</w:t>
      </w:r>
    </w:p>
    <w:p w:rsidR="00F5122D" w:rsidRDefault="00F5122D" w:rsidP="00F5122D">
      <w:pPr>
        <w:spacing w:before="240"/>
      </w:pPr>
      <w:r>
        <w:t>V Karlovarském kraji mají tradici i dostihy, které jsou oblíbeným místem setkávání místních obyvatel</w:t>
      </w:r>
      <w:r>
        <w:br/>
        <w:t xml:space="preserve">i návštěvníků při příležitosti konání jezdeckých závodů. Dostihové závodiště Karlovy Vary se těší značné návštěvnosti zejména v období konání </w:t>
      </w:r>
      <w:hyperlink r:id="rId76" w:history="1">
        <w:r w:rsidRPr="00414AB7">
          <w:t>Mezinárodního Filmového Festivalu</w:t>
        </w:r>
      </w:hyperlink>
      <w:r w:rsidRPr="00231A32">
        <w:t>. Oblibě se těší i např. každoročně konaný Dostihový den evropské šlechty, na kterém se v Karlových Varech schází několik stovek členů šlechtických rodin z celé Evropy  s dalšími zástupci aristokracie.</w:t>
      </w:r>
    </w:p>
    <w:p w:rsidR="00F5122D" w:rsidRDefault="00F5122D" w:rsidP="00F5122D">
      <w:pPr>
        <w:tabs>
          <w:tab w:val="left" w:pos="1507"/>
        </w:tabs>
        <w:spacing w:before="240" w:after="0"/>
      </w:pPr>
      <w:r>
        <w:rPr>
          <w:b/>
        </w:rPr>
        <w:t>Pěší turistika</w:t>
      </w:r>
    </w:p>
    <w:p w:rsidR="00F5122D" w:rsidRDefault="00F5122D" w:rsidP="00F5122D">
      <w:pPr>
        <w:tabs>
          <w:tab w:val="left" w:pos="1507"/>
        </w:tabs>
        <w:spacing w:before="240" w:after="0"/>
      </w:pPr>
      <w:r>
        <w:t xml:space="preserve">Karlovarský kraj nabízí rozmanitou nabídku turisticky zajímavých lokalit pro aktivní trávení odpočinku, které vyjma pěší turistiky může zahrnovat i další podoby aktivní dovolené (např. nordic walking, geocaching). Kraj je protkán hustou sítí naučných a turistických tras, které vedou krásnou přírodou. </w:t>
      </w:r>
      <w:r>
        <w:lastRenderedPageBreak/>
        <w:t xml:space="preserve">Lokalitami bohatými na turistické trasy a i turistické cíle jsou zejména Krušné hory a Slavkovský les. Nelze však opomenout ani okolí historických měst a obcí. </w:t>
      </w:r>
    </w:p>
    <w:p w:rsidR="00F5122D" w:rsidRDefault="00F5122D" w:rsidP="00F5122D">
      <w:pPr>
        <w:tabs>
          <w:tab w:val="left" w:pos="1507"/>
        </w:tabs>
        <w:spacing w:before="240" w:after="0"/>
      </w:pPr>
      <w:r>
        <w:t xml:space="preserve">V kraji fungují i „doprovodné“ služby typu lanových center, in-line tratí (Rolava, Meandr, Areál u Habartova, Vrch Háje u Aše), sjezdovek pro </w:t>
      </w:r>
      <w:r w:rsidR="00E74659">
        <w:t>koloběžky</w:t>
      </w:r>
      <w:r>
        <w:t xml:space="preserve">, adrenalinových parků atd. </w:t>
      </w:r>
    </w:p>
    <w:p w:rsidR="00F5122D" w:rsidRDefault="00F5122D" w:rsidP="00F5122D">
      <w:pPr>
        <w:tabs>
          <w:tab w:val="left" w:pos="1507"/>
        </w:tabs>
        <w:spacing w:before="240" w:after="0"/>
        <w:rPr>
          <w:b/>
        </w:rPr>
      </w:pPr>
      <w:r>
        <w:rPr>
          <w:b/>
        </w:rPr>
        <w:t>Cykloturistika</w:t>
      </w:r>
    </w:p>
    <w:p w:rsidR="00F5122D" w:rsidRDefault="00F5122D" w:rsidP="00F5122D">
      <w:pPr>
        <w:tabs>
          <w:tab w:val="left" w:pos="1507"/>
        </w:tabs>
        <w:spacing w:before="240" w:after="0"/>
      </w:pPr>
      <w:r>
        <w:t>Vyznavačům cykloturistiky je k dispozici více než</w:t>
      </w:r>
      <w:r>
        <w:rPr>
          <w:b/>
          <w:bCs/>
        </w:rPr>
        <w:t xml:space="preserve"> </w:t>
      </w:r>
      <w:r>
        <w:rPr>
          <w:bCs/>
        </w:rPr>
        <w:t>2 000 km tras.</w:t>
      </w:r>
      <w:r>
        <w:t xml:space="preserve"> Jejich profily jsou vzhledem k pahorkatinnému rázu krajiny KK spíše náročné. Z celkové délky cyklotras představují 142 km evropské cyklotrasy (EV4 a EV13), 342 km cyklotrasy národní (viz níže), 113 km cyklotrasy regionální (204, 306, 352, 361, 632 a 604), 1326 km cyklotrasy místní (všechna čtyřmístná) a 120 km cyklotrasy tematické (značené logem).</w:t>
      </w:r>
    </w:p>
    <w:p w:rsidR="00F5122D" w:rsidRDefault="00F5122D" w:rsidP="00F5122D">
      <w:pPr>
        <w:tabs>
          <w:tab w:val="left" w:pos="1507"/>
        </w:tabs>
        <w:spacing w:before="240" w:after="0"/>
      </w:pPr>
      <w:r>
        <w:t>Značené cyklotrasy Karlovarského kraje lze rozdělit na 3 typy: dálkové; regionální a místní trasy; tematické trasy. Poslední dvě zmíněné skupiny jsou navázány na dálkové trasy, které zahrnují evropské cyklotrasy a cyklotrasy národní a jsou následující:</w:t>
      </w:r>
    </w:p>
    <w:p w:rsidR="00F5122D" w:rsidRDefault="00F5122D" w:rsidP="00F5122D">
      <w:pPr>
        <w:pStyle w:val="Odstavecseseznamem"/>
        <w:numPr>
          <w:ilvl w:val="0"/>
          <w:numId w:val="23"/>
        </w:numPr>
        <w:tabs>
          <w:tab w:val="left" w:pos="1507"/>
        </w:tabs>
        <w:spacing w:before="240" w:after="0"/>
        <w:jc w:val="left"/>
      </w:pPr>
      <w:r>
        <w:rPr>
          <w:bCs/>
        </w:rPr>
        <w:t>Páteřní cyklostezka Ohře</w:t>
      </w:r>
      <w:r>
        <w:rPr>
          <w:rStyle w:val="Znakapoznpodarou"/>
        </w:rPr>
        <w:footnoteReference w:id="17"/>
      </w:r>
      <w:r>
        <w:t>;</w:t>
      </w:r>
    </w:p>
    <w:p w:rsidR="00F5122D" w:rsidRPr="00131A3A" w:rsidRDefault="00D05E50" w:rsidP="00F5122D">
      <w:pPr>
        <w:pStyle w:val="Odstavecseseznamem"/>
        <w:numPr>
          <w:ilvl w:val="0"/>
          <w:numId w:val="23"/>
        </w:numPr>
        <w:tabs>
          <w:tab w:val="left" w:pos="1507"/>
        </w:tabs>
        <w:spacing w:before="240" w:after="0"/>
        <w:jc w:val="left"/>
      </w:pPr>
      <w:hyperlink r:id="rId77" w:history="1">
        <w:r w:rsidR="00F5122D" w:rsidRPr="00131A3A">
          <w:rPr>
            <w:rStyle w:val="Hypertextovodkaz"/>
            <w:rFonts w:eastAsia="Calibri"/>
            <w:bCs/>
            <w:color w:val="auto"/>
            <w:u w:val="none"/>
          </w:rPr>
          <w:t>EuroVelo trasa č. 4</w:t>
        </w:r>
      </w:hyperlink>
      <w:r w:rsidR="00F5122D" w:rsidRPr="00131A3A">
        <w:t> (Francie-ČR-Ukrajina);</w:t>
      </w:r>
    </w:p>
    <w:p w:rsidR="00F5122D" w:rsidRPr="00131A3A" w:rsidRDefault="00D05E50" w:rsidP="00F5122D">
      <w:pPr>
        <w:pStyle w:val="Odstavecseseznamem"/>
        <w:numPr>
          <w:ilvl w:val="0"/>
          <w:numId w:val="23"/>
        </w:numPr>
        <w:tabs>
          <w:tab w:val="left" w:pos="1507"/>
        </w:tabs>
        <w:spacing w:before="240" w:after="0"/>
        <w:jc w:val="left"/>
      </w:pPr>
      <w:hyperlink r:id="rId78" w:history="1">
        <w:r w:rsidR="00F5122D" w:rsidRPr="00131A3A">
          <w:rPr>
            <w:rStyle w:val="Hypertextovodkaz"/>
            <w:rFonts w:eastAsia="Calibri"/>
            <w:bCs/>
            <w:color w:val="auto"/>
            <w:u w:val="none"/>
          </w:rPr>
          <w:t>EuroVelo trasa č. 13</w:t>
        </w:r>
      </w:hyperlink>
      <w:r w:rsidR="00F5122D" w:rsidRPr="00131A3A">
        <w:t xml:space="preserve"> (</w:t>
      </w:r>
      <w:r w:rsidR="00F5122D">
        <w:rPr>
          <w:rStyle w:val="st"/>
          <w:rFonts w:eastAsia="Calibri"/>
        </w:rPr>
        <w:t>Iron Curtain Trail</w:t>
      </w:r>
      <w:r w:rsidR="00F5122D" w:rsidRPr="00131A3A">
        <w:t xml:space="preserve">) </w:t>
      </w:r>
      <w:r w:rsidR="00F5122D">
        <w:t>po ž</w:t>
      </w:r>
      <w:r w:rsidR="00F5122D" w:rsidRPr="00131A3A">
        <w:t>elezn</w:t>
      </w:r>
      <w:r w:rsidR="00F5122D">
        <w:t>é</w:t>
      </w:r>
      <w:r w:rsidR="00F5122D" w:rsidRPr="00131A3A">
        <w:t xml:space="preserve"> opon</w:t>
      </w:r>
      <w:r w:rsidR="00F5122D">
        <w:t>ě</w:t>
      </w:r>
      <w:r w:rsidR="00F5122D" w:rsidRPr="00131A3A">
        <w:t>;</w:t>
      </w:r>
    </w:p>
    <w:p w:rsidR="00F5122D" w:rsidRPr="00131A3A" w:rsidRDefault="00D05E50" w:rsidP="00F5122D">
      <w:pPr>
        <w:pStyle w:val="Odstavecseseznamem"/>
        <w:numPr>
          <w:ilvl w:val="0"/>
          <w:numId w:val="23"/>
        </w:numPr>
        <w:tabs>
          <w:tab w:val="left" w:pos="1507"/>
        </w:tabs>
        <w:spacing w:before="240" w:after="0"/>
        <w:jc w:val="left"/>
      </w:pPr>
      <w:hyperlink r:id="rId79" w:history="1">
        <w:r w:rsidR="00F5122D" w:rsidRPr="00131A3A">
          <w:rPr>
            <w:rStyle w:val="Hypertextovodkaz"/>
            <w:rFonts w:eastAsia="Calibri"/>
            <w:bCs/>
            <w:color w:val="auto"/>
            <w:u w:val="none"/>
          </w:rPr>
          <w:t>Magistrála Krušné hory - trasa 23;</w:t>
        </w:r>
      </w:hyperlink>
    </w:p>
    <w:p w:rsidR="00F5122D" w:rsidRPr="00131A3A" w:rsidRDefault="00D05E50" w:rsidP="00F5122D">
      <w:pPr>
        <w:pStyle w:val="Odstavecseseznamem"/>
        <w:numPr>
          <w:ilvl w:val="0"/>
          <w:numId w:val="23"/>
        </w:numPr>
        <w:tabs>
          <w:tab w:val="left" w:pos="1507"/>
        </w:tabs>
        <w:spacing w:before="240" w:after="0"/>
        <w:jc w:val="left"/>
      </w:pPr>
      <w:hyperlink r:id="rId80" w:history="1">
        <w:r w:rsidR="00F5122D" w:rsidRPr="00131A3A">
          <w:rPr>
            <w:rStyle w:val="Hypertextovodkaz"/>
            <w:rFonts w:eastAsia="Calibri"/>
            <w:bCs/>
            <w:color w:val="auto"/>
            <w:u w:val="none"/>
          </w:rPr>
          <w:t>Magistrála Český les - trasa 36</w:t>
        </w:r>
      </w:hyperlink>
      <w:r w:rsidR="00F5122D" w:rsidRPr="00131A3A">
        <w:t xml:space="preserve">; </w:t>
      </w:r>
    </w:p>
    <w:p w:rsidR="00F5122D" w:rsidRPr="00131A3A" w:rsidRDefault="00D05E50" w:rsidP="00F5122D">
      <w:pPr>
        <w:pStyle w:val="Odstavecseseznamem"/>
        <w:numPr>
          <w:ilvl w:val="0"/>
          <w:numId w:val="23"/>
        </w:numPr>
        <w:tabs>
          <w:tab w:val="left" w:pos="1507"/>
        </w:tabs>
        <w:spacing w:before="240" w:after="0"/>
        <w:jc w:val="left"/>
      </w:pPr>
      <w:hyperlink r:id="rId81" w:history="1">
        <w:r w:rsidR="00F5122D" w:rsidRPr="00131A3A">
          <w:rPr>
            <w:rStyle w:val="Hypertextovodkaz"/>
            <w:rFonts w:eastAsia="Calibri"/>
            <w:bCs/>
            <w:color w:val="auto"/>
            <w:u w:val="none"/>
          </w:rPr>
          <w:t>Národní trasa č.39</w:t>
        </w:r>
      </w:hyperlink>
      <w:r w:rsidR="00F5122D" w:rsidRPr="00131A3A">
        <w:t>;</w:t>
      </w:r>
    </w:p>
    <w:p w:rsidR="00F5122D" w:rsidRPr="00131A3A" w:rsidRDefault="00D05E50" w:rsidP="00F5122D">
      <w:pPr>
        <w:pStyle w:val="Odstavecseseznamem"/>
        <w:numPr>
          <w:ilvl w:val="0"/>
          <w:numId w:val="23"/>
        </w:numPr>
        <w:tabs>
          <w:tab w:val="left" w:pos="1507"/>
        </w:tabs>
        <w:spacing w:before="240" w:after="0"/>
        <w:jc w:val="left"/>
      </w:pPr>
      <w:hyperlink r:id="rId82" w:history="1">
        <w:r w:rsidR="00F5122D" w:rsidRPr="00131A3A">
          <w:rPr>
            <w:rStyle w:val="Hypertextovodkaz"/>
            <w:rFonts w:eastAsia="Calibri"/>
            <w:bCs/>
            <w:color w:val="auto"/>
            <w:u w:val="none"/>
          </w:rPr>
          <w:t>Cyklotrasa Euregio Egrensis</w:t>
        </w:r>
      </w:hyperlink>
      <w:r w:rsidR="00F5122D" w:rsidRPr="00131A3A">
        <w:t>;</w:t>
      </w:r>
    </w:p>
    <w:p w:rsidR="00F5122D" w:rsidRPr="00131A3A" w:rsidRDefault="00D05E50" w:rsidP="00F5122D">
      <w:pPr>
        <w:pStyle w:val="Odstavecseseznamem"/>
        <w:numPr>
          <w:ilvl w:val="0"/>
          <w:numId w:val="23"/>
        </w:numPr>
        <w:tabs>
          <w:tab w:val="left" w:pos="1507"/>
        </w:tabs>
        <w:spacing w:before="240" w:after="0"/>
        <w:jc w:val="left"/>
      </w:pPr>
      <w:hyperlink r:id="rId83" w:history="1">
        <w:r w:rsidR="00F5122D" w:rsidRPr="00131A3A">
          <w:rPr>
            <w:rStyle w:val="Hypertextovodkaz"/>
            <w:rFonts w:eastAsia="Calibri"/>
            <w:bCs/>
            <w:color w:val="auto"/>
            <w:u w:val="none"/>
          </w:rPr>
          <w:t>Valdštejnova cyklotrasa</w:t>
        </w:r>
      </w:hyperlink>
      <w:r w:rsidR="00F5122D" w:rsidRPr="00131A3A">
        <w:t>;</w:t>
      </w:r>
    </w:p>
    <w:p w:rsidR="00F5122D" w:rsidRPr="00131A3A" w:rsidRDefault="00D05E50" w:rsidP="00F5122D">
      <w:pPr>
        <w:pStyle w:val="Odstavecseseznamem"/>
        <w:numPr>
          <w:ilvl w:val="0"/>
          <w:numId w:val="23"/>
        </w:numPr>
        <w:tabs>
          <w:tab w:val="left" w:pos="1507"/>
        </w:tabs>
        <w:spacing w:before="240" w:after="0"/>
        <w:jc w:val="left"/>
      </w:pPr>
      <w:hyperlink r:id="rId84" w:history="1">
        <w:r w:rsidR="00F5122D" w:rsidRPr="00131A3A">
          <w:rPr>
            <w:rStyle w:val="Hypertextovodkaz"/>
            <w:rFonts w:eastAsia="Calibri"/>
            <w:bCs/>
            <w:color w:val="auto"/>
            <w:u w:val="none"/>
          </w:rPr>
          <w:t>Mostní stezka</w:t>
        </w:r>
      </w:hyperlink>
      <w:r w:rsidR="00F5122D" w:rsidRPr="00131A3A">
        <w:t>;</w:t>
      </w:r>
    </w:p>
    <w:p w:rsidR="00F5122D" w:rsidRPr="00131A3A" w:rsidRDefault="00D05E50" w:rsidP="00F5122D">
      <w:pPr>
        <w:pStyle w:val="Odstavecseseznamem"/>
        <w:numPr>
          <w:ilvl w:val="0"/>
          <w:numId w:val="23"/>
        </w:numPr>
        <w:tabs>
          <w:tab w:val="left" w:pos="1507"/>
        </w:tabs>
        <w:spacing w:before="240" w:after="0"/>
        <w:jc w:val="left"/>
      </w:pPr>
      <w:hyperlink r:id="rId85" w:history="1">
        <w:r w:rsidR="00F5122D" w:rsidRPr="00131A3A">
          <w:rPr>
            <w:rStyle w:val="Hypertextovodkaz"/>
            <w:rFonts w:eastAsia="Calibri"/>
            <w:bCs/>
            <w:color w:val="auto"/>
            <w:u w:val="none"/>
          </w:rPr>
          <w:t>Halštrovská stezka</w:t>
        </w:r>
      </w:hyperlink>
      <w:r w:rsidR="00F5122D" w:rsidRPr="00131A3A">
        <w:t>;</w:t>
      </w:r>
    </w:p>
    <w:p w:rsidR="00F5122D" w:rsidRDefault="00F5122D" w:rsidP="00F5122D">
      <w:pPr>
        <w:pStyle w:val="Odstavecseseznamem"/>
        <w:numPr>
          <w:ilvl w:val="0"/>
          <w:numId w:val="23"/>
        </w:numPr>
        <w:tabs>
          <w:tab w:val="left" w:pos="1507"/>
        </w:tabs>
        <w:spacing w:before="240" w:after="0"/>
        <w:jc w:val="left"/>
      </w:pPr>
      <w:r>
        <w:rPr>
          <w:bCs/>
        </w:rPr>
        <w:t>Karlova stezka.</w:t>
      </w:r>
    </w:p>
    <w:p w:rsidR="00F5122D" w:rsidRDefault="00F5122D" w:rsidP="00F5122D">
      <w:pPr>
        <w:tabs>
          <w:tab w:val="left" w:pos="1507"/>
        </w:tabs>
        <w:spacing w:before="240" w:after="0"/>
      </w:pPr>
      <w:r>
        <w:t xml:space="preserve">Oblasti vhodné pro cyklovýlety zpřístupňuje program cyklobusů. Bariérou dalšího rozvoje cykloturistiky a cyklodopravy v KK je omezování některých osobních vlakových spojů, absence návaznosti některých vlaků a nedostatečné kapacity osobních vlaků na převoz kol. </w:t>
      </w:r>
    </w:p>
    <w:p w:rsidR="00F5122D" w:rsidRDefault="00F5122D" w:rsidP="00F5122D">
      <w:pPr>
        <w:tabs>
          <w:tab w:val="left" w:pos="1507"/>
        </w:tabs>
        <w:spacing w:before="240" w:after="0"/>
      </w:pPr>
      <w:r>
        <w:t>Cyklistům slouží cykloportál KK</w:t>
      </w:r>
      <w:r>
        <w:rPr>
          <w:rStyle w:val="Znakapoznpodarou"/>
        </w:rPr>
        <w:footnoteReference w:id="18"/>
      </w:r>
      <w:r>
        <w:t>, ve kterém je průběžně aktualizována datová vrstva v GIS tak, aby v mapách byly zaznamenány nové trasy</w:t>
      </w:r>
      <w:r>
        <w:rPr>
          <w:rStyle w:val="Znakapoznpodarou"/>
        </w:rPr>
        <w:footnoteReference w:id="19"/>
      </w:r>
      <w:r>
        <w:t xml:space="preserve">. </w:t>
      </w:r>
    </w:p>
    <w:p w:rsidR="00F5122D" w:rsidRDefault="00F5122D" w:rsidP="00F5122D">
      <w:pPr>
        <w:autoSpaceDE w:val="0"/>
        <w:autoSpaceDN w:val="0"/>
        <w:adjustRightInd w:val="0"/>
        <w:spacing w:before="240" w:after="0"/>
      </w:pPr>
      <w:r>
        <w:t xml:space="preserve">Celkový přehled značených cyklistických tras v KK je uveden v Aktualizaci strategie cyklistiky v Karlovarském kraji na období 2016–2020, ve které je zmapován aktuální stav cyklodopravy, cykloturistiky, sítě cyklistických tras a cyklostezek v Karlovarském kraji. Současně jsou ve strategii </w:t>
      </w:r>
      <w:r>
        <w:lastRenderedPageBreak/>
        <w:t>navrženy krátkodobá a dlouhodobá opatření vedoucí k udržení a dalšímu efektivnímu rozvoji cyklistiky na území Karlovarského kraje v období let 2016 – 2020.</w:t>
      </w:r>
    </w:p>
    <w:p w:rsidR="00F5122D" w:rsidRDefault="00F5122D" w:rsidP="00F5122D">
      <w:pPr>
        <w:tabs>
          <w:tab w:val="left" w:pos="1507"/>
        </w:tabs>
        <w:spacing w:before="240" w:after="0"/>
        <w:rPr>
          <w:b/>
        </w:rPr>
      </w:pPr>
      <w:r>
        <w:rPr>
          <w:b/>
        </w:rPr>
        <w:t>Golfová turistika</w:t>
      </w:r>
    </w:p>
    <w:p w:rsidR="009E424D" w:rsidRDefault="00F5122D">
      <w:pPr>
        <w:spacing w:before="240" w:after="0"/>
        <w:rPr>
          <w:rFonts w:eastAsiaTheme="majorEastAsia"/>
          <w:b/>
          <w:color w:val="2E74B5" w:themeColor="accent1" w:themeShade="BF"/>
          <w:sz w:val="24"/>
          <w:szCs w:val="26"/>
        </w:rPr>
      </w:pPr>
      <w:r>
        <w:t>Na území KK se nachází celkem 10 golfových hřišť (z toho 7 je 18 jamkových a 3 jsou 9 jamková), která se řadí mezi renomovaná evropská hřiště. Golfový klub v Mariánských Lázních se může pyšnit titulem „královský golfový klub“ (Royal Golf Club). Golfistům jsou k dispozici hřiště nacházející se v netradičních prostředích (např. hřiště obklopená přírodou Slavkovského lesa či v blízkosti historických památek).</w:t>
      </w:r>
    </w:p>
    <w:p w:rsidR="00F5122D" w:rsidRDefault="00F5122D" w:rsidP="00F5122D">
      <w:pPr>
        <w:pStyle w:val="Nadpis2"/>
        <w:rPr>
          <w:rFonts w:ascii="Calibri" w:hAnsi="Calibri" w:cs="Calibri"/>
        </w:rPr>
      </w:pPr>
      <w:r>
        <w:rPr>
          <w:rFonts w:ascii="Calibri" w:hAnsi="Calibri" w:cs="Calibri"/>
        </w:rPr>
        <w:t>Kulturní a historické památky</w:t>
      </w:r>
    </w:p>
    <w:p w:rsidR="00F5122D" w:rsidRDefault="00F5122D" w:rsidP="00F5122D">
      <w:pPr>
        <w:spacing w:before="240" w:after="0"/>
      </w:pPr>
      <w:r>
        <w:t>Ačkoliv hlavní turistický cíl KK představují zejména lázeňská místa, disponuje kraj i řadou dalších atraktivit. Na území kraje se v současné době</w:t>
      </w:r>
      <w:r>
        <w:rPr>
          <w:rStyle w:val="Znakapoznpodarou"/>
        </w:rPr>
        <w:footnoteReference w:id="20"/>
      </w:r>
      <w:r>
        <w:t xml:space="preserve"> nachází celkem 16 národních kulturních památek (NKP), z toho 3 movité:</w:t>
      </w:r>
    </w:p>
    <w:p w:rsidR="00F5122D" w:rsidRDefault="00F5122D" w:rsidP="00F5122D">
      <w:pPr>
        <w:pStyle w:val="Odstavecseseznamem"/>
        <w:numPr>
          <w:ilvl w:val="0"/>
          <w:numId w:val="24"/>
        </w:numPr>
        <w:spacing w:after="0"/>
        <w:rPr>
          <w:sz w:val="20"/>
        </w:rPr>
      </w:pPr>
      <w:r>
        <w:rPr>
          <w:rFonts w:eastAsiaTheme="minorHAnsi"/>
          <w:color w:val="000000"/>
          <w:szCs w:val="23"/>
          <w:lang w:eastAsia="en-US"/>
        </w:rPr>
        <w:t xml:space="preserve">Zámek Kynžvart </w:t>
      </w:r>
    </w:p>
    <w:p w:rsidR="00F5122D" w:rsidRDefault="00F5122D" w:rsidP="00F5122D">
      <w:pPr>
        <w:pStyle w:val="Odstavecseseznamem"/>
        <w:numPr>
          <w:ilvl w:val="0"/>
          <w:numId w:val="24"/>
        </w:numPr>
        <w:autoSpaceDE w:val="0"/>
        <w:autoSpaceDN w:val="0"/>
        <w:adjustRightInd w:val="0"/>
        <w:spacing w:after="0"/>
        <w:jc w:val="left"/>
        <w:rPr>
          <w:rFonts w:eastAsiaTheme="minorHAnsi"/>
          <w:color w:val="000000"/>
          <w:szCs w:val="23"/>
          <w:lang w:eastAsia="en-US"/>
        </w:rPr>
      </w:pPr>
      <w:r>
        <w:rPr>
          <w:rFonts w:eastAsiaTheme="minorHAnsi"/>
          <w:color w:val="000000"/>
          <w:szCs w:val="23"/>
          <w:lang w:eastAsia="en-US"/>
        </w:rPr>
        <w:t>Kynžvartská daguerrotypie (movitá NKP);</w:t>
      </w:r>
    </w:p>
    <w:p w:rsidR="00F5122D" w:rsidRDefault="00F5122D" w:rsidP="00F5122D">
      <w:pPr>
        <w:pStyle w:val="Odstavecseseznamem"/>
        <w:numPr>
          <w:ilvl w:val="0"/>
          <w:numId w:val="24"/>
        </w:numPr>
        <w:autoSpaceDE w:val="0"/>
        <w:autoSpaceDN w:val="0"/>
        <w:adjustRightInd w:val="0"/>
        <w:spacing w:after="0"/>
        <w:jc w:val="left"/>
        <w:rPr>
          <w:rFonts w:eastAsiaTheme="minorHAnsi"/>
          <w:color w:val="000000"/>
          <w:szCs w:val="23"/>
          <w:lang w:eastAsia="en-US"/>
        </w:rPr>
      </w:pPr>
      <w:r>
        <w:rPr>
          <w:rFonts w:eastAsiaTheme="minorHAnsi"/>
          <w:color w:val="000000"/>
          <w:szCs w:val="23"/>
          <w:lang w:eastAsia="en-US"/>
        </w:rPr>
        <w:t xml:space="preserve">Hrad Bečov nad Teplou; </w:t>
      </w:r>
    </w:p>
    <w:p w:rsidR="00F5122D" w:rsidRDefault="00F5122D" w:rsidP="00F5122D">
      <w:pPr>
        <w:pStyle w:val="Odstavecseseznamem"/>
        <w:numPr>
          <w:ilvl w:val="0"/>
          <w:numId w:val="24"/>
        </w:numPr>
        <w:autoSpaceDE w:val="0"/>
        <w:autoSpaceDN w:val="0"/>
        <w:adjustRightInd w:val="0"/>
        <w:spacing w:after="0"/>
        <w:jc w:val="left"/>
        <w:rPr>
          <w:rFonts w:eastAsiaTheme="minorHAnsi"/>
          <w:szCs w:val="24"/>
          <w:lang w:eastAsia="en-US"/>
        </w:rPr>
      </w:pPr>
      <w:r>
        <w:rPr>
          <w:rFonts w:eastAsiaTheme="minorHAnsi"/>
          <w:color w:val="000000"/>
          <w:szCs w:val="23"/>
          <w:lang w:eastAsia="en-US"/>
        </w:rPr>
        <w:t xml:space="preserve">Ostatková skříň sv. Maura – „relikviář sv. Maura“ (movitá NKP); </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 xml:space="preserve">Klášter premonstrátů Teplá; </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Kostel sv. Máří Magdalény v Karlových Varech;</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 xml:space="preserve">Císařské lázně v Karlových Varech; </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Lázeňská kolonáda v Mariánských Lázních;</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Rudá věž smrti v Ostrově;</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 xml:space="preserve">Historický důl Jeroným v Čisté; </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 xml:space="preserve">Jáchymovská mincovna; </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 xml:space="preserve">Důl Mauritius na Hřebečné; </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Dlouhá stoka s rybníky Kladským a Novým;</w:t>
      </w:r>
    </w:p>
    <w:p w:rsidR="00F5122D" w:rsidRDefault="00F5122D" w:rsidP="00F5122D">
      <w:pPr>
        <w:pStyle w:val="Odstavecseseznamem"/>
        <w:numPr>
          <w:ilvl w:val="0"/>
          <w:numId w:val="24"/>
        </w:numPr>
        <w:autoSpaceDE w:val="0"/>
        <w:autoSpaceDN w:val="0"/>
        <w:adjustRightInd w:val="0"/>
        <w:spacing w:after="0"/>
        <w:jc w:val="left"/>
        <w:rPr>
          <w:sz w:val="20"/>
        </w:rPr>
      </w:pPr>
      <w:r>
        <w:rPr>
          <w:rFonts w:eastAsiaTheme="minorHAnsi"/>
          <w:szCs w:val="23"/>
          <w:lang w:eastAsia="en-US"/>
        </w:rPr>
        <w:t>Šlikovská šperkovnice v expozici zámku Ostrov (movitá NKP);</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Chebská falc</w:t>
      </w:r>
      <w:r>
        <w:rPr>
          <w:rStyle w:val="Znakapoznpodarou"/>
          <w:rFonts w:eastAsiaTheme="minorHAnsi"/>
          <w:szCs w:val="23"/>
          <w:lang w:eastAsia="en-US"/>
        </w:rPr>
        <w:footnoteReference w:id="21"/>
      </w:r>
      <w:r>
        <w:rPr>
          <w:rFonts w:eastAsiaTheme="minorHAnsi"/>
          <w:szCs w:val="23"/>
          <w:lang w:eastAsia="en-US"/>
        </w:rPr>
        <w:t>;</w:t>
      </w:r>
    </w:p>
    <w:p w:rsidR="00F5122D" w:rsidRDefault="00F5122D" w:rsidP="00F5122D">
      <w:pPr>
        <w:pStyle w:val="Odstavecseseznamem"/>
        <w:numPr>
          <w:ilvl w:val="0"/>
          <w:numId w:val="24"/>
        </w:numPr>
        <w:autoSpaceDE w:val="0"/>
        <w:autoSpaceDN w:val="0"/>
        <w:adjustRightInd w:val="0"/>
        <w:spacing w:after="0"/>
        <w:jc w:val="left"/>
        <w:rPr>
          <w:rFonts w:eastAsiaTheme="minorHAnsi"/>
          <w:szCs w:val="23"/>
          <w:lang w:eastAsia="en-US"/>
        </w:rPr>
      </w:pPr>
      <w:r>
        <w:rPr>
          <w:rFonts w:eastAsiaTheme="minorHAnsi"/>
          <w:szCs w:val="23"/>
          <w:lang w:eastAsia="en-US"/>
        </w:rPr>
        <w:t>Blatenský vodní kanál</w:t>
      </w:r>
      <w:r>
        <w:rPr>
          <w:rStyle w:val="Znakapoznpodarou"/>
          <w:rFonts w:eastAsiaTheme="minorHAnsi"/>
          <w:szCs w:val="23"/>
          <w:lang w:eastAsia="en-US"/>
        </w:rPr>
        <w:footnoteReference w:id="22"/>
      </w:r>
      <w:r>
        <w:rPr>
          <w:rFonts w:eastAsiaTheme="minorHAnsi"/>
          <w:szCs w:val="23"/>
          <w:lang w:eastAsia="en-US"/>
        </w:rPr>
        <w:t>.</w:t>
      </w:r>
    </w:p>
    <w:p w:rsidR="00F5122D" w:rsidRDefault="00F5122D" w:rsidP="00F5122D">
      <w:pPr>
        <w:spacing w:before="240"/>
      </w:pPr>
      <w:r>
        <w:t>Dále KK nabízí hojné množství segmentů z památkového fondu, jakými jsou hrady, zámky, městské a vesnické památkové zóny a rezervace. Mezi nejvýznamnější z nich se řadí hrady Loket, Skalná, Libá, Seeberg, Horní hrad, Hartenberg a Bečov; zámky Chyše, Valeč, klášterní areál – posvátný okrsek v Ostrově; městská památková rezervace Cheb, Loket a Františkovy Lázně; vesnické památkové rezervace Doubrava a Nový Drahov a mnohé další. Detailnější přehled všech památek a chráněných území bude možné nalézt v Koncepci cestovního ruchu Karlovarského kraje na následující období.</w:t>
      </w:r>
    </w:p>
    <w:p w:rsidR="009E424D" w:rsidRPr="00D67E53" w:rsidRDefault="00F5122D" w:rsidP="00D67E53">
      <w:pPr>
        <w:rPr>
          <w:rFonts w:eastAsiaTheme="majorEastAsia"/>
        </w:rPr>
      </w:pPr>
      <w:r w:rsidRPr="005C70C3">
        <w:t xml:space="preserve">Aktuálně jsou podány dvě žádosti o zápis statků na Seznam světového dědictví UNESCO. První z nich se týká </w:t>
      </w:r>
      <w:r>
        <w:t>„</w:t>
      </w:r>
      <w:r w:rsidRPr="005C70C3">
        <w:t xml:space="preserve">Hornické kulturní krajiny Erzgebirge/Krušnohoří", o jejíž zápis zažádalo Sasko ve spolupráci </w:t>
      </w:r>
      <w:r w:rsidRPr="005C70C3">
        <w:lastRenderedPageBreak/>
        <w:t>s Ministerstvem kultury</w:t>
      </w:r>
      <w:r>
        <w:rPr>
          <w:rStyle w:val="Znakapoznpodarou"/>
          <w:rFonts w:ascii="Arial" w:hAnsi="Arial"/>
          <w:color w:val="26211D"/>
          <w:sz w:val="21"/>
          <w:szCs w:val="21"/>
        </w:rPr>
        <w:footnoteReference w:id="23"/>
      </w:r>
      <w:r>
        <w:rPr>
          <w:rFonts w:ascii="Arial" w:hAnsi="Arial" w:cs="Arial"/>
          <w:color w:val="26211D"/>
          <w:sz w:val="21"/>
          <w:szCs w:val="21"/>
        </w:rPr>
        <w:t xml:space="preserve">. </w:t>
      </w:r>
      <w:r w:rsidRPr="00414AB7">
        <w:t>Druhou nominaci představuje sériový přeshraniční statek „</w:t>
      </w:r>
      <w:r w:rsidRPr="005C70C3">
        <w:t>Významné lázně Evropy“, který představuje vybranou sku</w:t>
      </w:r>
      <w:r w:rsidRPr="00F67568">
        <w:t>pinu evropských lázeňských měst (celkem 11). Za českou stranu jsou zařazeny lázeňská měst</w:t>
      </w:r>
      <w:r w:rsidRPr="005C70C3">
        <w:t>a Karlovy Vary, Mariánské Lázně a Františkovy Lázně</w:t>
      </w:r>
      <w:r>
        <w:rPr>
          <w:rStyle w:val="Znakapoznpodarou"/>
        </w:rPr>
        <w:footnoteReference w:id="24"/>
      </w:r>
      <w:r>
        <w:t>.</w:t>
      </w:r>
    </w:p>
    <w:p w:rsidR="00F5122D" w:rsidRDefault="00F5122D" w:rsidP="00F5122D">
      <w:pPr>
        <w:pStyle w:val="Nadpis2"/>
        <w:rPr>
          <w:rFonts w:ascii="Calibri" w:hAnsi="Calibri" w:cs="Calibri"/>
        </w:rPr>
      </w:pPr>
      <w:r>
        <w:rPr>
          <w:rFonts w:ascii="Calibri" w:hAnsi="Calibri" w:cs="Calibri"/>
        </w:rPr>
        <w:t>Kulturní, sportovní a společenské akce</w:t>
      </w:r>
    </w:p>
    <w:p w:rsidR="00F5122D" w:rsidRDefault="00F5122D" w:rsidP="00F5122D">
      <w:pPr>
        <w:spacing w:before="240"/>
      </w:pPr>
      <w:r>
        <w:t>Značné popularitě návštěvníků se těší řada pravidelně se opakujících kulturních akcí. Světovou proslulost si získal Mezinárodní filmový festival v Karlových Varech. Významné jsou koncerty vážné hudby dvou významných symfonických orchestrů (Karlovarský symfonický orchestr, Západočeský symfonických orchestr Mariánské lázně), které se řadí k nejstarším orchestrům na světě. Kulturně nejvíce činorodými městy jsou zejména města v tzv. Západočeském lázeňském trojúhelníku, tj. Karlovy Vary, Mariánské Lázně a Františkovy Lázně. Značnému významu v této oblasti se těší i město Cheb (např. akcí Valdštejnské slavnosti v Chebu, Chebské dvorky, Fijo Cheb) a další města v Karlovarském kraji. Ve výše uvedených městech se pravidelně konají významné festivaly, např. Mezinárodní pěvecká soutěž Antonína Dvořáka, Loketské kulturní léto, Dvořákův karlovarský podzim, Mezinárodní Chopinův festival, Jazzfest Karlovy Vary, Karlovarský folklorní festival, Festival uprostřed Evropy – Mitte Europa, Dětský filmový a televizní festival Oty Hofmana ad.</w:t>
      </w:r>
    </w:p>
    <w:p w:rsidR="00F5122D" w:rsidRDefault="00F5122D" w:rsidP="00F5122D">
      <w:pPr>
        <w:spacing w:before="240"/>
      </w:pPr>
      <w:r>
        <w:t xml:space="preserve">V Karlovarském kraji se koná i celá řada sportovních akcí (např. Mattoni 1/2Maraton Karlovy Vary, Mistrovství světa v motocrossu ve třídách MXGP a MX2 v Lokti apod.) a jiných společenských akcí (např. Marienbad Film festival). Návštěvníkům je k dispozici široká síť kulturních zařízení a kvalitně vybavených ubytovacích zařízení. </w:t>
      </w:r>
    </w:p>
    <w:p w:rsidR="00F5122D" w:rsidRDefault="00F5122D" w:rsidP="00F5122D">
      <w:pPr>
        <w:spacing w:after="160"/>
        <w:jc w:val="left"/>
        <w:rPr>
          <w:lang w:eastAsia="en-US"/>
        </w:rPr>
      </w:pPr>
      <w:r>
        <w:rPr>
          <w:lang w:eastAsia="en-US"/>
        </w:rPr>
        <w:t xml:space="preserve">Oblastí kultury a celkového kulturního dění pro rozvoj CR se zabývá Koncepce kultury Karlovarského kraje pro období let 2013 – 2020.   </w:t>
      </w:r>
    </w:p>
    <w:p w:rsidR="00F5122D" w:rsidRDefault="00F5122D" w:rsidP="00F5122D">
      <w:pPr>
        <w:pStyle w:val="Nadpis2"/>
        <w:rPr>
          <w:rFonts w:ascii="Calibri" w:hAnsi="Calibri" w:cs="Calibri"/>
        </w:rPr>
      </w:pPr>
      <w:r>
        <w:rPr>
          <w:rFonts w:ascii="Calibri" w:hAnsi="Calibri" w:cs="Calibri"/>
        </w:rPr>
        <w:t>Klíčové výzvy/problémy</w:t>
      </w:r>
    </w:p>
    <w:p w:rsidR="00F5122D" w:rsidRDefault="00F5122D" w:rsidP="00F5122D">
      <w:pPr>
        <w:rPr>
          <w:b/>
        </w:rPr>
      </w:pPr>
      <w:r>
        <w:rPr>
          <w:b/>
        </w:rPr>
        <w:t>Nevyužitý potenciál v oblasti kongresové a incentivní turistiky</w:t>
      </w:r>
    </w:p>
    <w:p w:rsidR="00F5122D" w:rsidRDefault="00F5122D" w:rsidP="00F5122D">
      <w:pPr>
        <w:rPr>
          <w:b/>
        </w:rPr>
      </w:pPr>
      <w:r>
        <w:t>Kongresový a incentivní cestovní ruch je v Karlovarském kraji velmi málo rozvinut. Využití potenciálu lázeňských lokalit pro konání akcí tohoto typu je velmi nízké. V čase dochází k poklesu počtu konaných akcí v kraji, a to navzdory vhodným podmínkám pro konání akcí tohoto typu.</w:t>
      </w:r>
    </w:p>
    <w:p w:rsidR="00F5122D" w:rsidRDefault="00F5122D" w:rsidP="00F5122D">
      <w:pPr>
        <w:rPr>
          <w:b/>
          <w:i/>
        </w:rPr>
      </w:pPr>
      <w:r>
        <w:rPr>
          <w:b/>
          <w:i/>
        </w:rPr>
        <w:t>Příčiny</w:t>
      </w:r>
    </w:p>
    <w:p w:rsidR="00D67E53" w:rsidRDefault="00F5122D" w:rsidP="00F5122D">
      <w:r>
        <w:t>Příčinou je hlavně odlehlost regionu a plánování obsazenosti lázeňských hotelů vzhledem k cyklům lázeňské léčby. Mezi další příčiny lze zařadit dopravní dostupnost kraje, nedostatečné propagační a marketingové aktivity, sídelní strukturu kraje, nižší míru ekonomické aktivity kraje a neexistenci významných ekonomických subjektů.</w:t>
      </w:r>
    </w:p>
    <w:p w:rsidR="00D67E53" w:rsidRDefault="00D67E53">
      <w:pPr>
        <w:spacing w:after="160" w:line="259" w:lineRule="auto"/>
        <w:jc w:val="left"/>
      </w:pPr>
      <w:r>
        <w:br w:type="page"/>
      </w:r>
    </w:p>
    <w:p w:rsidR="00F5122D" w:rsidRDefault="00F5122D" w:rsidP="00F5122D">
      <w:pPr>
        <w:rPr>
          <w:b/>
          <w:i/>
        </w:rPr>
      </w:pPr>
      <w:r>
        <w:rPr>
          <w:b/>
          <w:i/>
        </w:rPr>
        <w:lastRenderedPageBreak/>
        <w:t>Důsledky</w:t>
      </w:r>
    </w:p>
    <w:p w:rsidR="00F5122D" w:rsidRDefault="00F5122D" w:rsidP="00F5122D">
      <w:r>
        <w:t>Důsledkem výše uvedeného mohou být zejména nedostatečně využité konferenční a výstavní prostory a omezený příliv finančních prostředků.</w:t>
      </w:r>
    </w:p>
    <w:p w:rsidR="00F5122D" w:rsidRDefault="00F5122D" w:rsidP="00F5122D">
      <w:pPr>
        <w:rPr>
          <w:b/>
        </w:rPr>
      </w:pPr>
      <w:r>
        <w:rPr>
          <w:b/>
        </w:rPr>
        <w:t>Snížení doby přenocování v hromadných i lázeňských ubytovacích zařízeních</w:t>
      </w:r>
    </w:p>
    <w:p w:rsidR="00F5122D" w:rsidRDefault="00F5122D" w:rsidP="00F5122D">
      <w:pPr>
        <w:rPr>
          <w:b/>
        </w:rPr>
      </w:pPr>
      <w:r>
        <w:t>V posledních čtyřech letech je v kraji evidentní mírné snížení doby přenocování v hromadných i lázeňských ubytovacích zařízeních. Tento pokles byl dán poklesem počtu přenocování nerezidentních hostů.</w:t>
      </w:r>
    </w:p>
    <w:p w:rsidR="00F5122D" w:rsidRDefault="00F5122D" w:rsidP="00F5122D">
      <w:pPr>
        <w:rPr>
          <w:b/>
          <w:i/>
        </w:rPr>
      </w:pPr>
      <w:r>
        <w:rPr>
          <w:b/>
          <w:i/>
        </w:rPr>
        <w:t>Příčiny</w:t>
      </w:r>
    </w:p>
    <w:p w:rsidR="00F5122D" w:rsidRDefault="00F5122D" w:rsidP="00F5122D">
      <w:r>
        <w:t>Snížení souviselo pravděpodobně s celkovými trendy v oblasti cestovního ruchu patrnými na úrovni Česka i Evropy. Zejména se jedná o rozvoj cestování za účelem „přiučení se něčeho“, návrat k přírodě a venkovu, fenomén wellness atd. Trendy jsou mj. ovlivněny změnou hodnotové orientace vybraných skupin spotřebitelů, a ekonomickými vlivy (cenová hladina, disponibilní příjmy domácností atd.).</w:t>
      </w:r>
      <w:r w:rsidR="00AA4D66">
        <w:t xml:space="preserve"> Vliv měla i </w:t>
      </w:r>
      <w:r w:rsidR="00AA4D66" w:rsidRPr="00AA4D66">
        <w:t xml:space="preserve">změna </w:t>
      </w:r>
      <w:r w:rsidR="002F684C" w:rsidRPr="002F684C">
        <w:t>indikačního seznamu pro lázeňskou léčebnou rehabilitační péči</w:t>
      </w:r>
      <w:r w:rsidR="00AA4D66">
        <w:t>.</w:t>
      </w:r>
    </w:p>
    <w:p w:rsidR="00F5122D" w:rsidRDefault="00F5122D" w:rsidP="00F5122D">
      <w:pPr>
        <w:rPr>
          <w:b/>
          <w:i/>
        </w:rPr>
      </w:pPr>
      <w:r>
        <w:rPr>
          <w:b/>
          <w:i/>
        </w:rPr>
        <w:t>Důsledky</w:t>
      </w:r>
    </w:p>
    <w:p w:rsidR="00F5122D" w:rsidRDefault="00F5122D" w:rsidP="00F5122D">
      <w:r>
        <w:t xml:space="preserve">V důsledku výše uvedeného nastalo zkrácení doby přenocování a změna struktury lázeňských hostů - rezidentů, tj. snížení počtu hostů s komplexní lékařskou péčí a navýšení počtu pacientů s příspěvkovou lázeňskou péčí. </w:t>
      </w:r>
    </w:p>
    <w:p w:rsidR="00F5122D" w:rsidRDefault="00F5122D" w:rsidP="00F5122D">
      <w:pPr>
        <w:rPr>
          <w:b/>
        </w:rPr>
      </w:pPr>
      <w:r>
        <w:rPr>
          <w:b/>
        </w:rPr>
        <w:t>Nevyhovující zázemí pro vodáky podél řeky Ohře a nedostatečně využitý potenciál pro vodní sporty</w:t>
      </w:r>
    </w:p>
    <w:p w:rsidR="00F5122D" w:rsidRDefault="00F5122D" w:rsidP="00F5122D">
      <w:r>
        <w:t>Zázemí pro vodáky podél řeky Ohře je vnímáno jako nevyhovující z hlediska kapacity i kvality služeb. Do budoucna je třeba se zabývat i využitím potenciálu vodní turistiky v kraji, kterou lze rozvinout v souvislosti se zaplavovanými územími (např. jezero Medard</w:t>
      </w:r>
      <w:r w:rsidR="00A506D1">
        <w:t>).</w:t>
      </w:r>
    </w:p>
    <w:p w:rsidR="00F5122D" w:rsidRDefault="00F5122D" w:rsidP="00F5122D">
      <w:pPr>
        <w:rPr>
          <w:b/>
          <w:i/>
        </w:rPr>
      </w:pPr>
      <w:r>
        <w:rPr>
          <w:b/>
          <w:i/>
        </w:rPr>
        <w:t>Příčiny</w:t>
      </w:r>
    </w:p>
    <w:p w:rsidR="00F5122D" w:rsidRPr="00DD137F" w:rsidRDefault="00F5122D" w:rsidP="00F5122D">
      <w:r>
        <w:t xml:space="preserve">Nevyhovující zázemí je mimo jiné dáno legislativou neumožňující výstavbu v záplavové zóně. Doposud nebylo možné rozvíjet potenciál zaplavovaných území, dokud nebyla dokončena jejich </w:t>
      </w:r>
      <w:r w:rsidRPr="00DD137F">
        <w:t>rekultivace/revitalizace.</w:t>
      </w:r>
    </w:p>
    <w:p w:rsidR="00F5122D" w:rsidRPr="00DD137F" w:rsidRDefault="00F5122D" w:rsidP="00F5122D">
      <w:pPr>
        <w:rPr>
          <w:b/>
          <w:i/>
        </w:rPr>
      </w:pPr>
      <w:r w:rsidRPr="00DD137F">
        <w:rPr>
          <w:b/>
          <w:i/>
        </w:rPr>
        <w:t>Důsledky</w:t>
      </w:r>
    </w:p>
    <w:p w:rsidR="00F5122D" w:rsidRPr="00DD137F" w:rsidRDefault="00F5122D" w:rsidP="00F5122D">
      <w:r w:rsidRPr="00DD137F">
        <w:t>Omezení příjezdu vodáků do Karlovarského kraje a navazujících aktivit.</w:t>
      </w:r>
    </w:p>
    <w:p w:rsidR="00F5122D" w:rsidRDefault="00F5122D" w:rsidP="00F5122D">
      <w:pPr>
        <w:rPr>
          <w:b/>
        </w:rPr>
      </w:pPr>
      <w:r>
        <w:rPr>
          <w:b/>
        </w:rPr>
        <w:t xml:space="preserve">Včasná reakce na nové trendy v oblasti cestovního ruchu </w:t>
      </w:r>
    </w:p>
    <w:p w:rsidR="00D67E53" w:rsidRDefault="00F5122D" w:rsidP="00F5122D">
      <w:r>
        <w:t>V posledních letech je evidován rozvoj venkovského cestovního ruchu, který je spojen s návratem do přírody a na venkov a zahrnuje i formy šetrného cestovního ruchu, jakými jsou např. agroturistika, ekoagroturistika apod. Lze ho charakterizovat vícedenním pobytem či rekreací na venkově, a to např. formou pěší turistiky, jízdou na kole nebo na koni atd. Dále je třeba využít a budovat infrastrukturu pro různé formy udržitelné turistiky (lyžařská turistika, vodní, cyklo, pěší atd.).</w:t>
      </w:r>
    </w:p>
    <w:p w:rsidR="00D67E53" w:rsidRDefault="00D67E53">
      <w:pPr>
        <w:spacing w:after="160" w:line="259" w:lineRule="auto"/>
        <w:jc w:val="left"/>
      </w:pPr>
      <w:r>
        <w:br w:type="page"/>
      </w:r>
    </w:p>
    <w:p w:rsidR="00F5122D" w:rsidRDefault="00F5122D" w:rsidP="00F5122D">
      <w:pPr>
        <w:rPr>
          <w:b/>
          <w:i/>
        </w:rPr>
      </w:pPr>
      <w:r>
        <w:rPr>
          <w:b/>
          <w:i/>
        </w:rPr>
        <w:lastRenderedPageBreak/>
        <w:t>Příčiny</w:t>
      </w:r>
    </w:p>
    <w:p w:rsidR="00F5122D" w:rsidRDefault="00F5122D" w:rsidP="00F5122D">
      <w:r>
        <w:t>Aktuální trendy v oblasti cestovního ruchu (viz výše).</w:t>
      </w:r>
    </w:p>
    <w:p w:rsidR="00F5122D" w:rsidRDefault="00F5122D" w:rsidP="00F5122D">
      <w:pPr>
        <w:rPr>
          <w:b/>
          <w:i/>
        </w:rPr>
      </w:pPr>
      <w:r>
        <w:rPr>
          <w:b/>
          <w:i/>
        </w:rPr>
        <w:t>Důsledky</w:t>
      </w:r>
    </w:p>
    <w:p w:rsidR="00F5122D" w:rsidRDefault="00F5122D" w:rsidP="00F5122D">
      <w:r>
        <w:t>V případě nedostatečné reakce na vývoj v oblasti poptávky cestovního ruchu může dojít ke stagnaci či zaostávání kraje v této oblasti.</w:t>
      </w:r>
    </w:p>
    <w:p w:rsidR="00F5122D" w:rsidRDefault="00F5122D" w:rsidP="00F5122D">
      <w:pPr>
        <w:pStyle w:val="Nadpis3"/>
        <w:spacing w:line="276" w:lineRule="auto"/>
      </w:pPr>
      <w:r>
        <w:t>Literatura:</w:t>
      </w:r>
    </w:p>
    <w:p w:rsidR="00F5122D" w:rsidRDefault="00F5122D" w:rsidP="00F5122D">
      <w:pPr>
        <w:jc w:val="left"/>
      </w:pPr>
      <w:r w:rsidRPr="00414AB7">
        <w:rPr>
          <w:i/>
        </w:rPr>
        <w:t>Aktualizace strategie cyklistiky v Karlovarském kraji na období 2016 – 2020</w:t>
      </w:r>
      <w:r>
        <w:rPr>
          <w:i/>
        </w:rPr>
        <w:t xml:space="preserve"> </w:t>
      </w:r>
      <w:r>
        <w:rPr>
          <w:color w:val="000000"/>
        </w:rPr>
        <w:t>[online]</w:t>
      </w:r>
      <w:r>
        <w:t>. 2015. Dostupné z: http://www.kr-karlovarsky.cz/samosprava/dokumenty/Stranky/koncepce/seznam/cyklo_region.aspx.</w:t>
      </w:r>
    </w:p>
    <w:p w:rsidR="00F5122D" w:rsidRDefault="00F5122D" w:rsidP="00F5122D">
      <w:pPr>
        <w:jc w:val="left"/>
      </w:pPr>
      <w:r>
        <w:t xml:space="preserve">KPMG. </w:t>
      </w:r>
      <w:r w:rsidRPr="00414AB7">
        <w:rPr>
          <w:i/>
        </w:rPr>
        <w:t>Analýza kongresového a incentivního segmentu cestovního ruchu</w:t>
      </w:r>
      <w:r>
        <w:rPr>
          <w:i/>
        </w:rPr>
        <w:t xml:space="preserve"> </w:t>
      </w:r>
      <w:r>
        <w:rPr>
          <w:color w:val="000000"/>
        </w:rPr>
        <w:t>[online]</w:t>
      </w:r>
      <w:r>
        <w:t xml:space="preserve">. 2011. Dostupné z: </w:t>
      </w:r>
      <w:r w:rsidRPr="00DD0C07">
        <w:t>https://www.mmr.cz/getmedia/b0959ab5-e153-4442-8923-18428c7f7596/Analyza-kongresoveho-a-incentivniho-segmentu-cesto.pdf?ext=.pdf</w:t>
      </w:r>
      <w:r>
        <w:t>.</w:t>
      </w:r>
    </w:p>
    <w:p w:rsidR="00F5122D" w:rsidRDefault="00F5122D" w:rsidP="00F5122D">
      <w:r>
        <w:t xml:space="preserve">Veřejná databáze Českého statistického úřadu z: </w:t>
      </w:r>
      <w:hyperlink r:id="rId86" w:history="1">
        <w:r>
          <w:rPr>
            <w:rStyle w:val="Hypertextovodkaz"/>
            <w:rFonts w:eastAsia="Calibri"/>
          </w:rPr>
          <w:t>https://vdb.czso.cz/vdbvo2/</w:t>
        </w:r>
      </w:hyperlink>
      <w:r w:rsidR="00AA4D66">
        <w:t>.</w:t>
      </w:r>
    </w:p>
    <w:p w:rsidR="00F5122D" w:rsidRDefault="00F5122D" w:rsidP="00F5122D">
      <w:pPr>
        <w:spacing w:after="160"/>
        <w:jc w:val="left"/>
      </w:pPr>
      <w:r w:rsidRPr="00414AB7">
        <w:t xml:space="preserve">Ústav zdravotnických informací a statistiky ČR. Lázeňská péče 2015 [online]. 2016. Dostupné z: </w:t>
      </w:r>
      <w:hyperlink r:id="rId87" w:history="1">
        <w:r w:rsidRPr="003727B7">
          <w:rPr>
            <w:rStyle w:val="Hypertextovodkaz"/>
          </w:rPr>
          <w:t>http://www.uzis.cz/katalog/zdravotnicka-statistika/lazenska-pece</w:t>
        </w:r>
      </w:hyperlink>
      <w:r w:rsidRPr="00414AB7">
        <w:t>.</w:t>
      </w:r>
    </w:p>
    <w:p w:rsidR="00F5122D" w:rsidRDefault="00F5122D" w:rsidP="00F5122D">
      <w:pPr>
        <w:spacing w:after="160"/>
        <w:jc w:val="left"/>
        <w:rPr>
          <w:rStyle w:val="Hypertextovodkaz"/>
          <w:rFonts w:eastAsia="Calibri"/>
        </w:rPr>
      </w:pPr>
      <w:r w:rsidRPr="00414AB7">
        <w:rPr>
          <w:i/>
        </w:rPr>
        <w:t>Krajská příloha k národní RIS 3</w:t>
      </w:r>
      <w:r>
        <w:t xml:space="preserve"> </w:t>
      </w:r>
      <w:r>
        <w:rPr>
          <w:color w:val="000000"/>
        </w:rPr>
        <w:t>[online]</w:t>
      </w:r>
      <w:r>
        <w:t xml:space="preserve">. 2014. Dostupné z </w:t>
      </w:r>
      <w:hyperlink r:id="rId88" w:history="1">
        <w:r>
          <w:rPr>
            <w:rStyle w:val="Hypertextovodkaz"/>
            <w:rFonts w:eastAsia="Calibri"/>
          </w:rPr>
          <w:t>http://www.kr-karlovarsky.cz/region/Documents/RIS/RIS3_krajska_priloha_Karlovarsky_kraj_2014_04_30_konecna_schvalenaRKK_ZKK.pdf</w:t>
        </w:r>
      </w:hyperlink>
      <w:r w:rsidR="00AA4D66">
        <w:t>.</w:t>
      </w:r>
    </w:p>
    <w:p w:rsidR="00F5122D" w:rsidRDefault="00F5122D" w:rsidP="00F5122D">
      <w:pPr>
        <w:spacing w:after="160"/>
        <w:jc w:val="left"/>
      </w:pPr>
      <w:r w:rsidRPr="00414AB7">
        <w:rPr>
          <w:i/>
          <w:lang w:eastAsia="en-US"/>
        </w:rPr>
        <w:t>Koncepce kultury Karlovarského kraje pro období let 2013–2020</w:t>
      </w:r>
      <w:r>
        <w:rPr>
          <w:i/>
          <w:lang w:eastAsia="en-US"/>
        </w:rPr>
        <w:t xml:space="preserve"> </w:t>
      </w:r>
      <w:r>
        <w:rPr>
          <w:color w:val="000000"/>
        </w:rPr>
        <w:t>[online]</w:t>
      </w:r>
      <w:r>
        <w:t>. 2013</w:t>
      </w:r>
      <w:r>
        <w:rPr>
          <w:lang w:eastAsia="en-US"/>
        </w:rPr>
        <w:t xml:space="preserve">. Dostupné z </w:t>
      </w:r>
      <w:hyperlink r:id="rId89" w:history="1">
        <w:r w:rsidRPr="00B03374">
          <w:rPr>
            <w:rStyle w:val="Hypertextovodkaz"/>
          </w:rPr>
          <w:t>http://www.kr-karlovarsky.cz/samosprava/dokumenty/Stranky/koncepce/seznam/koncepce-kultury.aspx</w:t>
        </w:r>
      </w:hyperlink>
      <w:r>
        <w:t>.</w:t>
      </w:r>
    </w:p>
    <w:p w:rsidR="00F5122D" w:rsidRDefault="00F5122D" w:rsidP="00F5122D">
      <w:pPr>
        <w:spacing w:after="160"/>
        <w:jc w:val="left"/>
        <w:rPr>
          <w:lang w:eastAsia="en-US"/>
        </w:rPr>
      </w:pPr>
      <w:r w:rsidRPr="00414AB7">
        <w:rPr>
          <w:i/>
          <w:lang w:eastAsia="en-US"/>
        </w:rPr>
        <w:t>Koncepce státní politiky cestovního ruchu v ČR na období 2014–2020</w:t>
      </w:r>
      <w:r>
        <w:rPr>
          <w:lang w:eastAsia="en-US"/>
        </w:rPr>
        <w:t xml:space="preserve"> </w:t>
      </w:r>
      <w:r>
        <w:rPr>
          <w:color w:val="000000"/>
        </w:rPr>
        <w:t>[online]</w:t>
      </w:r>
      <w:r>
        <w:t xml:space="preserve">. 2013. </w:t>
      </w:r>
      <w:r>
        <w:rPr>
          <w:lang w:eastAsia="en-US"/>
        </w:rPr>
        <w:t xml:space="preserve">Dostupné z: </w:t>
      </w:r>
      <w:r w:rsidRPr="006406B9">
        <w:rPr>
          <w:lang w:eastAsia="en-US"/>
        </w:rPr>
        <w:t>http://www.mmr.cz/getmedia/dac4627c-c5d4-4344-8d38-f8de43cec24d/Koncepce-statni-politiky-cestovniho-ruchu-v-CR-na-obdobi-2014-2020.pdf?ext=.pdf</w:t>
      </w:r>
      <w:r>
        <w:rPr>
          <w:lang w:eastAsia="en-US"/>
        </w:rPr>
        <w:t>.</w:t>
      </w:r>
    </w:p>
    <w:p w:rsidR="00F5122D" w:rsidRPr="002C40B2" w:rsidRDefault="00F5122D" w:rsidP="00F5122D">
      <w:pPr>
        <w:spacing w:after="160"/>
        <w:jc w:val="left"/>
        <w:rPr>
          <w:rStyle w:val="Hypertextovodkaz"/>
          <w:rFonts w:eastAsia="Calibri"/>
          <w:color w:val="auto"/>
          <w:u w:val="none"/>
        </w:rPr>
      </w:pPr>
      <w:r w:rsidRPr="002C40B2">
        <w:rPr>
          <w:rStyle w:val="Hypertextovodkaz"/>
          <w:rFonts w:eastAsia="Calibri"/>
          <w:color w:val="auto"/>
          <w:u w:val="none"/>
        </w:rPr>
        <w:t>CzechTourism</w:t>
      </w:r>
      <w:r>
        <w:rPr>
          <w:rStyle w:val="Hypertextovodkaz"/>
          <w:rFonts w:eastAsia="Calibri"/>
          <w:color w:val="auto"/>
          <w:u w:val="none"/>
        </w:rPr>
        <w:t>.</w:t>
      </w:r>
      <w:r w:rsidRPr="002C40B2">
        <w:rPr>
          <w:rStyle w:val="Hypertextovodkaz"/>
          <w:rFonts w:eastAsia="Calibri"/>
          <w:color w:val="auto"/>
          <w:u w:val="none"/>
        </w:rPr>
        <w:t xml:space="preserve"> </w:t>
      </w:r>
      <w:r w:rsidRPr="00414AB7">
        <w:rPr>
          <w:rStyle w:val="Hypertextovodkaz"/>
          <w:rFonts w:eastAsia="Calibri"/>
          <w:i/>
          <w:color w:val="auto"/>
          <w:u w:val="none"/>
        </w:rPr>
        <w:t>Marketingové plány 2017</w:t>
      </w:r>
      <w:r>
        <w:rPr>
          <w:rStyle w:val="Hypertextovodkaz"/>
          <w:rFonts w:eastAsia="Calibri"/>
          <w:i/>
          <w:color w:val="auto"/>
          <w:u w:val="none"/>
        </w:rPr>
        <w:t xml:space="preserve"> </w:t>
      </w:r>
      <w:r>
        <w:rPr>
          <w:color w:val="000000"/>
        </w:rPr>
        <w:t>[online]</w:t>
      </w:r>
      <w:r>
        <w:t>.</w:t>
      </w:r>
      <w:r w:rsidR="00AA4D66">
        <w:t xml:space="preserve"> </w:t>
      </w:r>
      <w:r>
        <w:t>2016</w:t>
      </w:r>
      <w:r w:rsidRPr="002C40B2">
        <w:rPr>
          <w:rStyle w:val="Hypertextovodkaz"/>
          <w:rFonts w:eastAsia="Calibri"/>
          <w:color w:val="auto"/>
          <w:u w:val="none"/>
        </w:rPr>
        <w:t>. Dostupné z</w:t>
      </w:r>
      <w:r>
        <w:rPr>
          <w:rStyle w:val="Hypertextovodkaz"/>
          <w:rFonts w:eastAsia="Calibri"/>
          <w:color w:val="auto"/>
          <w:u w:val="none"/>
        </w:rPr>
        <w:t>:</w:t>
      </w:r>
      <w:r w:rsidRPr="002C40B2">
        <w:rPr>
          <w:rStyle w:val="Hypertextovodkaz"/>
          <w:rFonts w:eastAsia="Calibri"/>
          <w:color w:val="auto"/>
          <w:u w:val="none"/>
        </w:rPr>
        <w:t xml:space="preserve"> </w:t>
      </w:r>
      <w:hyperlink r:id="rId90" w:history="1">
        <w:r w:rsidRPr="002C40B2">
          <w:rPr>
            <w:rStyle w:val="Hypertextovodkaz"/>
            <w:rFonts w:eastAsia="Calibri"/>
            <w:u w:val="none"/>
          </w:rPr>
          <w:t>http://www.czechtourism.cz/nase-sluzby-pro-vas/marketingovy-plan/</w:t>
        </w:r>
      </w:hyperlink>
      <w:r w:rsidR="00AA4D66">
        <w:t>-</w:t>
      </w:r>
    </w:p>
    <w:p w:rsidR="00F5122D" w:rsidRDefault="00F5122D" w:rsidP="00F5122D">
      <w:pPr>
        <w:spacing w:after="160"/>
        <w:jc w:val="left"/>
        <w:rPr>
          <w:rStyle w:val="Hypertextovodkaz"/>
          <w:rFonts w:eastAsia="Calibri"/>
          <w:color w:val="auto"/>
          <w:u w:val="none"/>
        </w:rPr>
      </w:pPr>
      <w:r w:rsidRPr="002C40B2">
        <w:rPr>
          <w:rStyle w:val="Hypertextovodkaz"/>
          <w:rFonts w:eastAsia="Calibri"/>
          <w:color w:val="auto"/>
          <w:u w:val="none"/>
        </w:rPr>
        <w:t>CzechTourism</w:t>
      </w:r>
      <w:r>
        <w:rPr>
          <w:rStyle w:val="Hypertextovodkaz"/>
          <w:rFonts w:eastAsia="Calibri"/>
          <w:color w:val="auto"/>
          <w:u w:val="none"/>
        </w:rPr>
        <w:t>.</w:t>
      </w:r>
      <w:r w:rsidRPr="002C40B2">
        <w:rPr>
          <w:rStyle w:val="Hypertextovodkaz"/>
          <w:rFonts w:eastAsia="Calibri"/>
          <w:color w:val="auto"/>
          <w:u w:val="none"/>
        </w:rPr>
        <w:t xml:space="preserve"> </w:t>
      </w:r>
      <w:r w:rsidRPr="00414AB7">
        <w:rPr>
          <w:rStyle w:val="Hypertextovodkaz"/>
          <w:rFonts w:eastAsia="Calibri"/>
          <w:i/>
          <w:color w:val="auto"/>
          <w:u w:val="none"/>
        </w:rPr>
        <w:t>Marketingová koncepce cestovního ruchu 2013–2020</w:t>
      </w:r>
      <w:r>
        <w:rPr>
          <w:rStyle w:val="Hypertextovodkaz"/>
          <w:rFonts w:eastAsia="Calibri"/>
          <w:i/>
          <w:color w:val="auto"/>
          <w:u w:val="none"/>
        </w:rPr>
        <w:t xml:space="preserve"> </w:t>
      </w:r>
      <w:r>
        <w:rPr>
          <w:color w:val="000000"/>
        </w:rPr>
        <w:t>[online]</w:t>
      </w:r>
      <w:r>
        <w:t>. 2012</w:t>
      </w:r>
      <w:r w:rsidRPr="002C40B2">
        <w:rPr>
          <w:rStyle w:val="Hypertextovodkaz"/>
          <w:rFonts w:eastAsia="Calibri"/>
          <w:color w:val="auto"/>
          <w:u w:val="none"/>
        </w:rPr>
        <w:t>. Dostupné z</w:t>
      </w:r>
      <w:r>
        <w:rPr>
          <w:rStyle w:val="Hypertextovodkaz"/>
          <w:rFonts w:eastAsia="Calibri"/>
          <w:color w:val="auto"/>
          <w:u w:val="none"/>
        </w:rPr>
        <w:t>:</w:t>
      </w:r>
      <w:r w:rsidRPr="002C40B2">
        <w:rPr>
          <w:rStyle w:val="Hypertextovodkaz"/>
          <w:rFonts w:eastAsia="Calibri"/>
          <w:color w:val="auto"/>
          <w:u w:val="none"/>
        </w:rPr>
        <w:t xml:space="preserve"> </w:t>
      </w:r>
      <w:hyperlink r:id="rId91" w:history="1">
        <w:r w:rsidRPr="00B03374">
          <w:rPr>
            <w:rStyle w:val="Hypertextovodkaz"/>
            <w:rFonts w:eastAsia="Calibri"/>
          </w:rPr>
          <w:t>http://www.czechtourism.cz/getmedia/fa20d069-2d8b-4d19-8591-b19083531b33/11_12_13_marketingova_strategie.pdf.aspx</w:t>
        </w:r>
      </w:hyperlink>
      <w:r>
        <w:rPr>
          <w:rStyle w:val="Hypertextovodkaz"/>
          <w:rFonts w:eastAsia="Calibri"/>
          <w:color w:val="auto"/>
          <w:u w:val="none"/>
        </w:rPr>
        <w:t>.</w:t>
      </w:r>
    </w:p>
    <w:p w:rsidR="00F84B78" w:rsidRDefault="00F84B78" w:rsidP="002C40B2">
      <w:pPr>
        <w:spacing w:after="160"/>
        <w:jc w:val="left"/>
        <w:rPr>
          <w:lang w:eastAsia="en-US"/>
        </w:rPr>
      </w:pPr>
      <w:r>
        <w:rPr>
          <w:lang w:eastAsia="en-US"/>
        </w:rPr>
        <w:br w:type="page"/>
      </w:r>
    </w:p>
    <w:p w:rsidR="00F84B78" w:rsidRPr="004E4996" w:rsidRDefault="00F84B78" w:rsidP="00094A5B">
      <w:pPr>
        <w:pStyle w:val="Nadpis1"/>
      </w:pPr>
      <w:bookmarkStart w:id="185" w:name="_Toc321405932"/>
      <w:bookmarkStart w:id="186" w:name="_Toc488233394"/>
      <w:r w:rsidRPr="004E4996">
        <w:lastRenderedPageBreak/>
        <w:t>Trh práce</w:t>
      </w:r>
      <w:bookmarkEnd w:id="185"/>
      <w:bookmarkEnd w:id="186"/>
    </w:p>
    <w:p w:rsidR="00F84B78" w:rsidRPr="00AE46CF" w:rsidRDefault="00F84B78" w:rsidP="002C40B2">
      <w:r w:rsidRPr="00AE46CF">
        <w:t>Trh práce v Karlovarském kraji je ovlivňován několika významnými faktory: (i) odlehlostí kraje a jeho periferním postavením v rámci Č</w:t>
      </w:r>
      <w:r>
        <w:t>R</w:t>
      </w:r>
      <w:r w:rsidRPr="00AE46CF">
        <w:t>, které je umocňováno špatným dopravním napojením do vnitrozemí, (ii) blízkostí Bavorska a Saska, která na jedné straně usnadňuje investice německých firem v kraji, na druhé straně představuje blízký vyspělý trh, na který mohou firmy v Karlovarském kraji vyvážet, (iii) historickou specializací kraje na odvětví, z nichž některá jsou v současnosti problematická (výroba skla, porcelánu, textilní průmysl) nebo která přitahovala méně kvalifikovanou pracovní sílu v</w:t>
      </w:r>
      <w:r>
        <w:t> </w:t>
      </w:r>
      <w:r w:rsidRPr="00AE46CF">
        <w:t>minulosti</w:t>
      </w:r>
      <w:r>
        <w:t xml:space="preserve"> a</w:t>
      </w:r>
      <w:r w:rsidRPr="00AE46CF">
        <w:t xml:space="preserve"> (iv) dlouhodobým hospodářským zaostáváním kraje za vývojem v České republice (což je do značné míry dáno i odvětvovou specializací kraje). Tyto faktory společně pozitivně i negativně působí na trh práce v kraji a na jeho vývoj. </w:t>
      </w:r>
    </w:p>
    <w:p w:rsidR="00F84B78" w:rsidRPr="00AE46CF" w:rsidRDefault="00F84B78" w:rsidP="002C40B2">
      <w:pPr>
        <w:rPr>
          <w:i/>
        </w:rPr>
      </w:pPr>
      <w:r w:rsidRPr="00AE46CF">
        <w:rPr>
          <w:i/>
        </w:rPr>
        <w:t>Otázky:</w:t>
      </w:r>
    </w:p>
    <w:p w:rsidR="00F84B78" w:rsidRPr="00B03D19" w:rsidRDefault="00F84B78" w:rsidP="002C40B2">
      <w:pPr>
        <w:pStyle w:val="Odstavecseseznamem"/>
        <w:numPr>
          <w:ilvl w:val="0"/>
          <w:numId w:val="9"/>
        </w:numPr>
        <w:rPr>
          <w:i/>
        </w:rPr>
      </w:pPr>
      <w:r w:rsidRPr="00B03D19">
        <w:rPr>
          <w:i/>
        </w:rPr>
        <w:t xml:space="preserve">Jaká je dynamika změn zaměstnanosti a nezaměstnanosti v kraji? Jaký byl vývoj nezaměstnanosti v porovnání s dalšími regiony? </w:t>
      </w:r>
    </w:p>
    <w:p w:rsidR="00F84B78" w:rsidRPr="00B03D19" w:rsidRDefault="00F84B78" w:rsidP="002C40B2">
      <w:pPr>
        <w:pStyle w:val="Odstavecseseznamem"/>
        <w:numPr>
          <w:ilvl w:val="0"/>
          <w:numId w:val="9"/>
        </w:numPr>
        <w:rPr>
          <w:i/>
        </w:rPr>
      </w:pPr>
      <w:r w:rsidRPr="00B03D19">
        <w:rPr>
          <w:i/>
        </w:rPr>
        <w:t xml:space="preserve">Jaké jsou hlavní problémy nezaměstnanosti v kraji? Je nezaměstnanost problémem kraje jako celku nebo se jedná o </w:t>
      </w:r>
      <w:r w:rsidR="00414CAC">
        <w:rPr>
          <w:i/>
        </w:rPr>
        <w:t>míst</w:t>
      </w:r>
      <w:r w:rsidR="00414CAC" w:rsidRPr="00B03D19">
        <w:rPr>
          <w:i/>
        </w:rPr>
        <w:t xml:space="preserve">ní </w:t>
      </w:r>
      <w:r w:rsidRPr="00B03D19">
        <w:rPr>
          <w:i/>
        </w:rPr>
        <w:t xml:space="preserve">záležitost např. </w:t>
      </w:r>
      <w:r w:rsidR="00414CAC">
        <w:rPr>
          <w:i/>
        </w:rPr>
        <w:t>obcí s rozšířenou působností (</w:t>
      </w:r>
      <w:r w:rsidRPr="00B03D19">
        <w:rPr>
          <w:i/>
        </w:rPr>
        <w:t>ORP</w:t>
      </w:r>
      <w:r w:rsidR="00414CAC">
        <w:rPr>
          <w:i/>
        </w:rPr>
        <w:t>)</w:t>
      </w:r>
      <w:r w:rsidRPr="00B03D19">
        <w:rPr>
          <w:i/>
        </w:rPr>
        <w:t>?</w:t>
      </w:r>
    </w:p>
    <w:p w:rsidR="00F84B78" w:rsidRPr="00B03D19" w:rsidRDefault="00F84B78" w:rsidP="002C40B2">
      <w:pPr>
        <w:pStyle w:val="Odstavecseseznamem"/>
        <w:numPr>
          <w:ilvl w:val="0"/>
          <w:numId w:val="9"/>
        </w:numPr>
        <w:rPr>
          <w:i/>
        </w:rPr>
      </w:pPr>
      <w:r w:rsidRPr="00B03D19">
        <w:rPr>
          <w:i/>
        </w:rPr>
        <w:t>Jaké jsou hlavní příčiny nezaměstnanosti a jaké skupiny obyvatelstva jsou nejvíce ohroženy nezaměstnaností, zejména dlouhodobou nezaměstnaností?</w:t>
      </w:r>
    </w:p>
    <w:p w:rsidR="00F84B78" w:rsidRDefault="00F84B78" w:rsidP="002C40B2">
      <w:r>
        <w:t>Podíl pracovní síly Karlovarského kraje na pracovní síle ČR činil v roce 2015 pouze 2,9 %.</w:t>
      </w:r>
      <w:r w:rsidRPr="00087356">
        <w:t xml:space="preserve"> </w:t>
      </w:r>
      <w:r>
        <w:t>Během posledních 10 let docházelo</w:t>
      </w:r>
      <w:r w:rsidRPr="00087356">
        <w:t xml:space="preserve"> </w:t>
      </w:r>
      <w:r>
        <w:t>v KK, stejně jako v ostatních krajích, k </w:t>
      </w:r>
      <w:r w:rsidRPr="00AE46CF">
        <w:t xml:space="preserve">dlouhodobému poklesu </w:t>
      </w:r>
      <w:r>
        <w:t>míry ekonomické aktivity</w:t>
      </w:r>
      <w:r w:rsidRPr="00AE46CF">
        <w:t xml:space="preserve">, avšak toto snížení nebylo intenzivní. I přes pokles </w:t>
      </w:r>
      <w:r>
        <w:t>o 2 p. b.</w:t>
      </w:r>
      <w:r w:rsidRPr="00E82BA8">
        <w:t xml:space="preserve"> </w:t>
      </w:r>
      <w:r>
        <w:t xml:space="preserve">v roce 2015 oproti roku 2005, se </w:t>
      </w:r>
      <w:r w:rsidRPr="00AE46CF">
        <w:t>v porovnání s</w:t>
      </w:r>
      <w:r>
        <w:t> </w:t>
      </w:r>
      <w:r w:rsidRPr="00AE46CF">
        <w:t xml:space="preserve">ostatními regiony ČR </w:t>
      </w:r>
      <w:r>
        <w:t>v KK udržela vysoká</w:t>
      </w:r>
      <w:r w:rsidRPr="00AE46CF">
        <w:t xml:space="preserve"> ekonomická aktivita obyvatel</w:t>
      </w:r>
      <w:r>
        <w:t xml:space="preserve"> (</w:t>
      </w:r>
      <w:r w:rsidRPr="00AE46CF">
        <w:t>ČSÚ</w:t>
      </w:r>
      <w:r w:rsidR="00B03D19">
        <w:t xml:space="preserve"> -</w:t>
      </w:r>
      <w:r>
        <w:t xml:space="preserve"> Veřejná databáze).</w:t>
      </w:r>
      <w:r w:rsidRPr="00AE46CF">
        <w:t xml:space="preserve"> </w:t>
      </w:r>
    </w:p>
    <w:p w:rsidR="00F84B78" w:rsidRPr="00511A1F" w:rsidRDefault="00F84B78" w:rsidP="000B3B9C">
      <w:pPr>
        <w:pStyle w:val="Titulek"/>
      </w:pPr>
      <w:bookmarkStart w:id="187" w:name="_Ref466270489"/>
      <w:bookmarkStart w:id="188" w:name="_Ref310523634"/>
      <w:bookmarkStart w:id="189" w:name="_Toc321406440"/>
      <w:bookmarkStart w:id="190" w:name="_Toc488233494"/>
      <w:r w:rsidRPr="00853B2B">
        <w:t xml:space="preserve">Tabulka </w:t>
      </w:r>
      <w:r w:rsidR="008965FE">
        <w:fldChar w:fldCharType="begin"/>
      </w:r>
      <w:r w:rsidR="00B33DFE">
        <w:instrText xml:space="preserve"> STYLEREF 1 \s </w:instrText>
      </w:r>
      <w:r w:rsidR="008965FE">
        <w:fldChar w:fldCharType="separate"/>
      </w:r>
      <w:r w:rsidR="00CB29BD">
        <w:t>9</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187"/>
      <w:r w:rsidRPr="00853B2B">
        <w:t>: Míra ekonomické aktivity, míra zaměstnanosti a míra nezaměstnanosti podle krajů v roce 2014 (v %)</w:t>
      </w:r>
      <w:bookmarkEnd w:id="188"/>
      <w:bookmarkEnd w:id="189"/>
      <w:bookmarkEnd w:id="190"/>
    </w:p>
    <w:tbl>
      <w:tblPr>
        <w:tblW w:w="9140" w:type="dxa"/>
        <w:tblInd w:w="55" w:type="dxa"/>
        <w:tblCellMar>
          <w:left w:w="70" w:type="dxa"/>
          <w:right w:w="70" w:type="dxa"/>
        </w:tblCellMar>
        <w:tblLook w:val="04A0" w:firstRow="1" w:lastRow="0" w:firstColumn="1" w:lastColumn="0" w:noHBand="0" w:noVBand="1"/>
      </w:tblPr>
      <w:tblGrid>
        <w:gridCol w:w="1510"/>
        <w:gridCol w:w="860"/>
        <w:gridCol w:w="860"/>
        <w:gridCol w:w="840"/>
        <w:gridCol w:w="860"/>
        <w:gridCol w:w="840"/>
        <w:gridCol w:w="840"/>
        <w:gridCol w:w="860"/>
        <w:gridCol w:w="840"/>
        <w:gridCol w:w="840"/>
      </w:tblGrid>
      <w:tr w:rsidR="00F84B78" w:rsidRPr="00B03D19" w:rsidTr="009A4061">
        <w:trPr>
          <w:trHeight w:val="264"/>
        </w:trPr>
        <w:tc>
          <w:tcPr>
            <w:tcW w:w="15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84B78" w:rsidRPr="00B03D19" w:rsidRDefault="004E4996" w:rsidP="002C40B2">
            <w:pPr>
              <w:spacing w:after="0"/>
              <w:jc w:val="left"/>
              <w:rPr>
                <w:rFonts w:asciiTheme="minorHAnsi" w:hAnsiTheme="minorHAnsi" w:cs="Arial"/>
                <w:b/>
                <w:bCs/>
                <w:sz w:val="20"/>
                <w:szCs w:val="20"/>
              </w:rPr>
            </w:pPr>
            <w:r w:rsidRPr="00B03D19">
              <w:rPr>
                <w:rFonts w:asciiTheme="minorHAnsi" w:hAnsiTheme="minorHAnsi" w:cs="Arial"/>
                <w:b/>
                <w:bCs/>
                <w:sz w:val="20"/>
                <w:szCs w:val="20"/>
              </w:rPr>
              <w:t>ČR, k</w:t>
            </w:r>
            <w:r w:rsidR="00F84B78" w:rsidRPr="00B03D19">
              <w:rPr>
                <w:rFonts w:asciiTheme="minorHAnsi" w:hAnsiTheme="minorHAnsi" w:cs="Arial"/>
                <w:b/>
                <w:bCs/>
                <w:sz w:val="20"/>
                <w:szCs w:val="20"/>
              </w:rPr>
              <w:t>raj</w:t>
            </w:r>
          </w:p>
        </w:tc>
        <w:tc>
          <w:tcPr>
            <w:tcW w:w="2560" w:type="dxa"/>
            <w:gridSpan w:val="3"/>
            <w:tcBorders>
              <w:top w:val="single" w:sz="4" w:space="0" w:color="auto"/>
              <w:left w:val="nil"/>
              <w:bottom w:val="single" w:sz="4" w:space="0" w:color="auto"/>
              <w:right w:val="single" w:sz="4" w:space="0" w:color="auto"/>
            </w:tcBorders>
            <w:shd w:val="clear" w:color="auto" w:fill="auto"/>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Míra ekonomické aktivity</w:t>
            </w:r>
          </w:p>
        </w:tc>
        <w:tc>
          <w:tcPr>
            <w:tcW w:w="2540" w:type="dxa"/>
            <w:gridSpan w:val="3"/>
            <w:tcBorders>
              <w:top w:val="single" w:sz="4" w:space="0" w:color="auto"/>
              <w:left w:val="nil"/>
              <w:bottom w:val="single" w:sz="4" w:space="0" w:color="auto"/>
              <w:right w:val="single" w:sz="4" w:space="0" w:color="auto"/>
            </w:tcBorders>
            <w:shd w:val="clear" w:color="auto" w:fill="auto"/>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Míra zaměstnanosti</w:t>
            </w:r>
          </w:p>
        </w:tc>
        <w:tc>
          <w:tcPr>
            <w:tcW w:w="2540" w:type="dxa"/>
            <w:gridSpan w:val="3"/>
            <w:tcBorders>
              <w:top w:val="single" w:sz="4" w:space="0" w:color="auto"/>
              <w:left w:val="nil"/>
              <w:bottom w:val="single" w:sz="4" w:space="0" w:color="auto"/>
              <w:right w:val="single" w:sz="4" w:space="0" w:color="auto"/>
            </w:tcBorders>
            <w:shd w:val="clear" w:color="auto" w:fill="auto"/>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Míra nezaměstnanosti</w:t>
            </w:r>
          </w:p>
        </w:tc>
      </w:tr>
      <w:tr w:rsidR="00F84B78" w:rsidRPr="00B03D19" w:rsidTr="009A4061">
        <w:trPr>
          <w:trHeight w:val="254"/>
        </w:trPr>
        <w:tc>
          <w:tcPr>
            <w:tcW w:w="1500" w:type="dxa"/>
            <w:vMerge/>
            <w:tcBorders>
              <w:top w:val="single" w:sz="4" w:space="0" w:color="auto"/>
              <w:left w:val="single" w:sz="4" w:space="0" w:color="auto"/>
              <w:bottom w:val="single" w:sz="4" w:space="0" w:color="000000"/>
              <w:right w:val="single" w:sz="4" w:space="0" w:color="auto"/>
            </w:tcBorders>
            <w:vAlign w:val="center"/>
            <w:hideMark/>
          </w:tcPr>
          <w:p w:rsidR="00F84B78" w:rsidRPr="00B03D19" w:rsidRDefault="00F84B78" w:rsidP="002C40B2">
            <w:pPr>
              <w:spacing w:after="0"/>
              <w:jc w:val="left"/>
              <w:rPr>
                <w:rFonts w:asciiTheme="minorHAnsi" w:hAnsiTheme="minorHAnsi" w:cs="Arial"/>
                <w:b/>
                <w:bCs/>
                <w:sz w:val="20"/>
                <w:szCs w:val="20"/>
              </w:rPr>
            </w:pPr>
          </w:p>
        </w:tc>
        <w:tc>
          <w:tcPr>
            <w:tcW w:w="86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celkem</w:t>
            </w:r>
          </w:p>
        </w:tc>
        <w:tc>
          <w:tcPr>
            <w:tcW w:w="86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muži</w:t>
            </w:r>
          </w:p>
        </w:tc>
        <w:tc>
          <w:tcPr>
            <w:tcW w:w="84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ženy</w:t>
            </w:r>
          </w:p>
        </w:tc>
        <w:tc>
          <w:tcPr>
            <w:tcW w:w="86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celkem</w:t>
            </w:r>
          </w:p>
        </w:tc>
        <w:tc>
          <w:tcPr>
            <w:tcW w:w="84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muži</w:t>
            </w:r>
          </w:p>
        </w:tc>
        <w:tc>
          <w:tcPr>
            <w:tcW w:w="84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ženy</w:t>
            </w:r>
          </w:p>
        </w:tc>
        <w:tc>
          <w:tcPr>
            <w:tcW w:w="86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celkem</w:t>
            </w:r>
          </w:p>
        </w:tc>
        <w:tc>
          <w:tcPr>
            <w:tcW w:w="84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muži</w:t>
            </w:r>
          </w:p>
        </w:tc>
        <w:tc>
          <w:tcPr>
            <w:tcW w:w="840" w:type="dxa"/>
            <w:tcBorders>
              <w:top w:val="nil"/>
              <w:left w:val="nil"/>
              <w:bottom w:val="single" w:sz="4" w:space="0" w:color="auto"/>
              <w:right w:val="single" w:sz="4" w:space="0" w:color="auto"/>
            </w:tcBorders>
            <w:shd w:val="clear" w:color="auto" w:fill="auto"/>
            <w:vAlign w:val="center"/>
            <w:hideMark/>
          </w:tcPr>
          <w:p w:rsidR="00F84B78" w:rsidRPr="00B03D19" w:rsidRDefault="00F84B78" w:rsidP="002C40B2">
            <w:pPr>
              <w:spacing w:after="0"/>
              <w:jc w:val="center"/>
              <w:rPr>
                <w:rFonts w:asciiTheme="minorHAnsi" w:hAnsiTheme="minorHAnsi" w:cs="Arial"/>
                <w:b/>
                <w:bCs/>
                <w:sz w:val="20"/>
                <w:szCs w:val="20"/>
              </w:rPr>
            </w:pPr>
            <w:r w:rsidRPr="00B03D19">
              <w:rPr>
                <w:rFonts w:asciiTheme="minorHAnsi" w:hAnsiTheme="minorHAnsi" w:cs="Arial"/>
                <w:b/>
                <w:bCs/>
                <w:sz w:val="20"/>
                <w:szCs w:val="20"/>
              </w:rPr>
              <w:t>ženy</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Hl. m. Praha</w:t>
            </w:r>
          </w:p>
        </w:tc>
        <w:tc>
          <w:tcPr>
            <w:tcW w:w="86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62,1 </w:t>
            </w:r>
          </w:p>
        </w:tc>
        <w:tc>
          <w:tcPr>
            <w:tcW w:w="86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71,4 </w:t>
            </w:r>
          </w:p>
        </w:tc>
        <w:tc>
          <w:tcPr>
            <w:tcW w:w="84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53,5 </w:t>
            </w:r>
          </w:p>
        </w:tc>
        <w:tc>
          <w:tcPr>
            <w:tcW w:w="86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60,6 </w:t>
            </w:r>
          </w:p>
        </w:tc>
        <w:tc>
          <w:tcPr>
            <w:tcW w:w="84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69,8 </w:t>
            </w:r>
          </w:p>
        </w:tc>
        <w:tc>
          <w:tcPr>
            <w:tcW w:w="84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52,1 </w:t>
            </w:r>
          </w:p>
        </w:tc>
        <w:tc>
          <w:tcPr>
            <w:tcW w:w="86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2,5 </w:t>
            </w:r>
          </w:p>
        </w:tc>
        <w:tc>
          <w:tcPr>
            <w:tcW w:w="84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2,3 </w:t>
            </w:r>
          </w:p>
        </w:tc>
        <w:tc>
          <w:tcPr>
            <w:tcW w:w="840" w:type="dxa"/>
            <w:tcBorders>
              <w:top w:val="nil"/>
              <w:left w:val="nil"/>
              <w:bottom w:val="single" w:sz="4" w:space="0" w:color="auto"/>
              <w:right w:val="single" w:sz="4" w:space="0" w:color="auto"/>
            </w:tcBorders>
            <w:shd w:val="clear" w:color="auto" w:fill="auto"/>
            <w:noWrap/>
            <w:vAlign w:val="bottom"/>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2,7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Středočeský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61,1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70,2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52,3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57,9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67,2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49,1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4,4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6,1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Jihočeský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59,1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68,0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50,5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55,6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46,5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5,9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7,9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Plzeňský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60,3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68,5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52,3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57,2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65,9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48,7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3,7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6,8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b/>
                <w:bCs/>
                <w:sz w:val="20"/>
                <w:szCs w:val="20"/>
              </w:rPr>
            </w:pPr>
            <w:r w:rsidRPr="00B03D19">
              <w:rPr>
                <w:rFonts w:asciiTheme="minorHAnsi" w:hAnsiTheme="minorHAnsi" w:cs="Arial"/>
                <w:b/>
                <w:bCs/>
                <w:sz w:val="20"/>
                <w:szCs w:val="20"/>
              </w:rPr>
              <w:t>Karlovarský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60,7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69,5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52,3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55,2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64,2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46,7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9,0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7,6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10,8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Ústecký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57,6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67,3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48,3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52,7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62,4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43,4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8,5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7,3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10,2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Liberecký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58,0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67,6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48,9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54,2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64,5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44,5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4,5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9,1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Královéhradecký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58,2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66,7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50,1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54,6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63,2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46,4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5,3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7,3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Pardubický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60,2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68,4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52,2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56,3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65,0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47,9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6,4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4,9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8,2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Vysočina</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58,2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66,4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50,2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55,0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63,7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46,5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5,6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7,4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Jihomoravský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59,6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69,0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50,7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55,9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47,3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6,6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Olomoucký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56,5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65,4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48,2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52,2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61,1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43,7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9,3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Zlínský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58,3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67,1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50,0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54,7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63,8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46,3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5,0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7,5 </w:t>
            </w:r>
          </w:p>
        </w:tc>
      </w:tr>
      <w:tr w:rsidR="00F84B78" w:rsidRPr="00B03D19" w:rsidTr="00F84B78">
        <w:trPr>
          <w:trHeight w:val="24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F84B78" w:rsidRPr="00B03D19" w:rsidRDefault="00F84B78" w:rsidP="002C40B2">
            <w:pPr>
              <w:spacing w:after="0"/>
              <w:jc w:val="left"/>
              <w:rPr>
                <w:rFonts w:asciiTheme="minorHAnsi" w:hAnsiTheme="minorHAnsi" w:cs="Arial"/>
                <w:sz w:val="20"/>
                <w:szCs w:val="20"/>
              </w:rPr>
            </w:pPr>
            <w:r w:rsidRPr="00B03D19">
              <w:rPr>
                <w:rFonts w:asciiTheme="minorHAnsi" w:hAnsiTheme="minorHAnsi" w:cs="Arial"/>
                <w:sz w:val="20"/>
                <w:szCs w:val="20"/>
              </w:rPr>
              <w:t>Moravskoslezský</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57,8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65,8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50,2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52,8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61,0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45,1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8,6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7,4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color w:val="000000"/>
                <w:sz w:val="20"/>
                <w:szCs w:val="20"/>
              </w:rPr>
            </w:pPr>
            <w:r w:rsidRPr="00B03D19">
              <w:rPr>
                <w:rFonts w:asciiTheme="minorHAnsi" w:hAnsiTheme="minorHAnsi" w:cs="Arial"/>
                <w:color w:val="000000"/>
                <w:sz w:val="20"/>
                <w:szCs w:val="20"/>
              </w:rPr>
              <w:t xml:space="preserve">10,2 </w:t>
            </w:r>
          </w:p>
        </w:tc>
      </w:tr>
      <w:tr w:rsidR="00F84B78" w:rsidRPr="00B03D19" w:rsidTr="00F84B78">
        <w:trPr>
          <w:trHeight w:val="270"/>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F84B78" w:rsidRPr="00B03D19" w:rsidRDefault="00F84B78" w:rsidP="002C40B2">
            <w:pPr>
              <w:spacing w:after="0"/>
              <w:jc w:val="left"/>
              <w:rPr>
                <w:rFonts w:asciiTheme="minorHAnsi" w:hAnsiTheme="minorHAnsi" w:cs="Arial"/>
                <w:b/>
                <w:bCs/>
                <w:color w:val="000000"/>
                <w:sz w:val="20"/>
                <w:szCs w:val="20"/>
              </w:rPr>
            </w:pPr>
            <w:r w:rsidRPr="00B03D19">
              <w:rPr>
                <w:rFonts w:asciiTheme="minorHAnsi" w:hAnsiTheme="minorHAnsi" w:cs="Arial"/>
                <w:b/>
                <w:bCs/>
                <w:color w:val="000000"/>
                <w:sz w:val="20"/>
                <w:szCs w:val="20"/>
              </w:rPr>
              <w:t>ČR</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59,3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68,2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50,9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55,7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64,7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47,1 </w:t>
            </w:r>
          </w:p>
        </w:tc>
        <w:tc>
          <w:tcPr>
            <w:tcW w:w="86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6,1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5,1 </w:t>
            </w:r>
          </w:p>
        </w:tc>
        <w:tc>
          <w:tcPr>
            <w:tcW w:w="840" w:type="dxa"/>
            <w:tcBorders>
              <w:top w:val="nil"/>
              <w:left w:val="nil"/>
              <w:bottom w:val="single" w:sz="4" w:space="0" w:color="auto"/>
              <w:right w:val="single" w:sz="4" w:space="0" w:color="auto"/>
            </w:tcBorders>
            <w:shd w:val="clear" w:color="auto" w:fill="auto"/>
            <w:noWrap/>
            <w:vAlign w:val="center"/>
            <w:hideMark/>
          </w:tcPr>
          <w:p w:rsidR="00F84B78" w:rsidRPr="00B03D19" w:rsidRDefault="00F84B78" w:rsidP="002C40B2">
            <w:pPr>
              <w:spacing w:after="0"/>
              <w:jc w:val="center"/>
              <w:rPr>
                <w:rFonts w:asciiTheme="minorHAnsi" w:hAnsiTheme="minorHAnsi" w:cs="Arial"/>
                <w:b/>
                <w:bCs/>
                <w:color w:val="000000"/>
                <w:sz w:val="20"/>
                <w:szCs w:val="20"/>
              </w:rPr>
            </w:pPr>
            <w:r w:rsidRPr="00B03D19">
              <w:rPr>
                <w:rFonts w:asciiTheme="minorHAnsi" w:hAnsiTheme="minorHAnsi" w:cs="Arial"/>
                <w:b/>
                <w:bCs/>
                <w:color w:val="000000"/>
                <w:sz w:val="20"/>
                <w:szCs w:val="20"/>
              </w:rPr>
              <w:t xml:space="preserve">7,4 </w:t>
            </w:r>
          </w:p>
        </w:tc>
      </w:tr>
    </w:tbl>
    <w:p w:rsidR="00F84B78" w:rsidRPr="00511A1F" w:rsidRDefault="00F84B78" w:rsidP="002C40B2">
      <w:pPr>
        <w:tabs>
          <w:tab w:val="right" w:pos="0"/>
        </w:tabs>
        <w:spacing w:before="120" w:after="120"/>
        <w:rPr>
          <w:rStyle w:val="Zdraznnjemn"/>
        </w:rPr>
      </w:pPr>
      <w:r w:rsidRPr="00511A1F">
        <w:rPr>
          <w:rStyle w:val="Zdraznnjemn"/>
        </w:rPr>
        <w:t>Zdroj: ČSÚ</w:t>
      </w:r>
      <w:r w:rsidR="00511A1F" w:rsidRPr="00511A1F">
        <w:rPr>
          <w:rStyle w:val="Zdraznnjemn"/>
        </w:rPr>
        <w:t xml:space="preserve"> -</w:t>
      </w:r>
      <w:r w:rsidRPr="00511A1F">
        <w:rPr>
          <w:rStyle w:val="Zdraznnjemn"/>
        </w:rPr>
        <w:t xml:space="preserve"> Statistická ročenka Karlovarského kraje 2015, Trh práce</w:t>
      </w:r>
    </w:p>
    <w:p w:rsidR="00F84B78" w:rsidRDefault="00F84B78" w:rsidP="002C40B2">
      <w:r>
        <w:lastRenderedPageBreak/>
        <w:t xml:space="preserve">Jak je patrné z </w:t>
      </w:r>
      <w:r w:rsidR="004F2330">
        <w:fldChar w:fldCharType="begin"/>
      </w:r>
      <w:r w:rsidR="004F2330">
        <w:instrText xml:space="preserve"> REF _Ref466270489 \h  \* MERGEFORMAT </w:instrText>
      </w:r>
      <w:r w:rsidR="004F2330">
        <w:fldChar w:fldCharType="separate"/>
      </w:r>
      <w:r w:rsidR="00EB0944">
        <w:rPr>
          <w:rFonts w:eastAsia="Calibri"/>
          <w:szCs w:val="20"/>
          <w:lang w:eastAsia="en-US"/>
        </w:rPr>
        <w:t>t</w:t>
      </w:r>
      <w:r w:rsidR="00CB29BD" w:rsidRPr="00CB29BD">
        <w:rPr>
          <w:rFonts w:eastAsia="Calibri"/>
          <w:szCs w:val="20"/>
          <w:lang w:eastAsia="en-US"/>
        </w:rPr>
        <w:t>abulk</w:t>
      </w:r>
      <w:r w:rsidR="00EB0944">
        <w:rPr>
          <w:rFonts w:eastAsia="Calibri"/>
          <w:szCs w:val="20"/>
          <w:lang w:eastAsia="en-US"/>
        </w:rPr>
        <w:t>y</w:t>
      </w:r>
      <w:r w:rsidR="00CB29BD" w:rsidRPr="00CB29BD">
        <w:rPr>
          <w:rFonts w:eastAsia="Calibri"/>
          <w:szCs w:val="20"/>
          <w:lang w:eastAsia="en-US"/>
        </w:rPr>
        <w:t xml:space="preserve"> 9.1</w:t>
      </w:r>
      <w:r w:rsidR="004F2330">
        <w:fldChar w:fldCharType="end"/>
      </w:r>
      <w:r>
        <w:t xml:space="preserve">, </w:t>
      </w:r>
      <w:r w:rsidRPr="00AE46CF">
        <w:t xml:space="preserve">patří </w:t>
      </w:r>
      <w:r>
        <w:t xml:space="preserve">KK </w:t>
      </w:r>
      <w:r w:rsidRPr="00AE46CF">
        <w:t xml:space="preserve">v porovnání s ostatními regiony mezi kraje s relativně vysokou mírou ekonomické aktivity </w:t>
      </w:r>
      <w:r>
        <w:t xml:space="preserve">obyvatel ve věku 15 a více let (60,7 %). Dlouhodobě nejvyšší míra ekonomické aktivity osob je v Praze (okolo 62 %), nejnižší naopak v Olomouckém kraji (okolo 56,5 %). </w:t>
      </w:r>
      <w:r w:rsidRPr="00AE46CF">
        <w:t>Vzhledem k dl</w:t>
      </w:r>
      <w:r>
        <w:t>ouhodobě vysoké nezaměstnanosti</w:t>
      </w:r>
      <w:r w:rsidRPr="00AE46CF">
        <w:t xml:space="preserve"> je v kraji relativně průměrná míra zaměstnanosti (z</w:t>
      </w:r>
      <w:r>
        <w:t> </w:t>
      </w:r>
      <w:r w:rsidRPr="00AE46CF">
        <w:t>republikového i celoevropského pohledu)</w:t>
      </w:r>
      <w:r>
        <w:t>. C</w:t>
      </w:r>
      <w:r w:rsidRPr="00AE46CF">
        <w:t>elkov</w:t>
      </w:r>
      <w:r>
        <w:t>á míra zaměstnanosti v KK činila v roce 2014</w:t>
      </w:r>
      <w:r w:rsidRPr="00AE46CF">
        <w:t xml:space="preserve"> </w:t>
      </w:r>
      <w:r>
        <w:br/>
        <w:t xml:space="preserve">55,2 </w:t>
      </w:r>
      <w:r w:rsidRPr="00AE46CF">
        <w:t>%</w:t>
      </w:r>
      <w:r>
        <w:t>, míra nezaměstnanosti dosahovala téměř 9 % a byla tak nejvyšší mezi kraji</w:t>
      </w:r>
      <w:r w:rsidRPr="00AE46CF">
        <w:t>.</w:t>
      </w:r>
      <w:r>
        <w:t xml:space="preserve"> Mezi kraje s vysokou mírou nezaměstnanosti patří vedle KK kraj Moravskoslezský a Ústecký. Nejnižší míru nezaměstnanosti naopak nalezneme v Praze, Středočeském a Plzeňském kraji. Z hlediska pohlaví bylo ve všech krajích mezi zaměstnanými více mužů a mezi nezaměstnanými více žen.</w:t>
      </w:r>
    </w:p>
    <w:p w:rsidR="00F84B78" w:rsidRDefault="00F84B78" w:rsidP="002C40B2">
      <w:r>
        <w:t xml:space="preserve">Struktura postavení zaměstnaných v KK </w:t>
      </w:r>
      <w:r w:rsidRPr="00AE46CF">
        <w:t xml:space="preserve">odpovídá struktuře v rámci celé </w:t>
      </w:r>
      <w:r>
        <w:t xml:space="preserve">ČR (viz </w:t>
      </w:r>
      <w:r w:rsidR="004F2330">
        <w:fldChar w:fldCharType="begin"/>
      </w:r>
      <w:r w:rsidR="004F2330">
        <w:instrText xml:space="preserve"> REF _Ref465668972 \h  \* MERGEFORMAT </w:instrText>
      </w:r>
      <w:r w:rsidR="004F2330">
        <w:fldChar w:fldCharType="separate"/>
      </w:r>
      <w:r w:rsidR="00EB0944">
        <w:t>t</w:t>
      </w:r>
      <w:r w:rsidR="00CB29BD">
        <w:t xml:space="preserve">abulka </w:t>
      </w:r>
      <w:r w:rsidR="00CB29BD">
        <w:rPr>
          <w:noProof/>
        </w:rPr>
        <w:t>9</w:t>
      </w:r>
      <w:r w:rsidR="00CB29BD">
        <w:t>.2</w:t>
      </w:r>
      <w:r w:rsidR="004F2330">
        <w:fldChar w:fldCharType="end"/>
      </w:r>
      <w:r>
        <w:t>)</w:t>
      </w:r>
      <w:r w:rsidRPr="00AE46CF">
        <w:t>. Největší podíl pracovní síly na trhu práce předsta</w:t>
      </w:r>
      <w:r>
        <w:t>vovali v roce 2015 zaměstnaní</w:t>
      </w:r>
      <w:r w:rsidRPr="00AE46CF">
        <w:t xml:space="preserve"> </w:t>
      </w:r>
      <w:r>
        <w:t xml:space="preserve">v </w:t>
      </w:r>
      <w:r w:rsidRPr="00AE46CF">
        <w:t xml:space="preserve">postavení zaměstnanců - </w:t>
      </w:r>
      <w:r>
        <w:t xml:space="preserve">téměř 86 %, </w:t>
      </w:r>
      <w:r w:rsidRPr="00AE46CF">
        <w:t>což je spolu s</w:t>
      </w:r>
      <w:r>
        <w:t> </w:t>
      </w:r>
      <w:r w:rsidRPr="00AE46CF">
        <w:t>Moravskoslezským</w:t>
      </w:r>
      <w:r>
        <w:t>, Zlínským a Plzeňským</w:t>
      </w:r>
      <w:r w:rsidRPr="00AE46CF">
        <w:t xml:space="preserve"> krajem nejvíce ze všech regionů ČR</w:t>
      </w:r>
      <w:r>
        <w:t xml:space="preserve">. Naproti tomu je podíl zaměstnaných na pozici zaměstnanců nejnižší ve Středočeském kraji </w:t>
      </w:r>
      <w:r>
        <w:br/>
        <w:t>(76,5 %)</w:t>
      </w:r>
      <w:r w:rsidRPr="00AE46CF">
        <w:t xml:space="preserve">. Podíl soukromých subjektů – </w:t>
      </w:r>
      <w:r>
        <w:t xml:space="preserve">zaměstnavatelů a pracujících na vlastní účet </w:t>
      </w:r>
      <w:r w:rsidR="00A81345">
        <w:t xml:space="preserve">v KK </w:t>
      </w:r>
      <w:r>
        <w:t xml:space="preserve">(14,2 %) </w:t>
      </w:r>
      <w:r w:rsidRPr="00AE46CF">
        <w:t xml:space="preserve">se </w:t>
      </w:r>
      <w:r>
        <w:t>p</w:t>
      </w:r>
      <w:r w:rsidRPr="00AE46CF">
        <w:t xml:space="preserve">ohybuje pod průměrem </w:t>
      </w:r>
      <w:r>
        <w:t>ČR</w:t>
      </w:r>
      <w:r w:rsidRPr="00AE46CF">
        <w:t xml:space="preserve"> (16,</w:t>
      </w:r>
      <w:r>
        <w:t>7</w:t>
      </w:r>
      <w:r w:rsidRPr="00AE46CF">
        <w:t xml:space="preserve"> %) a kraj z pohledu tohoto ukazatele zaujímá 9. místo</w:t>
      </w:r>
      <w:r>
        <w:t>.</w:t>
      </w:r>
      <w:r w:rsidRPr="00AE46CF">
        <w:t xml:space="preserve"> </w:t>
      </w:r>
      <w:r>
        <w:t>Vývoj hodnoty</w:t>
      </w:r>
      <w:r w:rsidRPr="00AE46CF">
        <w:t xml:space="preserve"> podílu soukromých subjektů (podnikatelů) na trhu práce</w:t>
      </w:r>
      <w:r>
        <w:t xml:space="preserve"> v období 2009 a 2015 znázorňuje </w:t>
      </w:r>
      <w:r w:rsidR="001B6290">
        <w:t>graf</w:t>
      </w:r>
      <w:r>
        <w:t xml:space="preserve"> </w:t>
      </w:r>
      <w:r w:rsidR="009A4061">
        <w:t>9.1</w:t>
      </w:r>
      <w:r>
        <w:t>.</w:t>
      </w:r>
    </w:p>
    <w:p w:rsidR="00F84B78" w:rsidRDefault="00F84B78" w:rsidP="000B3B9C">
      <w:pPr>
        <w:pStyle w:val="Titulek"/>
      </w:pPr>
      <w:bookmarkStart w:id="191" w:name="_Ref465668972"/>
      <w:bookmarkStart w:id="192" w:name="_Toc488233495"/>
      <w:r>
        <w:t xml:space="preserve">Tabulka </w:t>
      </w:r>
      <w:r w:rsidR="008965FE">
        <w:fldChar w:fldCharType="begin"/>
      </w:r>
      <w:r w:rsidR="00B33DFE">
        <w:instrText xml:space="preserve"> STYLEREF 1 \s </w:instrText>
      </w:r>
      <w:r w:rsidR="008965FE">
        <w:fldChar w:fldCharType="separate"/>
      </w:r>
      <w:r w:rsidR="00CB29BD">
        <w:t>9</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191"/>
      <w:r>
        <w:t>: Podíl z</w:t>
      </w:r>
      <w:r>
        <w:rPr>
          <w:rStyle w:val="odkaz-style-wrapper3"/>
          <w:rFonts w:ascii="Tahoma" w:hAnsi="Tahoma" w:cs="Tahoma"/>
          <w:color w:val="333333"/>
          <w:sz w:val="19"/>
          <w:szCs w:val="19"/>
        </w:rPr>
        <w:t>aměstnaných v NH podle postavení v zaměstnání v roce 2015 (v %)</w:t>
      </w:r>
      <w:bookmarkEnd w:id="192"/>
    </w:p>
    <w:tbl>
      <w:tblPr>
        <w:tblW w:w="4962" w:type="pct"/>
        <w:tblInd w:w="70" w:type="dxa"/>
        <w:tblCellMar>
          <w:left w:w="70" w:type="dxa"/>
          <w:right w:w="70" w:type="dxa"/>
        </w:tblCellMar>
        <w:tblLook w:val="04A0" w:firstRow="1" w:lastRow="0" w:firstColumn="1" w:lastColumn="0" w:noHBand="0" w:noVBand="1"/>
      </w:tblPr>
      <w:tblGrid>
        <w:gridCol w:w="2518"/>
        <w:gridCol w:w="2209"/>
        <w:gridCol w:w="2554"/>
        <w:gridCol w:w="1861"/>
      </w:tblGrid>
      <w:tr w:rsidR="00F84B78" w:rsidRPr="00A81345" w:rsidTr="00DA3F4B">
        <w:trPr>
          <w:trHeight w:val="851"/>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24D" w:rsidRDefault="00A81345">
            <w:pPr>
              <w:spacing w:after="0"/>
              <w:jc w:val="left"/>
              <w:rPr>
                <w:rFonts w:asciiTheme="minorHAnsi" w:hAnsiTheme="minorHAnsi" w:cs="Arial"/>
                <w:b/>
                <w:bCs/>
                <w:sz w:val="20"/>
                <w:szCs w:val="20"/>
              </w:rPr>
            </w:pPr>
            <w:r w:rsidRPr="00A81345">
              <w:rPr>
                <w:rFonts w:asciiTheme="minorHAnsi" w:hAnsiTheme="minorHAnsi" w:cs="Arial"/>
                <w:b/>
                <w:bCs/>
                <w:sz w:val="20"/>
                <w:szCs w:val="20"/>
              </w:rPr>
              <w:t>ČR, k</w:t>
            </w:r>
            <w:r w:rsidR="00F84B78" w:rsidRPr="00A81345">
              <w:rPr>
                <w:rFonts w:asciiTheme="minorHAnsi" w:hAnsiTheme="minorHAnsi" w:cs="Arial"/>
                <w:b/>
                <w:bCs/>
                <w:sz w:val="20"/>
                <w:szCs w:val="20"/>
              </w:rPr>
              <w:t>raj</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F84B78" w:rsidRPr="00A81345" w:rsidRDefault="00F84B78" w:rsidP="00DA3F4B">
            <w:pPr>
              <w:spacing w:after="0"/>
              <w:jc w:val="center"/>
              <w:rPr>
                <w:rFonts w:asciiTheme="minorHAnsi" w:hAnsiTheme="minorHAnsi" w:cs="Arial"/>
                <w:b/>
                <w:bCs/>
                <w:sz w:val="20"/>
                <w:szCs w:val="20"/>
              </w:rPr>
            </w:pPr>
            <w:r w:rsidRPr="00A81345">
              <w:rPr>
                <w:rFonts w:asciiTheme="minorHAnsi" w:hAnsiTheme="minorHAnsi" w:cs="Arial"/>
                <w:b/>
                <w:bCs/>
                <w:sz w:val="20"/>
                <w:szCs w:val="20"/>
              </w:rPr>
              <w:t>Zaměstnanci a členové produkčních družstev</w:t>
            </w:r>
          </w:p>
        </w:tc>
        <w:tc>
          <w:tcPr>
            <w:tcW w:w="1397" w:type="pct"/>
            <w:tcBorders>
              <w:top w:val="single" w:sz="4" w:space="0" w:color="auto"/>
              <w:left w:val="nil"/>
              <w:bottom w:val="single" w:sz="4" w:space="0" w:color="auto"/>
              <w:right w:val="single" w:sz="4" w:space="0" w:color="auto"/>
            </w:tcBorders>
            <w:shd w:val="clear" w:color="auto" w:fill="auto"/>
            <w:vAlign w:val="center"/>
            <w:hideMark/>
          </w:tcPr>
          <w:p w:rsidR="00F84B78" w:rsidRPr="00A81345" w:rsidRDefault="00F84B78" w:rsidP="00DA3F4B">
            <w:pPr>
              <w:spacing w:after="0"/>
              <w:jc w:val="center"/>
              <w:rPr>
                <w:rFonts w:asciiTheme="minorHAnsi" w:hAnsiTheme="minorHAnsi" w:cs="Arial"/>
                <w:b/>
                <w:bCs/>
                <w:sz w:val="20"/>
                <w:szCs w:val="20"/>
              </w:rPr>
            </w:pPr>
            <w:r w:rsidRPr="00A81345">
              <w:rPr>
                <w:rFonts w:asciiTheme="minorHAnsi" w:hAnsiTheme="minorHAnsi" w:cs="Arial"/>
                <w:b/>
                <w:bCs/>
                <w:sz w:val="20"/>
                <w:szCs w:val="20"/>
              </w:rPr>
              <w:t>Zaměstnavatelé a pracující na vlastní účet</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rsidR="00F84B78" w:rsidRPr="00A81345" w:rsidRDefault="00F84B78" w:rsidP="00DA3F4B">
            <w:pPr>
              <w:spacing w:after="0"/>
              <w:jc w:val="center"/>
              <w:rPr>
                <w:rFonts w:asciiTheme="minorHAnsi" w:hAnsiTheme="minorHAnsi" w:cs="Arial"/>
                <w:b/>
                <w:bCs/>
                <w:sz w:val="20"/>
                <w:szCs w:val="20"/>
              </w:rPr>
            </w:pPr>
            <w:r w:rsidRPr="00A81345">
              <w:rPr>
                <w:rFonts w:asciiTheme="minorHAnsi" w:hAnsiTheme="minorHAnsi" w:cs="Arial"/>
                <w:b/>
                <w:bCs/>
                <w:sz w:val="20"/>
                <w:szCs w:val="20"/>
              </w:rPr>
              <w:t>Pomáhající rodinní příslušníci</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Moravskoslezský</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85,9</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13,7</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0,4</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 xml:space="preserve">Středočeský </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76,5</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22,5</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1,0</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 xml:space="preserve">Jihočeský </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82,7</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17,0</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0,3</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Plzeňský</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86,2</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13,4</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0,4</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b/>
                <w:bCs/>
                <w:sz w:val="20"/>
                <w:szCs w:val="20"/>
              </w:rPr>
            </w:pPr>
            <w:r w:rsidRPr="00A81345">
              <w:rPr>
                <w:rFonts w:asciiTheme="minorHAnsi" w:hAnsiTheme="minorHAnsi" w:cs="Arial"/>
                <w:b/>
                <w:bCs/>
                <w:sz w:val="20"/>
                <w:szCs w:val="20"/>
              </w:rPr>
              <w:t xml:space="preserve">Karlovarský </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b/>
                <w:bCs/>
                <w:sz w:val="20"/>
                <w:szCs w:val="20"/>
              </w:rPr>
            </w:pPr>
            <w:r w:rsidRPr="00A81345">
              <w:rPr>
                <w:rFonts w:asciiTheme="minorHAnsi" w:hAnsiTheme="minorHAnsi" w:cs="Arial"/>
                <w:b/>
                <w:bCs/>
                <w:sz w:val="20"/>
                <w:szCs w:val="20"/>
              </w:rPr>
              <w:t>85,8</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b/>
                <w:bCs/>
                <w:sz w:val="20"/>
                <w:szCs w:val="20"/>
              </w:rPr>
            </w:pPr>
            <w:r w:rsidRPr="00A81345">
              <w:rPr>
                <w:rFonts w:asciiTheme="minorHAnsi" w:hAnsiTheme="minorHAnsi" w:cs="Arial"/>
                <w:b/>
                <w:bCs/>
                <w:sz w:val="20"/>
                <w:szCs w:val="20"/>
              </w:rPr>
              <w:t>14,2</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b/>
                <w:bCs/>
                <w:sz w:val="20"/>
                <w:szCs w:val="20"/>
              </w:rPr>
            </w:pPr>
            <w:r w:rsidRPr="00A81345">
              <w:rPr>
                <w:rFonts w:asciiTheme="minorHAnsi" w:hAnsiTheme="minorHAnsi" w:cs="Arial"/>
                <w:b/>
                <w:bCs/>
                <w:sz w:val="20"/>
                <w:szCs w:val="20"/>
              </w:rPr>
              <w:t>.</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 xml:space="preserve">Ústecký </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81,7</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17,5</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0,8</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Liberecký</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82,7</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16,5</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0,8</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Královéhradecký</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84,0</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15,7</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0,3</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 xml:space="preserve">Pardubický </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84,1</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15,2</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0,7</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Vysočina</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85,7</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13,8</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0,5</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 xml:space="preserve">Jihomoravský </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83,9</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15,4</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0,7</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Olomoucký</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85,6</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13,1</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1,3</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 xml:space="preserve">Zlínský </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86,0</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13,6</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0,4</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sz w:val="20"/>
                <w:szCs w:val="20"/>
              </w:rPr>
            </w:pPr>
            <w:r w:rsidRPr="00A81345">
              <w:rPr>
                <w:rFonts w:asciiTheme="minorHAnsi" w:hAnsiTheme="minorHAnsi" w:cs="Arial"/>
                <w:sz w:val="20"/>
                <w:szCs w:val="20"/>
              </w:rPr>
              <w:t>Hl. m. Praha</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78,3</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21,3</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sz w:val="20"/>
                <w:szCs w:val="20"/>
              </w:rPr>
            </w:pPr>
            <w:r w:rsidRPr="00A81345">
              <w:rPr>
                <w:rFonts w:asciiTheme="minorHAnsi" w:hAnsiTheme="minorHAnsi" w:cs="Arial"/>
                <w:sz w:val="20"/>
                <w:szCs w:val="20"/>
              </w:rPr>
              <w:t>0,4</w:t>
            </w:r>
          </w:p>
        </w:tc>
      </w:tr>
      <w:tr w:rsidR="00F84B78" w:rsidRPr="00A81345" w:rsidTr="00DA3F4B">
        <w:trPr>
          <w:trHeight w:val="255"/>
        </w:trPr>
        <w:tc>
          <w:tcPr>
            <w:tcW w:w="1377" w:type="pct"/>
            <w:tcBorders>
              <w:top w:val="nil"/>
              <w:left w:val="single" w:sz="4" w:space="0" w:color="auto"/>
              <w:bottom w:val="single" w:sz="4" w:space="0" w:color="auto"/>
              <w:right w:val="single" w:sz="4" w:space="0" w:color="auto"/>
            </w:tcBorders>
            <w:shd w:val="clear" w:color="auto" w:fill="auto"/>
            <w:noWrap/>
            <w:vAlign w:val="bottom"/>
            <w:hideMark/>
          </w:tcPr>
          <w:p w:rsidR="00F84B78" w:rsidRPr="00A81345" w:rsidRDefault="00F84B78" w:rsidP="002C40B2">
            <w:pPr>
              <w:spacing w:after="0"/>
              <w:jc w:val="left"/>
              <w:rPr>
                <w:rFonts w:asciiTheme="minorHAnsi" w:hAnsiTheme="minorHAnsi" w:cs="Arial"/>
                <w:b/>
                <w:bCs/>
                <w:sz w:val="20"/>
                <w:szCs w:val="20"/>
              </w:rPr>
            </w:pPr>
            <w:r w:rsidRPr="00A81345">
              <w:rPr>
                <w:rFonts w:asciiTheme="minorHAnsi" w:hAnsiTheme="minorHAnsi" w:cs="Arial"/>
                <w:b/>
                <w:bCs/>
                <w:sz w:val="20"/>
                <w:szCs w:val="20"/>
              </w:rPr>
              <w:t>ČR</w:t>
            </w:r>
          </w:p>
        </w:tc>
        <w:tc>
          <w:tcPr>
            <w:tcW w:w="120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b/>
                <w:bCs/>
                <w:sz w:val="20"/>
                <w:szCs w:val="20"/>
              </w:rPr>
            </w:pPr>
            <w:r w:rsidRPr="00A81345">
              <w:rPr>
                <w:rFonts w:asciiTheme="minorHAnsi" w:hAnsiTheme="minorHAnsi" w:cs="Arial"/>
                <w:b/>
                <w:bCs/>
                <w:sz w:val="20"/>
                <w:szCs w:val="20"/>
              </w:rPr>
              <w:t>82,7</w:t>
            </w:r>
          </w:p>
        </w:tc>
        <w:tc>
          <w:tcPr>
            <w:tcW w:w="1397"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b/>
                <w:bCs/>
                <w:sz w:val="20"/>
                <w:szCs w:val="20"/>
              </w:rPr>
            </w:pPr>
            <w:r w:rsidRPr="00A81345">
              <w:rPr>
                <w:rFonts w:asciiTheme="minorHAnsi" w:hAnsiTheme="minorHAnsi" w:cs="Arial"/>
                <w:b/>
                <w:bCs/>
                <w:sz w:val="20"/>
                <w:szCs w:val="20"/>
              </w:rPr>
              <w:t>16,7</w:t>
            </w:r>
          </w:p>
        </w:tc>
        <w:tc>
          <w:tcPr>
            <w:tcW w:w="1018" w:type="pct"/>
            <w:tcBorders>
              <w:top w:val="nil"/>
              <w:left w:val="nil"/>
              <w:bottom w:val="single" w:sz="4" w:space="0" w:color="auto"/>
              <w:right w:val="single" w:sz="4" w:space="0" w:color="auto"/>
            </w:tcBorders>
            <w:shd w:val="clear" w:color="auto" w:fill="auto"/>
            <w:noWrap/>
            <w:vAlign w:val="bottom"/>
            <w:hideMark/>
          </w:tcPr>
          <w:p w:rsidR="00F84B78" w:rsidRPr="00A81345" w:rsidRDefault="00F84B78" w:rsidP="002C40B2">
            <w:pPr>
              <w:spacing w:after="0"/>
              <w:jc w:val="center"/>
              <w:rPr>
                <w:rFonts w:asciiTheme="minorHAnsi" w:hAnsiTheme="minorHAnsi" w:cs="Arial"/>
                <w:b/>
                <w:bCs/>
                <w:sz w:val="20"/>
                <w:szCs w:val="20"/>
              </w:rPr>
            </w:pPr>
            <w:r w:rsidRPr="00A81345">
              <w:rPr>
                <w:rFonts w:asciiTheme="minorHAnsi" w:hAnsiTheme="minorHAnsi" w:cs="Arial"/>
                <w:b/>
                <w:bCs/>
                <w:sz w:val="20"/>
                <w:szCs w:val="20"/>
              </w:rPr>
              <w:t>0,6</w:t>
            </w:r>
          </w:p>
        </w:tc>
      </w:tr>
    </w:tbl>
    <w:p w:rsidR="00F84B78" w:rsidRPr="00853B2B" w:rsidRDefault="00F84B78" w:rsidP="002C40B2">
      <w:pPr>
        <w:spacing w:before="120" w:after="0"/>
        <w:rPr>
          <w:i/>
          <w:sz w:val="20"/>
          <w:szCs w:val="20"/>
        </w:rPr>
      </w:pPr>
      <w:r w:rsidRPr="00853B2B">
        <w:rPr>
          <w:i/>
          <w:sz w:val="20"/>
          <w:szCs w:val="20"/>
        </w:rPr>
        <w:t>Poznámka: . – údaj není k dispozici</w:t>
      </w:r>
    </w:p>
    <w:p w:rsidR="00F84B78" w:rsidRDefault="00F84B78" w:rsidP="002C40B2">
      <w:pPr>
        <w:spacing w:after="120"/>
        <w:rPr>
          <w:i/>
          <w:sz w:val="20"/>
          <w:szCs w:val="20"/>
        </w:rPr>
      </w:pPr>
      <w:r w:rsidRPr="00853B2B">
        <w:rPr>
          <w:i/>
          <w:sz w:val="20"/>
          <w:szCs w:val="20"/>
        </w:rPr>
        <w:t>Zdroj: ČSÚ</w:t>
      </w:r>
      <w:r w:rsidR="00A81345">
        <w:rPr>
          <w:i/>
          <w:sz w:val="20"/>
          <w:szCs w:val="20"/>
        </w:rPr>
        <w:t xml:space="preserve"> -</w:t>
      </w:r>
      <w:r w:rsidRPr="00853B2B">
        <w:rPr>
          <w:i/>
          <w:sz w:val="20"/>
          <w:szCs w:val="20"/>
        </w:rPr>
        <w:t xml:space="preserve"> Veřejná databáze</w:t>
      </w:r>
    </w:p>
    <w:p w:rsidR="00F84B78" w:rsidRDefault="00F84B78" w:rsidP="000B3B9C">
      <w:pPr>
        <w:pStyle w:val="Titulek"/>
      </w:pPr>
      <w:bookmarkStart w:id="193" w:name="_Ref466270837"/>
      <w:bookmarkStart w:id="194" w:name="_Toc310604016"/>
      <w:bookmarkStart w:id="195" w:name="_Toc310604082"/>
      <w:bookmarkStart w:id="196" w:name="_Toc321406388"/>
      <w:bookmarkStart w:id="197" w:name="_Toc488234357"/>
      <w:r>
        <w:lastRenderedPageBreak/>
        <w:t xml:space="preserve">Graf </w:t>
      </w:r>
      <w:r w:rsidR="008965FE">
        <w:fldChar w:fldCharType="begin"/>
      </w:r>
      <w:r w:rsidR="00FD378B">
        <w:instrText xml:space="preserve"> STYLEREF 1 \s </w:instrText>
      </w:r>
      <w:r w:rsidR="008965FE">
        <w:fldChar w:fldCharType="separate"/>
      </w:r>
      <w:r w:rsidR="00CB29BD">
        <w:t>9</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bookmarkEnd w:id="193"/>
      <w:r w:rsidRPr="00AE46CF">
        <w:t xml:space="preserve">: Vývoj podílu soukromých subjektů (zaměstnavatelé + pracující na vlastní účet) </w:t>
      </w:r>
      <w:r w:rsidR="00D83DA7">
        <w:t xml:space="preserve">v krajích </w:t>
      </w:r>
      <w:r w:rsidRPr="00AE46CF">
        <w:t xml:space="preserve">na celkovém počtu zaměstnaných v NH v letech </w:t>
      </w:r>
      <w:bookmarkEnd w:id="194"/>
      <w:bookmarkEnd w:id="195"/>
      <w:bookmarkEnd w:id="196"/>
      <w:r>
        <w:t>2009, 2012 a 2015 (v %)</w:t>
      </w:r>
      <w:bookmarkEnd w:id="197"/>
    </w:p>
    <w:p w:rsidR="00F84B78" w:rsidRPr="00AE46CF" w:rsidRDefault="00F84B78" w:rsidP="002C40B2">
      <w:r>
        <w:rPr>
          <w:noProof/>
        </w:rPr>
        <w:drawing>
          <wp:inline distT="0" distB="0" distL="0" distR="0">
            <wp:extent cx="5772150" cy="27432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E424D" w:rsidRDefault="00D41569">
      <w:pPr>
        <w:pStyle w:val="poznzdroj"/>
      </w:pPr>
      <w:r>
        <w:t>Zdroj: ČSÚ -</w:t>
      </w:r>
      <w:r w:rsidR="00F84B78" w:rsidRPr="00853B2B">
        <w:t xml:space="preserve"> Veřejná databáze</w:t>
      </w:r>
    </w:p>
    <w:p w:rsidR="00F84B78" w:rsidRDefault="00F84B78" w:rsidP="002C40B2">
      <w:r>
        <w:t>Podíl podnikatelů v KK vrostl v roce 2012 oproti roku 2009 o 3,5 p. b., nicméně poté se v roce 2015 vrátil na přibližně původní výši (14,2 %). Mezi roky 2009 a 2015 se zvyšoval podíl podnikatelů v Moravskoslezském, Středočeském, Ústeckém a Pardubickém kraji. Největší nárůst zaznamenaly Ústecký (o 4,5 p. b. v roce 2015 oproti roku 2009) a Středočeský kraj (o 4,3 p. b.). Naopak největší propad zaznamenaly kraje Zlínský a Olomoucký, který se tak stal krajem s nejnižším podílem podnikatelů mezi zaměstnanými v NH (13,1 %). Naopak největší podíl podnikatelů se v roce 2015 nacházel ve Středočeském kraji (22,5 %) a v Praze (21,3 %).</w:t>
      </w:r>
    </w:p>
    <w:p w:rsidR="00F84B78" w:rsidRPr="00AE46CF" w:rsidRDefault="00F84B78" w:rsidP="002C40B2">
      <w:r w:rsidRPr="00AE46CF">
        <w:rPr>
          <w:bCs/>
        </w:rPr>
        <w:t>V průběhu let 20</w:t>
      </w:r>
      <w:r>
        <w:rPr>
          <w:bCs/>
        </w:rPr>
        <w:t xml:space="preserve">04 </w:t>
      </w:r>
      <w:r w:rsidRPr="00AE46CF">
        <w:rPr>
          <w:bCs/>
        </w:rPr>
        <w:t>– 201</w:t>
      </w:r>
      <w:r>
        <w:rPr>
          <w:bCs/>
        </w:rPr>
        <w:t>4</w:t>
      </w:r>
      <w:r w:rsidRPr="00AE46CF">
        <w:rPr>
          <w:bCs/>
        </w:rPr>
        <w:t xml:space="preserve"> došlo ke změně věkové struktury pracovní síly. </w:t>
      </w:r>
      <w:r w:rsidRPr="00AE46CF">
        <w:t>K největšímu poklesu d</w:t>
      </w:r>
      <w:r>
        <w:t>ošlo u věkové skupiny 15</w:t>
      </w:r>
      <w:r w:rsidR="00936172">
        <w:t xml:space="preserve"> </w:t>
      </w:r>
      <w:r>
        <w:t>–</w:t>
      </w:r>
      <w:r w:rsidR="00936172">
        <w:t xml:space="preserve"> </w:t>
      </w:r>
      <w:r>
        <w:t>29 let</w:t>
      </w:r>
      <w:r w:rsidRPr="00AE46CF">
        <w:t>, naopak k nárůstu došlo u věkové kategorie nad 60 let věku. Výrazný pokles míry ekonomické aktivity mladých lidí souvisí především se vzrůstajícím zájmem o další vzdělávání a naopak oddálení věku odchodu do důchodu ovlivnilo nárůst míry ekonomické aktivity u věkové kategorie</w:t>
      </w:r>
      <w:r>
        <w:t xml:space="preserve"> nad 60 let (viz</w:t>
      </w:r>
      <w:r w:rsidR="00936172">
        <w:t xml:space="preserve"> ČSÚ - </w:t>
      </w:r>
      <w:r>
        <w:t>Statistická ročenka Karlovarského kraje 2005 a 2015, Trh práce)</w:t>
      </w:r>
      <w:r w:rsidRPr="00AE46CF">
        <w:t>. Dopad procesu demografického stárnutí obyvatelstva se v budoucnu významně projeví i ve velikosti pracovní síly v kraji. Na základě výstupů z demografické projekce obyvatelstva lze předpokládat</w:t>
      </w:r>
      <w:r w:rsidRPr="005F4619">
        <w:t xml:space="preserve"> </w:t>
      </w:r>
      <w:r w:rsidRPr="00AE46CF">
        <w:t>snížení pracovní síly</w:t>
      </w:r>
      <w:r>
        <w:t xml:space="preserve"> oproti roku 2014 </w:t>
      </w:r>
      <w:r>
        <w:rPr>
          <w:bCs/>
        </w:rPr>
        <w:t xml:space="preserve">o 1,5 % </w:t>
      </w:r>
      <w:r w:rsidRPr="00AE46CF">
        <w:rPr>
          <w:bCs/>
        </w:rPr>
        <w:t>v roce 20</w:t>
      </w:r>
      <w:r>
        <w:rPr>
          <w:bCs/>
        </w:rPr>
        <w:t xml:space="preserve">20, </w:t>
      </w:r>
      <w:r w:rsidRPr="00AE46CF">
        <w:rPr>
          <w:bCs/>
        </w:rPr>
        <w:t xml:space="preserve">o </w:t>
      </w:r>
      <w:r>
        <w:rPr>
          <w:bCs/>
        </w:rPr>
        <w:t xml:space="preserve">9 </w:t>
      </w:r>
      <w:r w:rsidRPr="00AE46CF">
        <w:rPr>
          <w:bCs/>
        </w:rPr>
        <w:t xml:space="preserve">% </w:t>
      </w:r>
      <w:r>
        <w:rPr>
          <w:bCs/>
        </w:rPr>
        <w:t xml:space="preserve">v roce 2035, až o 33 % v roce 2065. </w:t>
      </w:r>
      <w:r w:rsidRPr="00AE46CF">
        <w:t xml:space="preserve">Demografická projekce </w:t>
      </w:r>
      <w:r>
        <w:t xml:space="preserve">však </w:t>
      </w:r>
      <w:r w:rsidRPr="00AE46CF">
        <w:t>nezohledňuje dopady migrace pracovní síly, která je velmi významným faktorem věkové struktury, resp. pracovních sil v regionu.</w:t>
      </w:r>
    </w:p>
    <w:p w:rsidR="00F84B78" w:rsidRPr="00936172" w:rsidRDefault="00F84B78" w:rsidP="002C40B2">
      <w:pPr>
        <w:pStyle w:val="Nadpis2"/>
      </w:pPr>
      <w:bookmarkStart w:id="198" w:name="_Toc310436066"/>
      <w:r w:rsidRPr="00936172">
        <w:t>Nezaměstnanost</w:t>
      </w:r>
      <w:bookmarkEnd w:id="198"/>
    </w:p>
    <w:p w:rsidR="00F84B78" w:rsidRPr="00461806" w:rsidRDefault="00F84B78" w:rsidP="002C40B2">
      <w:pPr>
        <w:rPr>
          <w:rFonts w:eastAsiaTheme="majorEastAsia"/>
        </w:rPr>
      </w:pPr>
      <w:r w:rsidRPr="00AE46CF">
        <w:t>V letech 200</w:t>
      </w:r>
      <w:r>
        <w:t xml:space="preserve">4 </w:t>
      </w:r>
      <w:r w:rsidRPr="00AE46CF">
        <w:t>–</w:t>
      </w:r>
      <w:r>
        <w:t xml:space="preserve"> </w:t>
      </w:r>
      <w:r w:rsidRPr="00AE46CF">
        <w:t>201</w:t>
      </w:r>
      <w:r>
        <w:t>5</w:t>
      </w:r>
      <w:r w:rsidRPr="00AE46CF">
        <w:t xml:space="preserve"> byl vývoj nezaměstnanosti v jednotlivých regionech České republiky nerovnoměrný</w:t>
      </w:r>
      <w:r>
        <w:t xml:space="preserve"> (viz </w:t>
      </w:r>
      <w:r w:rsidR="004F2330">
        <w:fldChar w:fldCharType="begin"/>
      </w:r>
      <w:r w:rsidR="004F2330">
        <w:instrText xml:space="preserve"> REF _Ref465683712 \h  \* MERGEFORMAT </w:instrText>
      </w:r>
      <w:r w:rsidR="004F2330">
        <w:fldChar w:fldCharType="separate"/>
      </w:r>
      <w:r w:rsidR="00EB0944">
        <w:t>t</w:t>
      </w:r>
      <w:r w:rsidR="00CB29BD" w:rsidRPr="00AE46CF">
        <w:t xml:space="preserve">abulka </w:t>
      </w:r>
      <w:r w:rsidR="00CB29BD">
        <w:rPr>
          <w:noProof/>
        </w:rPr>
        <w:t>9</w:t>
      </w:r>
      <w:r w:rsidR="00CB29BD">
        <w:t>.3</w:t>
      </w:r>
      <w:r w:rsidR="004F2330">
        <w:fldChar w:fldCharType="end"/>
      </w:r>
      <w:r>
        <w:t>)</w:t>
      </w:r>
      <w:r w:rsidRPr="00AE46CF">
        <w:t xml:space="preserve">. Míra nezaměstnanosti </w:t>
      </w:r>
      <w:r w:rsidR="009F3221">
        <w:t>v</w:t>
      </w:r>
      <w:r w:rsidR="009F3221" w:rsidRPr="00AE46CF">
        <w:t xml:space="preserve"> </w:t>
      </w:r>
      <w:r w:rsidRPr="00AE46CF">
        <w:t xml:space="preserve">ČR </w:t>
      </w:r>
      <w:r>
        <w:t>od</w:t>
      </w:r>
      <w:r w:rsidRPr="00AE46CF">
        <w:t xml:space="preserve"> roku 2004</w:t>
      </w:r>
      <w:r>
        <w:t xml:space="preserve"> do roku 2008 klesala, poté do roku 2010 vzrostla</w:t>
      </w:r>
      <w:r w:rsidRPr="00AE46CF">
        <w:t xml:space="preserve"> vlivem ekonomické krize </w:t>
      </w:r>
      <w:r>
        <w:t>a poté opět klesla až na 5% v roce 2015</w:t>
      </w:r>
      <w:r w:rsidRPr="00AE46CF">
        <w:t>. Karlovarský kraj tento vývoj kopíroval s určitým zpožděním. V kraji rostl počet nezaměstnaných osob až do roku 200</w:t>
      </w:r>
      <w:r>
        <w:t>6</w:t>
      </w:r>
      <w:r w:rsidRPr="00AE46CF">
        <w:t xml:space="preserve">. Od roku 2005 </w:t>
      </w:r>
      <w:r w:rsidR="00906DAF">
        <w:t xml:space="preserve">až do roku 2008 </w:t>
      </w:r>
      <w:r w:rsidRPr="00AE46CF">
        <w:t xml:space="preserve">se míra nezaměstnanosti začala snižovat </w:t>
      </w:r>
      <w:r w:rsidR="00906DAF">
        <w:t>až na 7,6 % (</w:t>
      </w:r>
      <w:r w:rsidRPr="00AE46CF">
        <w:t xml:space="preserve">12,2 tis. </w:t>
      </w:r>
      <w:r w:rsidRPr="00AE46CF">
        <w:rPr>
          <w:shd w:val="clear" w:color="auto" w:fill="FFFFFF"/>
        </w:rPr>
        <w:lastRenderedPageBreak/>
        <w:t xml:space="preserve">osob), avšak relativní pokles byl nižší než na národní úrovni. Vliv celosvětové </w:t>
      </w:r>
      <w:r w:rsidRPr="00461806">
        <w:t xml:space="preserve">ekonomické krize se mezi roky 2009 a 2012 v kraji projevil opětovným nárůstem počtu nezaměstnaných. Od roku 2013 pak dochází opět k poklesu míry nezaměstnanosti </w:t>
      </w:r>
      <w:r w:rsidR="00906DAF">
        <w:t xml:space="preserve">až na necelých 7 % v roce 2015, což je nejnižší hodnota za posledních 10 let. </w:t>
      </w:r>
      <w:r w:rsidRPr="00461806">
        <w:rPr>
          <w:b/>
        </w:rPr>
        <w:t>KK dlouhodobě patří</w:t>
      </w:r>
      <w:r w:rsidRPr="00461806">
        <w:t>, společně s Ústeckým a Moravskoslezským krajem,</w:t>
      </w:r>
      <w:r w:rsidRPr="00461806">
        <w:rPr>
          <w:b/>
        </w:rPr>
        <w:t xml:space="preserve"> k regionům s nejvyšší úrovní nezaměstnanosti, přičemž vývoj nezaměstnanosti kopíruje zhruba celorepublikové trendy</w:t>
      </w:r>
      <w:r w:rsidRPr="00461806">
        <w:t xml:space="preserve">. Nejnižší míru nezaměstnanosti nalezneme v Praze (2,8 %), Středočeském (3,5 %) a Plzeňském kraji (3,8 %). Oproti nejsilnějším regionům má tedy KK téměř dvojnásobnou míru nezaměstnanosti. Klesající míra nezaměstnanosti </w:t>
      </w:r>
      <w:r w:rsidRPr="00461806">
        <w:rPr>
          <w:rFonts w:eastAsiaTheme="majorEastAsia"/>
        </w:rPr>
        <w:t xml:space="preserve">v KK v posledních dvou letech ukazuje, že dochází k mírnému ekonomickému růstu, tvorbě nových pracovních míst a také častější dojížďce za prací do příhraničních německých regionů. </w:t>
      </w:r>
    </w:p>
    <w:p w:rsidR="00F84B78" w:rsidRDefault="00F84B78" w:rsidP="000B3B9C">
      <w:pPr>
        <w:pStyle w:val="Titulek"/>
      </w:pPr>
      <w:bookmarkStart w:id="199" w:name="_Ref465683712"/>
      <w:bookmarkStart w:id="200" w:name="_Ref307434461"/>
      <w:bookmarkStart w:id="201" w:name="_Toc259795071"/>
      <w:bookmarkStart w:id="202" w:name="_Ref310523244"/>
      <w:bookmarkStart w:id="203" w:name="_Toc321406054"/>
      <w:bookmarkStart w:id="204" w:name="_Toc488233496"/>
      <w:r w:rsidRPr="00AE46CF">
        <w:t xml:space="preserve">Tabulka </w:t>
      </w:r>
      <w:r w:rsidR="008965FE">
        <w:fldChar w:fldCharType="begin"/>
      </w:r>
      <w:r w:rsidR="00B33DFE">
        <w:instrText xml:space="preserve"> STYLEREF 1 \s </w:instrText>
      </w:r>
      <w:r w:rsidR="008965FE">
        <w:fldChar w:fldCharType="separate"/>
      </w:r>
      <w:r w:rsidR="00CB29BD">
        <w:t>9</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199"/>
      <w:bookmarkEnd w:id="200"/>
      <w:r w:rsidRPr="00AE46CF">
        <w:t xml:space="preserve">: Vývoj </w:t>
      </w:r>
      <w:r>
        <w:t xml:space="preserve">obecné </w:t>
      </w:r>
      <w:r w:rsidRPr="00AE46CF">
        <w:t xml:space="preserve">míry nezaměstnanosti v krajích </w:t>
      </w:r>
      <w:r w:rsidR="00461806">
        <w:t>v letech 2004 - 2015</w:t>
      </w:r>
      <w:r w:rsidRPr="00AE46CF">
        <w:t xml:space="preserve"> (</w:t>
      </w:r>
      <w:r>
        <w:t>v %</w:t>
      </w:r>
      <w:r w:rsidRPr="00AE46CF">
        <w:t>)</w:t>
      </w:r>
      <w:bookmarkEnd w:id="201"/>
      <w:bookmarkEnd w:id="202"/>
      <w:bookmarkEnd w:id="203"/>
      <w:bookmarkEnd w:id="204"/>
    </w:p>
    <w:tbl>
      <w:tblPr>
        <w:tblW w:w="5000" w:type="pct"/>
        <w:tblCellMar>
          <w:left w:w="70" w:type="dxa"/>
          <w:right w:w="70" w:type="dxa"/>
        </w:tblCellMar>
        <w:tblLook w:val="04A0" w:firstRow="1" w:lastRow="0" w:firstColumn="1" w:lastColumn="0" w:noHBand="0" w:noVBand="1"/>
      </w:tblPr>
      <w:tblGrid>
        <w:gridCol w:w="1510"/>
        <w:gridCol w:w="641"/>
        <w:gridCol w:w="641"/>
        <w:gridCol w:w="642"/>
        <w:gridCol w:w="642"/>
        <w:gridCol w:w="642"/>
        <w:gridCol w:w="642"/>
        <w:gridCol w:w="642"/>
        <w:gridCol w:w="642"/>
        <w:gridCol w:w="642"/>
        <w:gridCol w:w="642"/>
        <w:gridCol w:w="642"/>
        <w:gridCol w:w="642"/>
      </w:tblGrid>
      <w:tr w:rsidR="00F84B78" w:rsidRPr="002354F4" w:rsidTr="00F84B78">
        <w:trPr>
          <w:trHeight w:val="45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4B78" w:rsidRPr="002354F4" w:rsidRDefault="002F684C" w:rsidP="002C40B2">
            <w:pPr>
              <w:spacing w:after="0"/>
              <w:jc w:val="left"/>
              <w:rPr>
                <w:rFonts w:asciiTheme="minorHAnsi" w:hAnsiTheme="minorHAnsi" w:cs="Arial"/>
                <w:b/>
                <w:bCs/>
                <w:sz w:val="20"/>
                <w:szCs w:val="20"/>
              </w:rPr>
            </w:pPr>
            <w:r w:rsidRPr="002F684C">
              <w:rPr>
                <w:rFonts w:asciiTheme="minorHAnsi" w:hAnsiTheme="minorHAnsi" w:cs="Arial"/>
                <w:b/>
                <w:bCs/>
                <w:sz w:val="20"/>
                <w:szCs w:val="20"/>
              </w:rPr>
              <w:t>ČR, kraj</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2004</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2005</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2006</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2007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2008</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2009</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2010</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2011</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2012</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2013</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2014</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2015</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Hl. m. Praha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2,8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2,4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2,5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2,8</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Středočeský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2,6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3,5</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Jihočeský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2,6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4,0</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Plzeňský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3,8</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b/>
                <w:bCs/>
                <w:sz w:val="20"/>
                <w:szCs w:val="20"/>
              </w:rPr>
            </w:pPr>
            <w:r w:rsidRPr="002F684C">
              <w:rPr>
                <w:rFonts w:asciiTheme="minorHAnsi" w:hAnsiTheme="minorHAnsi" w:cs="Arial"/>
                <w:b/>
                <w:bCs/>
                <w:sz w:val="20"/>
                <w:szCs w:val="20"/>
              </w:rPr>
              <w:t xml:space="preserve">Karlovarský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9,4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10,9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10,2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7,6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10,9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10,8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8,5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10,5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10,2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9,0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6,7</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Ústecký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14,5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14,5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13,7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10,1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11,2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10,8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7,6</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Liberecký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5,5</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Královéhradecký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5,6</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Pardubický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4,6</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Vysočina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4,7</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Jihomoravský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5,0</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Olomoucký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12,0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10,0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5,9</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Zlínský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5,5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3,8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6,8</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6,1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4,7</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bottom"/>
            <w:hideMark/>
          </w:tcPr>
          <w:p w:rsidR="00F84B78" w:rsidRPr="002354F4" w:rsidRDefault="002F684C" w:rsidP="002C40B2">
            <w:pPr>
              <w:spacing w:after="0"/>
              <w:jc w:val="left"/>
              <w:rPr>
                <w:rFonts w:asciiTheme="minorHAnsi" w:hAnsiTheme="minorHAnsi" w:cs="Arial"/>
                <w:sz w:val="20"/>
                <w:szCs w:val="20"/>
              </w:rPr>
            </w:pPr>
            <w:r w:rsidRPr="002F684C">
              <w:rPr>
                <w:rFonts w:asciiTheme="minorHAnsi" w:hAnsiTheme="minorHAnsi" w:cs="Arial"/>
                <w:sz w:val="20"/>
                <w:szCs w:val="20"/>
              </w:rPr>
              <w:t xml:space="preserve">Moravskoslezský </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14,5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13,9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12,0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7,4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10,2</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9,5</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9,9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8,6</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sz w:val="20"/>
                <w:szCs w:val="20"/>
              </w:rPr>
            </w:pPr>
            <w:r w:rsidRPr="002F684C">
              <w:rPr>
                <w:rFonts w:asciiTheme="minorHAnsi" w:hAnsiTheme="minorHAnsi" w:cs="Arial"/>
                <w:sz w:val="20"/>
                <w:szCs w:val="20"/>
              </w:rPr>
              <w:t>8,1</w:t>
            </w:r>
          </w:p>
        </w:tc>
      </w:tr>
      <w:tr w:rsidR="00F84B78" w:rsidRPr="002354F4" w:rsidTr="00F84B78">
        <w:trPr>
          <w:trHeight w:val="300"/>
        </w:trPr>
        <w:tc>
          <w:tcPr>
            <w:tcW w:w="761" w:type="pct"/>
            <w:tcBorders>
              <w:top w:val="nil"/>
              <w:left w:val="single" w:sz="4" w:space="0" w:color="auto"/>
              <w:bottom w:val="single" w:sz="4" w:space="0" w:color="auto"/>
              <w:right w:val="single" w:sz="4" w:space="0" w:color="auto"/>
            </w:tcBorders>
            <w:shd w:val="clear" w:color="auto" w:fill="auto"/>
            <w:vAlign w:val="center"/>
            <w:hideMark/>
          </w:tcPr>
          <w:p w:rsidR="00F84B78" w:rsidRPr="002354F4" w:rsidRDefault="002F684C" w:rsidP="002C40B2">
            <w:pPr>
              <w:spacing w:after="0"/>
              <w:jc w:val="left"/>
              <w:rPr>
                <w:rFonts w:asciiTheme="minorHAnsi" w:hAnsiTheme="minorHAnsi" w:cs="Arial"/>
                <w:b/>
                <w:bCs/>
                <w:sz w:val="20"/>
                <w:szCs w:val="20"/>
              </w:rPr>
            </w:pPr>
            <w:r w:rsidRPr="002F684C">
              <w:rPr>
                <w:rFonts w:asciiTheme="minorHAnsi" w:hAnsiTheme="minorHAnsi" w:cs="Arial"/>
                <w:b/>
                <w:bCs/>
                <w:sz w:val="20"/>
                <w:szCs w:val="20"/>
              </w:rPr>
              <w:t>ČR</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8,3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7,9</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7,1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5,3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4,4</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6,7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7,3</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6,7</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7,0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7,0</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6,1</w:t>
            </w:r>
          </w:p>
        </w:tc>
        <w:tc>
          <w:tcPr>
            <w:tcW w:w="353" w:type="pct"/>
            <w:tcBorders>
              <w:top w:val="nil"/>
              <w:left w:val="nil"/>
              <w:bottom w:val="single" w:sz="4" w:space="0" w:color="auto"/>
              <w:right w:val="single" w:sz="4" w:space="0" w:color="auto"/>
            </w:tcBorders>
            <w:shd w:val="clear" w:color="auto" w:fill="auto"/>
            <w:vAlign w:val="center"/>
            <w:hideMark/>
          </w:tcPr>
          <w:p w:rsidR="00F84B78" w:rsidRPr="002354F4" w:rsidRDefault="002F684C" w:rsidP="002C40B2">
            <w:pPr>
              <w:spacing w:after="0"/>
              <w:jc w:val="center"/>
              <w:rPr>
                <w:rFonts w:asciiTheme="minorHAnsi" w:hAnsiTheme="minorHAnsi" w:cs="Arial"/>
                <w:b/>
                <w:bCs/>
                <w:sz w:val="20"/>
                <w:szCs w:val="20"/>
              </w:rPr>
            </w:pPr>
            <w:r w:rsidRPr="002F684C">
              <w:rPr>
                <w:rFonts w:asciiTheme="minorHAnsi" w:hAnsiTheme="minorHAnsi" w:cs="Arial"/>
                <w:b/>
                <w:bCs/>
                <w:sz w:val="20"/>
                <w:szCs w:val="20"/>
              </w:rPr>
              <w:t>5,0</w:t>
            </w:r>
          </w:p>
        </w:tc>
      </w:tr>
    </w:tbl>
    <w:p w:rsidR="009E424D" w:rsidRDefault="00F84B78">
      <w:pPr>
        <w:pStyle w:val="poznzdroj"/>
        <w:rPr>
          <w:rStyle w:val="Zdraznnjemn"/>
          <w:rFonts w:ascii="Calibri" w:hAnsi="Calibri"/>
          <w:i/>
          <w:iCs w:val="0"/>
          <w:szCs w:val="22"/>
        </w:rPr>
      </w:pPr>
      <w:r w:rsidRPr="009F3221">
        <w:rPr>
          <w:rStyle w:val="Zdraznnjemn"/>
          <w:rFonts w:ascii="Calibri" w:hAnsi="Calibri"/>
          <w:i/>
          <w:iCs w:val="0"/>
        </w:rPr>
        <w:t>Zdroj: VŠPS</w:t>
      </w:r>
    </w:p>
    <w:p w:rsidR="00F84B78" w:rsidRDefault="00F84B78" w:rsidP="002C40B2">
      <w:r w:rsidRPr="00461806">
        <w:rPr>
          <w:b/>
        </w:rPr>
        <w:t>Vývoj na trhu práce v Karlovarském kraji vykazuje poměrně výrazné rozdíly uvnitř kraje</w:t>
      </w:r>
      <w:r>
        <w:t xml:space="preserve"> (viz </w:t>
      </w:r>
      <w:r w:rsidR="008965FE">
        <w:fldChar w:fldCharType="begin"/>
      </w:r>
      <w:r w:rsidR="00DA707D">
        <w:instrText xml:space="preserve"> REF _Ref491863858 \h </w:instrText>
      </w:r>
      <w:r w:rsidR="008965FE">
        <w:fldChar w:fldCharType="separate"/>
      </w:r>
      <w:r w:rsidR="00DA707D">
        <w:t>graf 9.2</w:t>
      </w:r>
      <w:r w:rsidR="008965FE">
        <w:fldChar w:fldCharType="end"/>
      </w:r>
      <w:r w:rsidR="00613AD3">
        <w:t xml:space="preserve">, </w:t>
      </w:r>
      <w:r w:rsidR="004F2330">
        <w:fldChar w:fldCharType="begin"/>
      </w:r>
      <w:r w:rsidR="004F2330">
        <w:instrText xml:space="preserve"> REF _Ref466273072 \h  \* MERGEFORMAT </w:instrText>
      </w:r>
      <w:r w:rsidR="004F2330">
        <w:fldChar w:fldCharType="separate"/>
      </w:r>
      <w:r w:rsidR="00DA707D">
        <w:t>t</w:t>
      </w:r>
      <w:r w:rsidR="00CB29BD">
        <w:t xml:space="preserve">abulka </w:t>
      </w:r>
      <w:r w:rsidR="00CB29BD">
        <w:rPr>
          <w:noProof/>
        </w:rPr>
        <w:t>9</w:t>
      </w:r>
      <w:r w:rsidR="00CB29BD">
        <w:t>.4</w:t>
      </w:r>
      <w:r w:rsidR="004F2330">
        <w:fldChar w:fldCharType="end"/>
      </w:r>
      <w:r w:rsidR="00DA50E1">
        <w:t xml:space="preserve"> a </w:t>
      </w:r>
      <w:r w:rsidR="004F2330">
        <w:fldChar w:fldCharType="begin"/>
      </w:r>
      <w:r w:rsidR="004F2330">
        <w:instrText xml:space="preserve"> REF _Ref468706782 \h  \* MERGEFORMAT </w:instrText>
      </w:r>
      <w:r w:rsidR="004F2330">
        <w:fldChar w:fldCharType="separate"/>
      </w:r>
      <w:r w:rsidR="00DA707D">
        <w:t>p</w:t>
      </w:r>
      <w:r w:rsidR="00CB29BD" w:rsidRPr="00FB148F">
        <w:t xml:space="preserve">říloha </w:t>
      </w:r>
      <w:r w:rsidR="00CB29BD">
        <w:t>2</w:t>
      </w:r>
      <w:r w:rsidR="004F2330">
        <w:fldChar w:fldCharType="end"/>
      </w:r>
      <w:r w:rsidRPr="00AE46CF">
        <w:t xml:space="preserve">). K nejproblematičtějším regionům patří okres Sokolov, který dlouhodobě vykazuje nejvyšší nezaměstnanost a patří mezi </w:t>
      </w:r>
      <w:r>
        <w:t xml:space="preserve">okresy </w:t>
      </w:r>
      <w:r w:rsidRPr="00AE46CF">
        <w:t xml:space="preserve">s nejvyšší mírou registrované nezaměstnanosti v rámci </w:t>
      </w:r>
      <w:r>
        <w:t xml:space="preserve">celé </w:t>
      </w:r>
      <w:r w:rsidRPr="00AE46CF">
        <w:t xml:space="preserve">ČR. </w:t>
      </w:r>
    </w:p>
    <w:p w:rsidR="00F84B78" w:rsidRDefault="00F84B78" w:rsidP="000B3B9C">
      <w:pPr>
        <w:pStyle w:val="Titulek"/>
      </w:pPr>
      <w:bookmarkStart w:id="205" w:name="_Ref491863858"/>
      <w:bookmarkStart w:id="206" w:name="_Toc310604022"/>
      <w:bookmarkStart w:id="207" w:name="_Toc310604088"/>
      <w:bookmarkStart w:id="208" w:name="_Toc321406394"/>
      <w:bookmarkStart w:id="209" w:name="_Ref466272595"/>
      <w:bookmarkStart w:id="210" w:name="_Toc488234358"/>
      <w:r>
        <w:lastRenderedPageBreak/>
        <w:t xml:space="preserve">Graf </w:t>
      </w:r>
      <w:r w:rsidR="008965FE">
        <w:fldChar w:fldCharType="begin"/>
      </w:r>
      <w:r w:rsidR="00FD378B">
        <w:instrText xml:space="preserve"> STYLEREF 1 \s </w:instrText>
      </w:r>
      <w:r w:rsidR="008965FE">
        <w:fldChar w:fldCharType="separate"/>
      </w:r>
      <w:r w:rsidR="00CB29BD">
        <w:t>9</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bookmarkEnd w:id="205"/>
      <w:r>
        <w:t xml:space="preserve">: </w:t>
      </w:r>
      <w:r w:rsidRPr="00AE46CF">
        <w:t>Srovnání míry nezaměstnanosti v regionech Karlovarského kraje s průměrem ČR</w:t>
      </w:r>
      <w:bookmarkEnd w:id="206"/>
      <w:bookmarkEnd w:id="207"/>
      <w:bookmarkEnd w:id="208"/>
      <w:bookmarkEnd w:id="209"/>
      <w:r w:rsidR="00461806">
        <w:t xml:space="preserve"> (v %)</w:t>
      </w:r>
      <w:bookmarkEnd w:id="210"/>
    </w:p>
    <w:p w:rsidR="00F84B78" w:rsidRDefault="00F84B78" w:rsidP="000B3B9C">
      <w:pPr>
        <w:pStyle w:val="Titulek"/>
      </w:pPr>
      <w:r>
        <w:drawing>
          <wp:inline distT="0" distB="0" distL="0" distR="0">
            <wp:extent cx="5760720" cy="28956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84B78" w:rsidRPr="0055040F" w:rsidRDefault="00461806" w:rsidP="002C40B2">
      <w:pPr>
        <w:spacing w:before="120"/>
        <w:rPr>
          <w:i/>
          <w:sz w:val="20"/>
          <w:szCs w:val="20"/>
        </w:rPr>
      </w:pPr>
      <w:r>
        <w:rPr>
          <w:i/>
          <w:sz w:val="20"/>
          <w:szCs w:val="20"/>
        </w:rPr>
        <w:t>Zdroj: ČSÚ –</w:t>
      </w:r>
      <w:r w:rsidR="00F84B78" w:rsidRPr="0055040F">
        <w:rPr>
          <w:i/>
          <w:sz w:val="20"/>
          <w:szCs w:val="20"/>
        </w:rPr>
        <w:t xml:space="preserve"> Statistick</w:t>
      </w:r>
      <w:r>
        <w:rPr>
          <w:i/>
          <w:sz w:val="20"/>
          <w:szCs w:val="20"/>
        </w:rPr>
        <w:t>á ročenka Karlovarského kraje</w:t>
      </w:r>
      <w:r w:rsidR="00F84B78" w:rsidRPr="0055040F">
        <w:rPr>
          <w:i/>
          <w:sz w:val="20"/>
          <w:szCs w:val="20"/>
        </w:rPr>
        <w:t xml:space="preserve"> 2009 - 2015, Trh práce</w:t>
      </w:r>
    </w:p>
    <w:p w:rsidR="00F84B78" w:rsidRPr="00F46BE5" w:rsidRDefault="00F84B78" w:rsidP="002C40B2">
      <w:r>
        <w:rPr>
          <w:szCs w:val="20"/>
        </w:rPr>
        <w:t>R</w:t>
      </w:r>
      <w:r w:rsidRPr="00AE46CF">
        <w:rPr>
          <w:szCs w:val="20"/>
        </w:rPr>
        <w:t xml:space="preserve">ůst počtu nezaměstnaných jako nejvýznamnější negativní projev probíhající ekonomické </w:t>
      </w:r>
      <w:r>
        <w:rPr>
          <w:szCs w:val="20"/>
        </w:rPr>
        <w:t>krize</w:t>
      </w:r>
      <w:r w:rsidRPr="00AE46CF">
        <w:rPr>
          <w:szCs w:val="20"/>
        </w:rPr>
        <w:t xml:space="preserve"> pos</w:t>
      </w:r>
      <w:r>
        <w:rPr>
          <w:szCs w:val="20"/>
        </w:rPr>
        <w:t>tihl mezi koncem roku 2008 a 2010</w:t>
      </w:r>
      <w:r w:rsidRPr="00AE46CF">
        <w:rPr>
          <w:szCs w:val="20"/>
        </w:rPr>
        <w:t xml:space="preserve"> všechny regiony Karlovarského kraje.</w:t>
      </w:r>
      <w:r w:rsidRPr="00AE46CF">
        <w:t xml:space="preserve"> </w:t>
      </w:r>
      <w:r>
        <w:t xml:space="preserve">Největší nárůst zaznamenal okres Sokolov (o 5,4 p. b. ). Po roce 2010 dochází k  postupnému poklesu a přibližování se hodnotám nezaměstnanosti před krizí a republikovému průměru (7,5 %). Nezaměstnanost v okrese Cheb je momentálně dokonce o 1 p. b. pod průměrem ČR. </w:t>
      </w:r>
      <w:r w:rsidRPr="00AE46CF">
        <w:t xml:space="preserve">Vyšší nezaměstnanost v některých </w:t>
      </w:r>
      <w:r w:rsidR="00167928">
        <w:rPr>
          <w:rFonts w:ascii="Verdana" w:hAnsi="Verdana" w:cs="Tahoma"/>
          <w:color w:val="000000"/>
          <w:sz w:val="18"/>
          <w:szCs w:val="18"/>
        </w:rPr>
        <w:t>správních obvodech obcí s rozšířenou působností</w:t>
      </w:r>
      <w:r w:rsidR="00167928" w:rsidRPr="00AE46CF">
        <w:t xml:space="preserve"> </w:t>
      </w:r>
      <w:r w:rsidR="00167928">
        <w:t>(</w:t>
      </w:r>
      <w:r w:rsidRPr="00AE46CF">
        <w:t>SO ORP</w:t>
      </w:r>
      <w:r w:rsidR="00167928">
        <w:t>)</w:t>
      </w:r>
      <w:r w:rsidRPr="00AE46CF">
        <w:t xml:space="preserve"> je převážně způsobena závislostí trhu práce na několika málo odvětvích, jejichž průmyslové provozy byly zasažené strukturálními změnami ekonomiky.</w:t>
      </w:r>
      <w:r w:rsidRPr="00F82184">
        <w:t xml:space="preserve"> </w:t>
      </w:r>
      <w:r>
        <w:t xml:space="preserve">Krize se odrazila v počtu pracovních míst ve všech pro KK stěžejních odvětvích (zejména ve </w:t>
      </w:r>
      <w:r w:rsidRPr="00AE46CF">
        <w:t xml:space="preserve">zpracovatelském průmyslu, </w:t>
      </w:r>
      <w:r>
        <w:t xml:space="preserve">ale i v </w:t>
      </w:r>
      <w:r w:rsidRPr="00AE46CF">
        <w:t>cestovním ruchu v souvislosti s lázeňstvím, zdravotnictvím, ubytováním a pohostinstvím, obchodu a stavebnictví</w:t>
      </w:r>
      <w:r>
        <w:t xml:space="preserve">). Nezaměstnanost v kraji ovlivňuje rovněž </w:t>
      </w:r>
      <w:r w:rsidRPr="00F46BE5">
        <w:t>sezónní charakter trhu práce, kdy práce v zemědělství a lesnictví, stavebnictví, lázeňství a cestovním ruchu jsou v zimních měsících v útlumu</w:t>
      </w:r>
      <w:r w:rsidR="003C461D">
        <w:t>.</w:t>
      </w:r>
      <w:r w:rsidRPr="00F46BE5">
        <w:t xml:space="preserve"> </w:t>
      </w:r>
      <w:r w:rsidR="003C461D">
        <w:t>V</w:t>
      </w:r>
      <w:r w:rsidRPr="00F46BE5">
        <w:t xml:space="preserve"> měsících červen - září dochází k nárůstu míry nezaměstnanosti vlivem nevhodné </w:t>
      </w:r>
      <w:r w:rsidR="003C461D">
        <w:t xml:space="preserve">oborové </w:t>
      </w:r>
      <w:r w:rsidRPr="00F46BE5">
        <w:t>struktury vycházejících absolventů pro zaměstnavatele.</w:t>
      </w:r>
    </w:p>
    <w:p w:rsidR="00F84B78" w:rsidRDefault="00F84B78" w:rsidP="002C40B2">
      <w:r w:rsidRPr="00AE46CF">
        <w:rPr>
          <w:szCs w:val="20"/>
        </w:rPr>
        <w:t>Nejproblémovější</w:t>
      </w:r>
      <w:r w:rsidR="003C461D">
        <w:rPr>
          <w:szCs w:val="20"/>
        </w:rPr>
        <w:t>mi</w:t>
      </w:r>
      <w:r w:rsidRPr="00AE46CF">
        <w:rPr>
          <w:szCs w:val="20"/>
        </w:rPr>
        <w:t xml:space="preserve"> regiony z hlediska vysoké míry nezaměstnanosti </w:t>
      </w:r>
      <w:r>
        <w:rPr>
          <w:szCs w:val="20"/>
        </w:rPr>
        <w:t>na úrovni</w:t>
      </w:r>
      <w:r w:rsidRPr="00AE46CF">
        <w:rPr>
          <w:szCs w:val="20"/>
        </w:rPr>
        <w:t xml:space="preserve"> obvod</w:t>
      </w:r>
      <w:r>
        <w:rPr>
          <w:szCs w:val="20"/>
        </w:rPr>
        <w:t>ů</w:t>
      </w:r>
      <w:r w:rsidRPr="00AE46CF">
        <w:rPr>
          <w:szCs w:val="20"/>
        </w:rPr>
        <w:t xml:space="preserve"> </w:t>
      </w:r>
      <w:r w:rsidR="00414CAC">
        <w:rPr>
          <w:szCs w:val="20"/>
        </w:rPr>
        <w:t>obcí s pověřeným obecním úřadem (</w:t>
      </w:r>
      <w:r w:rsidRPr="00AE46CF">
        <w:rPr>
          <w:szCs w:val="20"/>
        </w:rPr>
        <w:t>POÚ</w:t>
      </w:r>
      <w:r w:rsidR="00414CAC">
        <w:rPr>
          <w:szCs w:val="20"/>
        </w:rPr>
        <w:t>)</w:t>
      </w:r>
      <w:r w:rsidRPr="00AE46CF">
        <w:rPr>
          <w:szCs w:val="20"/>
        </w:rPr>
        <w:t xml:space="preserve"> </w:t>
      </w:r>
      <w:r>
        <w:rPr>
          <w:szCs w:val="20"/>
        </w:rPr>
        <w:t xml:space="preserve">a ORP ukazuje </w:t>
      </w:r>
      <w:r w:rsidR="008965FE">
        <w:rPr>
          <w:szCs w:val="20"/>
        </w:rPr>
        <w:fldChar w:fldCharType="begin"/>
      </w:r>
      <w:r w:rsidR="00EB0944">
        <w:rPr>
          <w:szCs w:val="20"/>
        </w:rPr>
        <w:instrText xml:space="preserve"> REF _Ref466273072 \h </w:instrText>
      </w:r>
      <w:r w:rsidR="008965FE">
        <w:rPr>
          <w:szCs w:val="20"/>
        </w:rPr>
      </w:r>
      <w:r w:rsidR="008965FE">
        <w:rPr>
          <w:szCs w:val="20"/>
        </w:rPr>
        <w:fldChar w:fldCharType="separate"/>
      </w:r>
      <w:r w:rsidR="00EB0944">
        <w:t>tabulka 9.4</w:t>
      </w:r>
      <w:r w:rsidR="008965FE">
        <w:rPr>
          <w:szCs w:val="20"/>
        </w:rPr>
        <w:fldChar w:fldCharType="end"/>
      </w:r>
      <w:r w:rsidR="00EB0944">
        <w:rPr>
          <w:szCs w:val="20"/>
        </w:rPr>
        <w:t xml:space="preserve"> </w:t>
      </w:r>
      <w:r w:rsidR="003348D7">
        <w:rPr>
          <w:szCs w:val="20"/>
        </w:rPr>
        <w:t xml:space="preserve">a </w:t>
      </w:r>
      <w:r w:rsidR="004F2330">
        <w:fldChar w:fldCharType="begin"/>
      </w:r>
      <w:r w:rsidR="004F2330">
        <w:instrText xml:space="preserve"> REF _Ref468706782 \h  \* MERGEFORMAT </w:instrText>
      </w:r>
      <w:r w:rsidR="004F2330">
        <w:fldChar w:fldCharType="separate"/>
      </w:r>
      <w:r w:rsidR="00EB0944">
        <w:t>p</w:t>
      </w:r>
      <w:r w:rsidR="00CB29BD" w:rsidRPr="00FB148F">
        <w:t xml:space="preserve">říloha </w:t>
      </w:r>
      <w:r w:rsidR="00CB29BD">
        <w:t>2</w:t>
      </w:r>
      <w:r w:rsidR="004F2330">
        <w:fldChar w:fldCharType="end"/>
      </w:r>
      <w:r w:rsidR="003348D7">
        <w:t xml:space="preserve">. </w:t>
      </w:r>
      <w:r>
        <w:t xml:space="preserve">Nejvyšší podíl nezaměstnaných osob je v Chodově, Sokolově a Kraslicích. V Chodově a Kraslicích navíc vysokou nezaměstnanost umocňuje malý počet volných pracovních míst. Nejlépe je na tom mezi obcemi KK Aš, která má nejnižší podíl nezaměstnaných a více volných míst než uchazečů o zaměstnání. </w:t>
      </w:r>
    </w:p>
    <w:p w:rsidR="00F84B78" w:rsidRDefault="00F84B78" w:rsidP="002C40B2">
      <w:pPr>
        <w:jc w:val="left"/>
      </w:pPr>
      <w:r>
        <w:br w:type="page"/>
      </w:r>
    </w:p>
    <w:p w:rsidR="00F84B78" w:rsidRDefault="00F84B78" w:rsidP="000B3B9C">
      <w:pPr>
        <w:pStyle w:val="Titulek"/>
      </w:pPr>
      <w:bookmarkStart w:id="211" w:name="_Ref466273072"/>
      <w:bookmarkStart w:id="212" w:name="_Ref466021778"/>
      <w:bookmarkStart w:id="213" w:name="_Toc488233497"/>
      <w:r>
        <w:lastRenderedPageBreak/>
        <w:t xml:space="preserve">Tabulka </w:t>
      </w:r>
      <w:r w:rsidR="008965FE">
        <w:fldChar w:fldCharType="begin"/>
      </w:r>
      <w:r w:rsidR="00B33DFE">
        <w:instrText xml:space="preserve"> STYLEREF 1 \s </w:instrText>
      </w:r>
      <w:r w:rsidR="008965FE">
        <w:fldChar w:fldCharType="separate"/>
      </w:r>
      <w:r w:rsidR="00CB29BD">
        <w:t>9</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4</w:t>
      </w:r>
      <w:r w:rsidR="004F2330">
        <w:fldChar w:fldCharType="end"/>
      </w:r>
      <w:bookmarkEnd w:id="211"/>
      <w:r>
        <w:t>: Statistika nezaměstnanosti v obcích KK (stav v září 2016)</w:t>
      </w:r>
      <w:bookmarkEnd w:id="212"/>
      <w:bookmarkEnd w:id="213"/>
    </w:p>
    <w:tbl>
      <w:tblPr>
        <w:tblW w:w="5000" w:type="pct"/>
        <w:tblLayout w:type="fixed"/>
        <w:tblCellMar>
          <w:left w:w="70" w:type="dxa"/>
          <w:right w:w="70" w:type="dxa"/>
        </w:tblCellMar>
        <w:tblLook w:val="04A0" w:firstRow="1" w:lastRow="0" w:firstColumn="1" w:lastColumn="0" w:noHBand="0" w:noVBand="1"/>
      </w:tblPr>
      <w:tblGrid>
        <w:gridCol w:w="2340"/>
        <w:gridCol w:w="1761"/>
        <w:gridCol w:w="1658"/>
        <w:gridCol w:w="2360"/>
        <w:gridCol w:w="1093"/>
      </w:tblGrid>
      <w:tr w:rsidR="00F84B78" w:rsidRPr="000D104C" w:rsidTr="00F84B78">
        <w:trPr>
          <w:trHeight w:val="255"/>
        </w:trPr>
        <w:tc>
          <w:tcPr>
            <w:tcW w:w="1270" w:type="pct"/>
            <w:tcBorders>
              <w:top w:val="single" w:sz="4" w:space="0" w:color="auto"/>
              <w:left w:val="single" w:sz="4" w:space="0" w:color="auto"/>
              <w:bottom w:val="single" w:sz="4" w:space="0" w:color="auto"/>
              <w:right w:val="single" w:sz="4" w:space="0" w:color="auto"/>
            </w:tcBorders>
            <w:shd w:val="clear" w:color="auto" w:fill="auto"/>
            <w:noWrap/>
            <w:hideMark/>
          </w:tcPr>
          <w:p w:rsidR="00F84B78" w:rsidRPr="000D104C" w:rsidRDefault="00F84B78" w:rsidP="002C40B2">
            <w:pPr>
              <w:spacing w:after="0"/>
              <w:jc w:val="left"/>
              <w:rPr>
                <w:rFonts w:asciiTheme="minorHAnsi" w:hAnsiTheme="minorHAnsi" w:cs="Arial"/>
                <w:b/>
                <w:bCs/>
                <w:sz w:val="20"/>
                <w:szCs w:val="20"/>
              </w:rPr>
            </w:pPr>
            <w:r w:rsidRPr="000D104C">
              <w:rPr>
                <w:rFonts w:asciiTheme="minorHAnsi" w:hAnsiTheme="minorHAnsi" w:cs="Arial"/>
                <w:b/>
                <w:bCs/>
                <w:sz w:val="20"/>
                <w:szCs w:val="20"/>
              </w:rPr>
              <w:t>POÚ, ORP</w:t>
            </w:r>
          </w:p>
        </w:tc>
        <w:tc>
          <w:tcPr>
            <w:tcW w:w="956" w:type="pct"/>
            <w:tcBorders>
              <w:top w:val="single" w:sz="4" w:space="0" w:color="auto"/>
              <w:left w:val="nil"/>
              <w:bottom w:val="single" w:sz="4" w:space="0" w:color="auto"/>
              <w:right w:val="single" w:sz="4" w:space="0" w:color="auto"/>
            </w:tcBorders>
            <w:shd w:val="clear" w:color="auto" w:fill="auto"/>
            <w:noWrap/>
            <w:vAlign w:val="bottom"/>
            <w:hideMark/>
          </w:tcPr>
          <w:p w:rsidR="00F84B78" w:rsidRPr="000D104C" w:rsidRDefault="00F84B78" w:rsidP="002C40B2">
            <w:pPr>
              <w:spacing w:after="0"/>
              <w:jc w:val="center"/>
              <w:rPr>
                <w:rFonts w:asciiTheme="minorHAnsi" w:hAnsiTheme="minorHAnsi" w:cs="Arial"/>
                <w:b/>
                <w:bCs/>
                <w:sz w:val="20"/>
                <w:szCs w:val="20"/>
              </w:rPr>
            </w:pPr>
            <w:r w:rsidRPr="000D104C">
              <w:rPr>
                <w:rFonts w:asciiTheme="minorHAnsi" w:hAnsiTheme="minorHAnsi" w:cs="Arial"/>
                <w:b/>
                <w:bCs/>
                <w:sz w:val="20"/>
                <w:szCs w:val="20"/>
              </w:rPr>
              <w:t>Dosažitelní uchazeči 15-64</w:t>
            </w:r>
            <w:r w:rsidR="000F4F6F">
              <w:rPr>
                <w:rFonts w:asciiTheme="minorHAnsi" w:hAnsiTheme="minorHAnsi" w:cs="Arial"/>
                <w:b/>
                <w:bCs/>
                <w:sz w:val="20"/>
                <w:szCs w:val="20"/>
              </w:rPr>
              <w:t xml:space="preserve"> let</w:t>
            </w:r>
          </w:p>
        </w:tc>
        <w:tc>
          <w:tcPr>
            <w:tcW w:w="900" w:type="pct"/>
            <w:tcBorders>
              <w:top w:val="single" w:sz="4" w:space="0" w:color="auto"/>
              <w:left w:val="nil"/>
              <w:bottom w:val="single" w:sz="4" w:space="0" w:color="auto"/>
              <w:right w:val="single" w:sz="4" w:space="0" w:color="auto"/>
            </w:tcBorders>
            <w:shd w:val="clear" w:color="auto" w:fill="auto"/>
            <w:noWrap/>
            <w:vAlign w:val="bottom"/>
            <w:hideMark/>
          </w:tcPr>
          <w:p w:rsidR="00F84B78" w:rsidRPr="000D104C" w:rsidRDefault="00F84B78" w:rsidP="002C40B2">
            <w:pPr>
              <w:spacing w:after="0"/>
              <w:jc w:val="center"/>
              <w:rPr>
                <w:rFonts w:asciiTheme="minorHAnsi" w:hAnsiTheme="minorHAnsi" w:cs="Arial"/>
                <w:b/>
                <w:bCs/>
                <w:sz w:val="20"/>
                <w:szCs w:val="20"/>
              </w:rPr>
            </w:pPr>
            <w:r w:rsidRPr="000D104C">
              <w:rPr>
                <w:rFonts w:asciiTheme="minorHAnsi" w:hAnsiTheme="minorHAnsi" w:cs="Arial"/>
                <w:b/>
                <w:bCs/>
                <w:sz w:val="20"/>
                <w:szCs w:val="20"/>
              </w:rPr>
              <w:t>Obyvatelstvo 15-64</w:t>
            </w:r>
            <w:r w:rsidR="000F4F6F">
              <w:rPr>
                <w:rFonts w:asciiTheme="minorHAnsi" w:hAnsiTheme="minorHAnsi" w:cs="Arial"/>
                <w:b/>
                <w:bCs/>
                <w:sz w:val="20"/>
                <w:szCs w:val="20"/>
              </w:rPr>
              <w:t xml:space="preserve"> let</w:t>
            </w:r>
          </w:p>
        </w:tc>
        <w:tc>
          <w:tcPr>
            <w:tcW w:w="1281" w:type="pct"/>
            <w:tcBorders>
              <w:top w:val="single" w:sz="4" w:space="0" w:color="auto"/>
              <w:left w:val="nil"/>
              <w:bottom w:val="single" w:sz="4" w:space="0" w:color="auto"/>
              <w:right w:val="single" w:sz="4" w:space="0" w:color="auto"/>
            </w:tcBorders>
            <w:shd w:val="clear" w:color="auto" w:fill="auto"/>
            <w:noWrap/>
            <w:vAlign w:val="bottom"/>
            <w:hideMark/>
          </w:tcPr>
          <w:p w:rsidR="00F84B78" w:rsidRPr="000D104C" w:rsidRDefault="00F84B78" w:rsidP="002C40B2">
            <w:pPr>
              <w:spacing w:after="0"/>
              <w:jc w:val="center"/>
              <w:rPr>
                <w:rFonts w:asciiTheme="minorHAnsi" w:hAnsiTheme="minorHAnsi" w:cs="Arial"/>
                <w:b/>
                <w:bCs/>
                <w:sz w:val="20"/>
                <w:szCs w:val="20"/>
              </w:rPr>
            </w:pPr>
            <w:r w:rsidRPr="000D104C">
              <w:rPr>
                <w:rFonts w:asciiTheme="minorHAnsi" w:hAnsiTheme="minorHAnsi" w:cs="Arial"/>
                <w:b/>
                <w:bCs/>
                <w:sz w:val="20"/>
                <w:szCs w:val="20"/>
              </w:rPr>
              <w:t>Podíl nezaměstnaných osob</w:t>
            </w:r>
          </w:p>
        </w:tc>
        <w:tc>
          <w:tcPr>
            <w:tcW w:w="594" w:type="pct"/>
            <w:tcBorders>
              <w:top w:val="single" w:sz="4" w:space="0" w:color="auto"/>
              <w:left w:val="nil"/>
              <w:bottom w:val="single" w:sz="4" w:space="0" w:color="auto"/>
              <w:right w:val="single" w:sz="4" w:space="0" w:color="auto"/>
            </w:tcBorders>
            <w:shd w:val="clear" w:color="auto" w:fill="auto"/>
            <w:noWrap/>
            <w:vAlign w:val="bottom"/>
            <w:hideMark/>
          </w:tcPr>
          <w:p w:rsidR="00F84B78" w:rsidRPr="000D104C" w:rsidRDefault="00F84B78" w:rsidP="002C40B2">
            <w:pPr>
              <w:spacing w:after="0"/>
              <w:jc w:val="center"/>
              <w:rPr>
                <w:rFonts w:asciiTheme="minorHAnsi" w:hAnsiTheme="minorHAnsi" w:cs="Arial"/>
                <w:b/>
                <w:bCs/>
                <w:sz w:val="20"/>
                <w:szCs w:val="20"/>
              </w:rPr>
            </w:pPr>
            <w:r w:rsidRPr="000D104C">
              <w:rPr>
                <w:rFonts w:asciiTheme="minorHAnsi" w:hAnsiTheme="minorHAnsi" w:cs="Arial"/>
                <w:b/>
                <w:bCs/>
                <w:sz w:val="20"/>
                <w:szCs w:val="20"/>
              </w:rPr>
              <w:t>Volná místa</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Aš</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328</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11 826</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2,80%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413</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Horní Slavkov</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238</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4 364</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5,50%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48</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Cheb</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1 342</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33 476</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4,00%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1 115</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Chodov</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1 130</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12 335</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9,20%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92</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Karlovy Vary</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2 325</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44 267</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5,30%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1 190</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Kraslice</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582</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8 946</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6,50%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61</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Kynšperk nad Ohří</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228</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4 163</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5,50%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29</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Loket</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158</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2 779</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5,70%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Mariánské Lázně</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467</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15 954</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2,90%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431</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Nejdek</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290</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6 174</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4,70%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102</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Ostrov</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1 159</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19 288</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6,00%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210</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Sokolov</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2 023</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27 989</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7,20%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348</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Toužim</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205</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4 171</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4,90%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18</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Vojenský újezd Hradiště</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0</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 </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0</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Žlutice</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234</w:t>
            </w:r>
          </w:p>
        </w:tc>
        <w:tc>
          <w:tcPr>
            <w:tcW w:w="900"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3 594</w:t>
            </w:r>
          </w:p>
        </w:tc>
        <w:tc>
          <w:tcPr>
            <w:tcW w:w="1281"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6,50%</w:t>
            </w:r>
          </w:p>
        </w:tc>
        <w:tc>
          <w:tcPr>
            <w:tcW w:w="594"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16</w:t>
            </w:r>
          </w:p>
        </w:tc>
      </w:tr>
      <w:tr w:rsidR="00F84B78" w:rsidRPr="000D104C" w:rsidTr="00F84B78">
        <w:trPr>
          <w:trHeight w:val="255"/>
        </w:trPr>
        <w:tc>
          <w:tcPr>
            <w:tcW w:w="1270" w:type="pct"/>
            <w:tcBorders>
              <w:top w:val="nil"/>
              <w:left w:val="single" w:sz="4" w:space="0" w:color="auto"/>
              <w:bottom w:val="single" w:sz="4" w:space="0" w:color="auto"/>
              <w:right w:val="single" w:sz="4" w:space="0" w:color="auto"/>
            </w:tcBorders>
            <w:shd w:val="clear" w:color="auto" w:fill="auto"/>
            <w:vAlign w:val="center"/>
            <w:hideMark/>
          </w:tcPr>
          <w:p w:rsidR="00F84B78" w:rsidRPr="000D104C" w:rsidRDefault="00F84B78" w:rsidP="002C40B2">
            <w:pPr>
              <w:spacing w:after="0"/>
              <w:jc w:val="left"/>
              <w:rPr>
                <w:rFonts w:asciiTheme="minorHAnsi" w:hAnsiTheme="minorHAnsi" w:cs="Arial"/>
                <w:sz w:val="20"/>
                <w:szCs w:val="20"/>
              </w:rPr>
            </w:pPr>
            <w:r w:rsidRPr="000D104C">
              <w:rPr>
                <w:rFonts w:asciiTheme="minorHAnsi" w:hAnsiTheme="minorHAnsi" w:cs="Arial"/>
                <w:sz w:val="20"/>
                <w:szCs w:val="20"/>
              </w:rPr>
              <w:t>Ostatní</w:t>
            </w:r>
          </w:p>
        </w:tc>
        <w:tc>
          <w:tcPr>
            <w:tcW w:w="956" w:type="pct"/>
            <w:tcBorders>
              <w:top w:val="nil"/>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89</w:t>
            </w:r>
          </w:p>
        </w:tc>
        <w:tc>
          <w:tcPr>
            <w:tcW w:w="2775" w:type="pct"/>
            <w:gridSpan w:val="3"/>
            <w:tcBorders>
              <w:top w:val="single" w:sz="4" w:space="0" w:color="auto"/>
              <w:left w:val="nil"/>
              <w:bottom w:val="single" w:sz="4" w:space="0" w:color="auto"/>
              <w:right w:val="single" w:sz="4" w:space="0" w:color="auto"/>
            </w:tcBorders>
            <w:shd w:val="clear" w:color="auto" w:fill="auto"/>
            <w:vAlign w:val="center"/>
            <w:hideMark/>
          </w:tcPr>
          <w:p w:rsidR="00F84B78" w:rsidRPr="000D104C" w:rsidRDefault="00F84B78" w:rsidP="002C40B2">
            <w:pPr>
              <w:spacing w:after="0"/>
              <w:jc w:val="center"/>
              <w:rPr>
                <w:rFonts w:asciiTheme="minorHAnsi" w:hAnsiTheme="minorHAnsi" w:cs="Arial"/>
                <w:sz w:val="20"/>
                <w:szCs w:val="20"/>
              </w:rPr>
            </w:pPr>
            <w:r w:rsidRPr="000D104C">
              <w:rPr>
                <w:rFonts w:asciiTheme="minorHAnsi" w:hAnsiTheme="minorHAnsi" w:cs="Arial"/>
                <w:sz w:val="20"/>
                <w:szCs w:val="20"/>
              </w:rPr>
              <w:t> </w:t>
            </w:r>
          </w:p>
        </w:tc>
      </w:tr>
    </w:tbl>
    <w:p w:rsidR="009E424D" w:rsidRDefault="00F84B78">
      <w:pPr>
        <w:pStyle w:val="poznzdroj"/>
        <w:spacing w:after="0"/>
        <w:rPr>
          <w:szCs w:val="20"/>
        </w:rPr>
      </w:pPr>
      <w:r w:rsidRPr="000D104C">
        <w:rPr>
          <w:szCs w:val="20"/>
        </w:rPr>
        <w:t>Poznámka:</w:t>
      </w:r>
      <w:r w:rsidRPr="000D104C">
        <w:rPr>
          <w:rFonts w:ascii="Arial" w:hAnsi="Arial" w:cs="Arial"/>
          <w:b/>
          <w:bCs/>
          <w:color w:val="000000"/>
          <w:szCs w:val="20"/>
        </w:rPr>
        <w:t xml:space="preserve"> </w:t>
      </w:r>
      <w:r w:rsidRPr="000D104C">
        <w:rPr>
          <w:szCs w:val="20"/>
        </w:rPr>
        <w:t>Dosažitelní uchazeči 15</w:t>
      </w:r>
      <w:r w:rsidR="000D104C">
        <w:rPr>
          <w:szCs w:val="20"/>
        </w:rPr>
        <w:t xml:space="preserve"> </w:t>
      </w:r>
      <w:r w:rsidR="000F4F6F">
        <w:rPr>
          <w:szCs w:val="20"/>
        </w:rPr>
        <w:t>–</w:t>
      </w:r>
      <w:r w:rsidR="000D104C">
        <w:rPr>
          <w:szCs w:val="20"/>
        </w:rPr>
        <w:t xml:space="preserve"> </w:t>
      </w:r>
      <w:r w:rsidRPr="000D104C">
        <w:rPr>
          <w:szCs w:val="20"/>
        </w:rPr>
        <w:t>64</w:t>
      </w:r>
      <w:r w:rsidR="000F4F6F">
        <w:rPr>
          <w:szCs w:val="20"/>
        </w:rPr>
        <w:t xml:space="preserve"> let</w:t>
      </w:r>
      <w:r w:rsidRPr="000D104C">
        <w:rPr>
          <w:szCs w:val="20"/>
        </w:rPr>
        <w:t xml:space="preserve"> - jedná se o uchazeče o zaměstnání ve věku 15</w:t>
      </w:r>
      <w:r w:rsidR="000D104C">
        <w:rPr>
          <w:szCs w:val="20"/>
        </w:rPr>
        <w:t xml:space="preserve"> </w:t>
      </w:r>
      <w:r w:rsidR="00E96D31">
        <w:rPr>
          <w:szCs w:val="20"/>
        </w:rPr>
        <w:t>–</w:t>
      </w:r>
      <w:r w:rsidR="000D104C">
        <w:rPr>
          <w:szCs w:val="20"/>
        </w:rPr>
        <w:t xml:space="preserve"> </w:t>
      </w:r>
      <w:r w:rsidRPr="000D104C">
        <w:rPr>
          <w:szCs w:val="20"/>
        </w:rPr>
        <w:t>64</w:t>
      </w:r>
      <w:r w:rsidR="00E96D31">
        <w:rPr>
          <w:szCs w:val="20"/>
        </w:rPr>
        <w:t xml:space="preserve"> let</w:t>
      </w:r>
      <w:r w:rsidRPr="000D104C">
        <w:rPr>
          <w:szCs w:val="20"/>
        </w:rPr>
        <w:t>, kteří mohou bezprostředně nastoupit do zaměstnání při nabídce vhodného pracovního místa, tj. evidovaní nezaměstnaní, kteří nemají žádnou objektivní překážku pro přijetí zaměstnání.</w:t>
      </w:r>
    </w:p>
    <w:p w:rsidR="009E424D" w:rsidRDefault="00461806">
      <w:pPr>
        <w:pStyle w:val="poznzdroj"/>
        <w:spacing w:before="0" w:after="120"/>
        <w:rPr>
          <w:szCs w:val="20"/>
        </w:rPr>
      </w:pPr>
      <w:r w:rsidRPr="000D104C">
        <w:rPr>
          <w:szCs w:val="20"/>
        </w:rPr>
        <w:t>Zdroj: MPSV -</w:t>
      </w:r>
      <w:r w:rsidR="00F84B78" w:rsidRPr="000D104C">
        <w:rPr>
          <w:szCs w:val="20"/>
        </w:rPr>
        <w:t xml:space="preserve"> Statistiky nezaměstnanosti z územního hlediska</w:t>
      </w:r>
    </w:p>
    <w:p w:rsidR="00F84B78" w:rsidRPr="00AE46CF" w:rsidRDefault="00F84B78" w:rsidP="002C40B2">
      <w:r w:rsidRPr="00AE46CF">
        <w:t xml:space="preserve">Pro popis vývoje nezaměstnanosti je dalším významným ukazatelem celková </w:t>
      </w:r>
      <w:r w:rsidRPr="00DF1891">
        <w:rPr>
          <w:b/>
        </w:rPr>
        <w:t>doba evidence</w:t>
      </w:r>
      <w:r w:rsidRPr="00AE46CF">
        <w:t xml:space="preserve"> uchazečů o zaměstnání. I bez vazby na další dopady nezaměstnanosti do sociální soudržnosti, sociálního systému, rodinného života konkrétních osob, je délka evidence dokladem zdravě fungujícího trhu práce. Na dobře fungujícím trhu práce je stabilně určité procento osob bez zaměstnání</w:t>
      </w:r>
      <w:r w:rsidR="000F4F6F">
        <w:t>, např.</w:t>
      </w:r>
      <w:r w:rsidR="00061BCD">
        <w:t xml:space="preserve"> z důvodu </w:t>
      </w:r>
      <w:r w:rsidRPr="00AE46CF">
        <w:t>změny zaměstnání apod., přičemž se dá očekávat, že tito lidé v poměrně krátké době nové zaměstnání najdou. Naopak výraznější zastoupení dlouhodobě evidovaných osob ukazuje na strukturální problémy na trhu práce – většinou z důvodu nesouladu mezi poptávkou a nabídkou na trhu práce především z hlediska vzdělání a odbornosti, případně o závažných posunech na trhu práce a v celé ekonomice kraje.</w:t>
      </w:r>
    </w:p>
    <w:p w:rsidR="00F84B78" w:rsidRDefault="00F84B78" w:rsidP="002C40B2">
      <w:pPr>
        <w:rPr>
          <w:rStyle w:val="Siln"/>
          <w:rFonts w:eastAsiaTheme="majorEastAsia"/>
        </w:rPr>
      </w:pPr>
      <w:r w:rsidRPr="00F1673B">
        <w:t>Vývoj podílu nezaměstnaných podle délky nezaměstnanosti v letech 2011 – 2015 ukazuje</w:t>
      </w:r>
      <w:r>
        <w:t xml:space="preserve"> </w:t>
      </w:r>
      <w:r w:rsidR="004F2330">
        <w:fldChar w:fldCharType="begin"/>
      </w:r>
      <w:r w:rsidR="004F2330">
        <w:instrText xml:space="preserve"> REF _Ref466275854 \h  \* MERGEFORMAT </w:instrText>
      </w:r>
      <w:r w:rsidR="004F2330">
        <w:fldChar w:fldCharType="separate"/>
      </w:r>
      <w:r w:rsidR="00DA707D">
        <w:t>g</w:t>
      </w:r>
      <w:r w:rsidR="00CB29BD">
        <w:t xml:space="preserve">raf </w:t>
      </w:r>
      <w:r w:rsidR="00CB29BD">
        <w:rPr>
          <w:noProof/>
        </w:rPr>
        <w:t>9</w:t>
      </w:r>
      <w:r w:rsidR="00CB29BD">
        <w:t>.3</w:t>
      </w:r>
      <w:r w:rsidR="004F2330">
        <w:fldChar w:fldCharType="end"/>
      </w:r>
      <w:r w:rsidRPr="00F1673B">
        <w:t xml:space="preserve">. Od roku 2011 do současnosti </w:t>
      </w:r>
      <w:r>
        <w:t>vzrostla jednak</w:t>
      </w:r>
      <w:r w:rsidRPr="00F1673B">
        <w:t xml:space="preserve"> </w:t>
      </w:r>
      <w:r>
        <w:t>skupina</w:t>
      </w:r>
      <w:r w:rsidRPr="00EF3573">
        <w:t xml:space="preserve"> krátkodobě nezaměstnaných (do 3 měsíců), a to na 19,9 % (o 2,7 p.</w:t>
      </w:r>
      <w:r>
        <w:t xml:space="preserve"> b), což je hodnota srovnatelná s průměrem ČR, a pak zejména </w:t>
      </w:r>
      <w:r w:rsidRPr="00F1673B">
        <w:t>skupina osob nezaměstnaných déle než 24 měsíců</w:t>
      </w:r>
      <w:r>
        <w:t>, a to</w:t>
      </w:r>
      <w:r w:rsidRPr="00F1673B">
        <w:t xml:space="preserve"> jak v KK, tak na úrovni ČR. Za 5 let vzrostl podíl </w:t>
      </w:r>
      <w:r>
        <w:t xml:space="preserve">této skupiny nezaměstnaných </w:t>
      </w:r>
      <w:r w:rsidRPr="00F1673B">
        <w:t>v KK o 8</w:t>
      </w:r>
      <w:r w:rsidR="000F4F6F">
        <w:t xml:space="preserve"> </w:t>
      </w:r>
      <w:r w:rsidRPr="00F1673B">
        <w:t xml:space="preserve">%. </w:t>
      </w:r>
      <w:r w:rsidRPr="00DF1891">
        <w:rPr>
          <w:b/>
        </w:rPr>
        <w:t>Nezaměstnaní po</w:t>
      </w:r>
      <w:r>
        <w:rPr>
          <w:b/>
        </w:rPr>
        <w:t xml:space="preserve"> </w:t>
      </w:r>
      <w:r w:rsidRPr="00DF1891">
        <w:rPr>
          <w:b/>
        </w:rPr>
        <w:t>dobu</w:t>
      </w:r>
      <w:r w:rsidRPr="00DF1891">
        <w:rPr>
          <w:rStyle w:val="Siln"/>
          <w:rFonts w:eastAsiaTheme="majorEastAsia"/>
          <w:b w:val="0"/>
        </w:rPr>
        <w:t xml:space="preserve"> </w:t>
      </w:r>
      <w:r w:rsidRPr="00DF1891">
        <w:rPr>
          <w:rStyle w:val="Siln"/>
          <w:rFonts w:eastAsiaTheme="majorEastAsia"/>
        </w:rPr>
        <w:t xml:space="preserve">delší než 1 rok </w:t>
      </w:r>
      <w:r>
        <w:rPr>
          <w:rStyle w:val="Siln"/>
          <w:rFonts w:eastAsiaTheme="majorEastAsia"/>
        </w:rPr>
        <w:t xml:space="preserve">tvoří v KK </w:t>
      </w:r>
      <w:r w:rsidRPr="00DF1891">
        <w:rPr>
          <w:rStyle w:val="Siln"/>
          <w:rFonts w:eastAsiaTheme="majorEastAsia"/>
        </w:rPr>
        <w:t xml:space="preserve">celkem </w:t>
      </w:r>
      <w:r>
        <w:rPr>
          <w:rStyle w:val="Siln"/>
          <w:rFonts w:eastAsiaTheme="majorEastAsia"/>
        </w:rPr>
        <w:br/>
      </w:r>
      <w:r w:rsidRPr="00DF1891">
        <w:rPr>
          <w:b/>
        </w:rPr>
        <w:t>56,4 % z celkového počtu uchazečů o zaměstnání</w:t>
      </w:r>
      <w:r w:rsidRPr="00EF3573">
        <w:t xml:space="preserve"> (oproti 49,8 % v ČR). </w:t>
      </w:r>
      <w:r>
        <w:t>J</w:t>
      </w:r>
      <w:r w:rsidRPr="00EF3573">
        <w:rPr>
          <w:rStyle w:val="Siln"/>
          <w:rFonts w:eastAsiaTheme="majorEastAsia"/>
          <w:b w:val="0"/>
        </w:rPr>
        <w:t xml:space="preserve">ejich podíl i absolutní počet </w:t>
      </w:r>
      <w:r>
        <w:rPr>
          <w:rStyle w:val="Siln"/>
          <w:rFonts w:eastAsiaTheme="majorEastAsia"/>
          <w:b w:val="0"/>
        </w:rPr>
        <w:t xml:space="preserve">navíc </w:t>
      </w:r>
      <w:r w:rsidRPr="00EF3573">
        <w:rPr>
          <w:rStyle w:val="Siln"/>
          <w:rFonts w:eastAsiaTheme="majorEastAsia"/>
          <w:b w:val="0"/>
        </w:rPr>
        <w:t>v čase mírně roste.</w:t>
      </w:r>
      <w:r w:rsidRPr="00EF3573">
        <w:rPr>
          <w:rStyle w:val="Siln"/>
          <w:rFonts w:eastAsiaTheme="majorEastAsia"/>
        </w:rPr>
        <w:t xml:space="preserve"> </w:t>
      </w:r>
    </w:p>
    <w:p w:rsidR="00F84B78" w:rsidRDefault="00F84B78" w:rsidP="000B3B9C">
      <w:pPr>
        <w:pStyle w:val="Titulek"/>
      </w:pPr>
      <w:bookmarkStart w:id="214" w:name="_Ref466275854"/>
      <w:bookmarkStart w:id="215" w:name="_Toc310604019"/>
      <w:bookmarkStart w:id="216" w:name="_Toc310604085"/>
      <w:bookmarkStart w:id="217" w:name="_Toc321406391"/>
      <w:bookmarkStart w:id="218" w:name="_Toc488234359"/>
      <w:r>
        <w:lastRenderedPageBreak/>
        <w:t xml:space="preserve">Graf </w:t>
      </w:r>
      <w:r w:rsidR="008965FE">
        <w:fldChar w:fldCharType="begin"/>
      </w:r>
      <w:r w:rsidR="00FD378B">
        <w:instrText xml:space="preserve"> STYLEREF 1 \s </w:instrText>
      </w:r>
      <w:r w:rsidR="008965FE">
        <w:fldChar w:fldCharType="separate"/>
      </w:r>
      <w:r w:rsidR="00CB29BD">
        <w:t>9</w:t>
      </w:r>
      <w:r w:rsidR="008965FE">
        <w:fldChar w:fldCharType="end"/>
      </w:r>
      <w:r w:rsidR="00FD378B">
        <w:t>.</w:t>
      </w:r>
      <w:r w:rsidR="008965FE">
        <w:fldChar w:fldCharType="begin"/>
      </w:r>
      <w:r w:rsidR="00FD378B">
        <w:instrText xml:space="preserve"> SEQ Graf \* ARABIC \s 1 </w:instrText>
      </w:r>
      <w:r w:rsidR="008965FE">
        <w:fldChar w:fldCharType="separate"/>
      </w:r>
      <w:r w:rsidR="00CB29BD">
        <w:t>3</w:t>
      </w:r>
      <w:r w:rsidR="008965FE">
        <w:fldChar w:fldCharType="end"/>
      </w:r>
      <w:bookmarkEnd w:id="214"/>
      <w:r w:rsidRPr="00AE46CF">
        <w:t xml:space="preserve">: </w:t>
      </w:r>
      <w:r>
        <w:t>Podíl</w:t>
      </w:r>
      <w:r w:rsidRPr="00AE46CF">
        <w:t xml:space="preserve"> nezaměstnaných podle délky nezaměstnanosti v</w:t>
      </w:r>
      <w:r w:rsidR="00A30B12">
        <w:t> KK a ČR v</w:t>
      </w:r>
      <w:r w:rsidRPr="00AE46CF">
        <w:t xml:space="preserve"> letech </w:t>
      </w:r>
      <w:bookmarkEnd w:id="215"/>
      <w:bookmarkEnd w:id="216"/>
      <w:bookmarkEnd w:id="217"/>
      <w:r>
        <w:t>2011 – 2015 (v %)</w:t>
      </w:r>
      <w:bookmarkEnd w:id="218"/>
    </w:p>
    <w:p w:rsidR="00F84B78" w:rsidRDefault="00F84B78" w:rsidP="002C40B2">
      <w:pPr>
        <w:spacing w:before="120"/>
        <w:rPr>
          <w:i/>
          <w:sz w:val="20"/>
          <w:szCs w:val="20"/>
        </w:rPr>
      </w:pPr>
      <w:r>
        <w:rPr>
          <w:noProof/>
        </w:rPr>
        <w:drawing>
          <wp:inline distT="0" distB="0" distL="0" distR="0">
            <wp:extent cx="5760720" cy="3678555"/>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bookmarkStart w:id="219" w:name="_Toc262724855"/>
    </w:p>
    <w:p w:rsidR="00F84B78" w:rsidRPr="00DF6879" w:rsidRDefault="00F84B78" w:rsidP="002C40B2">
      <w:pPr>
        <w:spacing w:before="120"/>
        <w:rPr>
          <w:rStyle w:val="Zdraznnjemn"/>
        </w:rPr>
      </w:pPr>
      <w:r w:rsidRPr="00DF6879">
        <w:rPr>
          <w:rStyle w:val="Zdraznnjemn"/>
        </w:rPr>
        <w:t xml:space="preserve">Zdroj: </w:t>
      </w:r>
      <w:r w:rsidR="00DF6879" w:rsidRPr="00DF6879">
        <w:rPr>
          <w:rStyle w:val="Zdraznnjemn"/>
        </w:rPr>
        <w:t>ČSÚ -</w:t>
      </w:r>
      <w:r w:rsidRPr="00DF6879">
        <w:rPr>
          <w:rStyle w:val="Zdraznnjemn"/>
        </w:rPr>
        <w:t xml:space="preserve"> Trh práce v ČR, Časové řady 2011 – 2015</w:t>
      </w:r>
    </w:p>
    <w:p w:rsidR="00F84B78" w:rsidRDefault="00F84B78" w:rsidP="002C40B2">
      <w:r w:rsidRPr="00FF3838">
        <w:rPr>
          <w:rStyle w:val="Siln"/>
          <w:rFonts w:eastAsiaTheme="majorEastAsia"/>
          <w:b w:val="0"/>
        </w:rPr>
        <w:t>D</w:t>
      </w:r>
      <w:r w:rsidRPr="00A601FE">
        <w:t>louhodobě nezaměstnaní uchazeči jsou zejména uchazeči s nízkou kvalifikací obtížně uplatnitelní na trhu práce, dále uchazeči sociálně vyloučení a závislí na poskytování sociálních dávek, u kterých se projevuje pasivní přístup při vyhledávání pracovního uplatnění. U uchazečů kvalifikovaných se jedná zejména o pokles konkurenceschopnosti způsobený nevyužíváním své kvalifikace a znalostí.</w:t>
      </w:r>
      <w:r>
        <w:t xml:space="preserve"> </w:t>
      </w:r>
      <w:r w:rsidRPr="00A601FE">
        <w:t xml:space="preserve">Největším problémem </w:t>
      </w:r>
      <w:r>
        <w:t>dlouhodobě nezaměstnaných</w:t>
      </w:r>
      <w:r w:rsidRPr="00A601FE">
        <w:t xml:space="preserve"> se stává ztráta pracovních náv</w:t>
      </w:r>
      <w:r w:rsidR="00DF6879">
        <w:t>yků a snížená pracovní motivace</w:t>
      </w:r>
      <w:r w:rsidR="00A30B12">
        <w:t xml:space="preserve"> </w:t>
      </w:r>
      <w:r>
        <w:t xml:space="preserve">(viz </w:t>
      </w:r>
      <w:r w:rsidR="002F684C" w:rsidRPr="002F684C">
        <w:rPr>
          <w:i/>
        </w:rPr>
        <w:t>Strategie rozvoje zaměstnanosti Karlovarského kraje</w:t>
      </w:r>
      <w:r w:rsidRPr="00DF6879">
        <w:t xml:space="preserve">, </w:t>
      </w:r>
      <w:r>
        <w:t>2015)</w:t>
      </w:r>
      <w:r w:rsidR="00DF6879">
        <w:t>.</w:t>
      </w:r>
      <w:r>
        <w:t xml:space="preserve"> </w:t>
      </w:r>
      <w:r w:rsidRPr="00EF3573">
        <w:t xml:space="preserve">Tyto nezaměstnaní mají z hlediska podpory při hledání dalšího uplatnění specifické potřeby, a proto, aby se jejich počet snížil, je třeba jim nabízenou podporu přizpůsobit. </w:t>
      </w:r>
    </w:p>
    <w:p w:rsidR="00F84B78" w:rsidRDefault="00F84B78" w:rsidP="002C40B2">
      <w:r w:rsidRPr="00AE46CF">
        <w:t xml:space="preserve">Z pohledu současného ekonomického </w:t>
      </w:r>
      <w:r>
        <w:t xml:space="preserve">a demografického </w:t>
      </w:r>
      <w:r w:rsidRPr="00AE46CF">
        <w:t>vývoje</w:t>
      </w:r>
      <w:r>
        <w:t xml:space="preserve"> lze předpokládat</w:t>
      </w:r>
      <w:r w:rsidRPr="00AE46CF">
        <w:t xml:space="preserve"> další, i když mírn</w:t>
      </w:r>
      <w:r>
        <w:t xml:space="preserve">ý pokles </w:t>
      </w:r>
      <w:r w:rsidRPr="00AE46CF">
        <w:t>nezaměstnanosti</w:t>
      </w:r>
      <w:r>
        <w:t xml:space="preserve">. </w:t>
      </w:r>
      <w:r w:rsidRPr="00AE46CF">
        <w:t xml:space="preserve">V kraji a obecně v celé České republice </w:t>
      </w:r>
      <w:r>
        <w:t xml:space="preserve">však </w:t>
      </w:r>
      <w:r w:rsidRPr="00AE46CF">
        <w:t xml:space="preserve">stále nevzniká dostatek nových pracovních míst a nedochází tak k rychlému umístění krátkodobě, natož dlouhodobě nezaměstnaných uchazečů zpět na trh práce. </w:t>
      </w:r>
    </w:p>
    <w:p w:rsidR="00F84B78" w:rsidRPr="00AE46CF" w:rsidRDefault="00F84B78" w:rsidP="002C40B2">
      <w:r>
        <w:rPr>
          <w:b/>
        </w:rPr>
        <w:t>P</w:t>
      </w:r>
      <w:r w:rsidRPr="00DF1891">
        <w:rPr>
          <w:b/>
        </w:rPr>
        <w:t>očet volných pracovních míst, resp. počet uchazečů na 1 volné pracovní místo</w:t>
      </w:r>
      <w:r>
        <w:rPr>
          <w:b/>
        </w:rPr>
        <w:t xml:space="preserve"> </w:t>
      </w:r>
      <w:r w:rsidRPr="00BA1A44">
        <w:t>je dalším</w:t>
      </w:r>
      <w:r w:rsidRPr="00AE46CF">
        <w:t xml:space="preserve"> ukazatelem vývoje </w:t>
      </w:r>
      <w:r>
        <w:t>na trhu práce. V</w:t>
      </w:r>
      <w:r w:rsidRPr="00AE46CF">
        <w:t>e všech SO ORP v Karlovarském kraji</w:t>
      </w:r>
      <w:r>
        <w:t xml:space="preserve"> byl počet volných míst </w:t>
      </w:r>
      <w:r w:rsidRPr="00AE46CF">
        <w:t>nižší než počet registrovaných uchazečů o zaměstnání</w:t>
      </w:r>
      <w:r>
        <w:t xml:space="preserve"> (viz </w:t>
      </w:r>
      <w:r w:rsidR="004F2330">
        <w:fldChar w:fldCharType="begin"/>
      </w:r>
      <w:r w:rsidR="004F2330">
        <w:instrText xml:space="preserve"> REF _Ref466273072 \h  \* MERGEFORMAT </w:instrText>
      </w:r>
      <w:r w:rsidR="004F2330">
        <w:fldChar w:fldCharType="separate"/>
      </w:r>
      <w:r w:rsidR="00DA707D">
        <w:t>t</w:t>
      </w:r>
      <w:r w:rsidR="00CB29BD">
        <w:t xml:space="preserve">abulka </w:t>
      </w:r>
      <w:r w:rsidR="00CB29BD">
        <w:rPr>
          <w:noProof/>
        </w:rPr>
        <w:t>9</w:t>
      </w:r>
      <w:r w:rsidR="00CB29BD">
        <w:t>.4</w:t>
      </w:r>
      <w:r w:rsidR="004F2330">
        <w:fldChar w:fldCharType="end"/>
      </w:r>
      <w:r>
        <w:t>)</w:t>
      </w:r>
      <w:r w:rsidRPr="00AE46CF">
        <w:t xml:space="preserve">. </w:t>
      </w:r>
      <w:r>
        <w:t>V</w:t>
      </w:r>
      <w:r w:rsidRPr="00AE46CF">
        <w:t>ývoj počtu uchazečů na jedno volné pracovní místo v </w:t>
      </w:r>
      <w:r>
        <w:t>letech</w:t>
      </w:r>
      <w:r w:rsidRPr="00AE46CF">
        <w:t xml:space="preserve"> 200</w:t>
      </w:r>
      <w:r>
        <w:t>5</w:t>
      </w:r>
      <w:r w:rsidRPr="00AE46CF">
        <w:t xml:space="preserve"> a</w:t>
      </w:r>
      <w:r>
        <w:t>ž</w:t>
      </w:r>
      <w:r w:rsidRPr="00AE46CF">
        <w:t xml:space="preserve"> 201</w:t>
      </w:r>
      <w:r>
        <w:t>5 ukazuje</w:t>
      </w:r>
      <w:r w:rsidR="00DA707D">
        <w:t xml:space="preserve"> </w:t>
      </w:r>
      <w:r w:rsidR="008965FE">
        <w:fldChar w:fldCharType="begin"/>
      </w:r>
      <w:r w:rsidR="00DA707D">
        <w:instrText xml:space="preserve"> REF _Ref491863958 \h </w:instrText>
      </w:r>
      <w:r w:rsidR="008965FE">
        <w:fldChar w:fldCharType="separate"/>
      </w:r>
      <w:r w:rsidR="00DA707D">
        <w:t>graf 9.4</w:t>
      </w:r>
      <w:r w:rsidR="008965FE">
        <w:fldChar w:fldCharType="end"/>
      </w:r>
      <w:r>
        <w:t>. Ze srovnání vidíme, že</w:t>
      </w:r>
      <w:r w:rsidRPr="00AE46CF">
        <w:t xml:space="preserve"> </w:t>
      </w:r>
      <w:r>
        <w:t>n</w:t>
      </w:r>
      <w:r w:rsidRPr="00AE46CF">
        <w:t xml:space="preserve">ejvýraznější pokles počtu volných pracovních </w:t>
      </w:r>
      <w:r>
        <w:t xml:space="preserve">nastal v roce 2010, a to zejména v </w:t>
      </w:r>
      <w:r w:rsidRPr="00AE46CF">
        <w:t>SO ORP Kraslice</w:t>
      </w:r>
      <w:r>
        <w:t>, kde bylo cca 208</w:t>
      </w:r>
      <w:r w:rsidRPr="00AE46CF">
        <w:t xml:space="preserve"> uchazečů na jedno volné pracovní místo</w:t>
      </w:r>
      <w:r>
        <w:t xml:space="preserve">. Vysoký počet </w:t>
      </w:r>
      <w:r w:rsidRPr="00AE46CF">
        <w:t>uchazeč</w:t>
      </w:r>
      <w:r>
        <w:t>ů</w:t>
      </w:r>
      <w:r w:rsidRPr="00AE46CF">
        <w:t xml:space="preserve"> na jedno volné pracovní místo</w:t>
      </w:r>
      <w:r>
        <w:t xml:space="preserve"> se dlouhodobě nachází kromě SO ORP Kraslice také v SO ORP Ostrov a Sokolov</w:t>
      </w:r>
      <w:r w:rsidRPr="00AE46CF">
        <w:t xml:space="preserve">. </w:t>
      </w:r>
    </w:p>
    <w:p w:rsidR="00F84B78" w:rsidRDefault="00F84B78" w:rsidP="000B3B9C">
      <w:pPr>
        <w:pStyle w:val="Titulek"/>
      </w:pPr>
      <w:bookmarkStart w:id="220" w:name="_Ref491863958"/>
      <w:bookmarkStart w:id="221" w:name="_Toc310604024"/>
      <w:bookmarkStart w:id="222" w:name="_Toc310604090"/>
      <w:bookmarkStart w:id="223" w:name="_Toc321406396"/>
      <w:bookmarkStart w:id="224" w:name="_Toc488234360"/>
      <w:r>
        <w:lastRenderedPageBreak/>
        <w:t xml:space="preserve">Graf </w:t>
      </w:r>
      <w:r w:rsidR="008965FE">
        <w:fldChar w:fldCharType="begin"/>
      </w:r>
      <w:r w:rsidR="00FD378B">
        <w:instrText xml:space="preserve"> STYLEREF 1 \s </w:instrText>
      </w:r>
      <w:r w:rsidR="008965FE">
        <w:fldChar w:fldCharType="separate"/>
      </w:r>
      <w:r w:rsidR="00CB29BD">
        <w:t>9</w:t>
      </w:r>
      <w:r w:rsidR="008965FE">
        <w:fldChar w:fldCharType="end"/>
      </w:r>
      <w:r w:rsidR="00FD378B">
        <w:t>.</w:t>
      </w:r>
      <w:r w:rsidR="008965FE">
        <w:fldChar w:fldCharType="begin"/>
      </w:r>
      <w:r w:rsidR="00FD378B">
        <w:instrText xml:space="preserve"> SEQ Graf \* ARABIC \s 1 </w:instrText>
      </w:r>
      <w:r w:rsidR="008965FE">
        <w:fldChar w:fldCharType="separate"/>
      </w:r>
      <w:r w:rsidR="00CB29BD">
        <w:t>4</w:t>
      </w:r>
      <w:r w:rsidR="008965FE">
        <w:fldChar w:fldCharType="end"/>
      </w:r>
      <w:bookmarkEnd w:id="220"/>
      <w:r>
        <w:t xml:space="preserve">: </w:t>
      </w:r>
      <w:r w:rsidRPr="00AE46CF">
        <w:t>Vývoj počtu uchazečů na jedno pracovní místo v</w:t>
      </w:r>
      <w:r w:rsidR="00167928">
        <w:t xml:space="preserve">e SO ORP v KK v </w:t>
      </w:r>
      <w:r w:rsidRPr="00AE46CF">
        <w:t xml:space="preserve">letech </w:t>
      </w:r>
      <w:bookmarkEnd w:id="221"/>
      <w:bookmarkEnd w:id="222"/>
      <w:bookmarkEnd w:id="223"/>
      <w:r>
        <w:t>2005 – 2015</w:t>
      </w:r>
      <w:bookmarkEnd w:id="224"/>
    </w:p>
    <w:p w:rsidR="00F84B78" w:rsidRPr="00853B2B" w:rsidRDefault="00F84B78" w:rsidP="002C40B2">
      <w:r>
        <w:rPr>
          <w:noProof/>
        </w:rPr>
        <w:drawing>
          <wp:inline distT="0" distB="0" distL="0" distR="0">
            <wp:extent cx="5314950" cy="2743200"/>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F84B78" w:rsidRPr="00DF6879" w:rsidRDefault="00F84B78" w:rsidP="002C40B2">
      <w:pPr>
        <w:pStyle w:val="Zdrojdat"/>
        <w:spacing w:line="276" w:lineRule="auto"/>
        <w:rPr>
          <w:sz w:val="20"/>
          <w:szCs w:val="20"/>
        </w:rPr>
      </w:pPr>
      <w:r w:rsidRPr="00DF6879">
        <w:rPr>
          <w:sz w:val="20"/>
          <w:szCs w:val="20"/>
        </w:rPr>
        <w:t>Zdroj: ČSÚ</w:t>
      </w:r>
      <w:r w:rsidR="00DF6879">
        <w:rPr>
          <w:sz w:val="20"/>
          <w:szCs w:val="20"/>
        </w:rPr>
        <w:t xml:space="preserve"> -</w:t>
      </w:r>
      <w:r w:rsidRPr="00DF6879">
        <w:rPr>
          <w:sz w:val="20"/>
          <w:szCs w:val="20"/>
        </w:rPr>
        <w:t xml:space="preserve"> Časové řady za jednotlivé správní obvody ORP</w:t>
      </w:r>
      <w:r w:rsidRPr="00DF6879" w:rsidDel="00C12A65">
        <w:rPr>
          <w:sz w:val="20"/>
          <w:szCs w:val="20"/>
        </w:rPr>
        <w:t xml:space="preserve"> </w:t>
      </w:r>
    </w:p>
    <w:p w:rsidR="00F84B78" w:rsidRPr="00EF3573" w:rsidRDefault="00F84B78" w:rsidP="002C40B2">
      <w:pPr>
        <w:rPr>
          <w:rStyle w:val="Siln"/>
          <w:rFonts w:eastAsiaTheme="majorEastAsia"/>
          <w:b w:val="0"/>
        </w:rPr>
      </w:pPr>
      <w:r w:rsidRPr="00DF1891">
        <w:rPr>
          <w:rStyle w:val="Siln"/>
          <w:rFonts w:eastAsiaTheme="majorEastAsia"/>
        </w:rPr>
        <w:t>Karlovarský kraj dlouhodobě patří ke krajům s nejnižším počtem volných pracovních míst.</w:t>
      </w:r>
      <w:r w:rsidRPr="00EF3573">
        <w:rPr>
          <w:rStyle w:val="Siln"/>
          <w:rFonts w:eastAsiaTheme="majorEastAsia"/>
          <w:b w:val="0"/>
        </w:rPr>
        <w:t xml:space="preserve"> </w:t>
      </w:r>
      <w:r w:rsidR="00DF6879">
        <w:rPr>
          <w:rStyle w:val="Siln"/>
          <w:rFonts w:eastAsiaTheme="majorEastAsia"/>
          <w:b w:val="0"/>
        </w:rPr>
        <w:br/>
      </w:r>
      <w:r w:rsidRPr="00EF3573">
        <w:rPr>
          <w:rStyle w:val="Siln"/>
          <w:rFonts w:eastAsiaTheme="majorEastAsia"/>
          <w:b w:val="0"/>
        </w:rPr>
        <w:t>K 31.</w:t>
      </w:r>
      <w:r w:rsidR="00DF6879">
        <w:rPr>
          <w:rStyle w:val="Siln"/>
          <w:rFonts w:eastAsiaTheme="majorEastAsia"/>
          <w:b w:val="0"/>
        </w:rPr>
        <w:t xml:space="preserve"> </w:t>
      </w:r>
      <w:r w:rsidRPr="00EF3573">
        <w:rPr>
          <w:rStyle w:val="Siln"/>
          <w:rFonts w:eastAsiaTheme="majorEastAsia"/>
          <w:b w:val="0"/>
        </w:rPr>
        <w:t>12.</w:t>
      </w:r>
      <w:r w:rsidR="00DF6879">
        <w:rPr>
          <w:rStyle w:val="Siln"/>
          <w:rFonts w:eastAsiaTheme="majorEastAsia"/>
          <w:b w:val="0"/>
        </w:rPr>
        <w:t xml:space="preserve"> </w:t>
      </w:r>
      <w:r w:rsidRPr="00EF3573">
        <w:rPr>
          <w:rStyle w:val="Siln"/>
          <w:rFonts w:eastAsiaTheme="majorEastAsia"/>
          <w:b w:val="0"/>
        </w:rPr>
        <w:t>2015 činil počet nezaměstnaných v e</w:t>
      </w:r>
      <w:r w:rsidR="00DF6879">
        <w:rPr>
          <w:rStyle w:val="Siln"/>
          <w:rFonts w:eastAsiaTheme="majorEastAsia"/>
          <w:b w:val="0"/>
        </w:rPr>
        <w:t xml:space="preserve">videnci úřadu práce 14 896 osob </w:t>
      </w:r>
      <w:r w:rsidRPr="00EF3573">
        <w:rPr>
          <w:rStyle w:val="Siln"/>
          <w:rFonts w:eastAsiaTheme="majorEastAsia"/>
          <w:b w:val="0"/>
        </w:rPr>
        <w:t xml:space="preserve">a počet volných pracovních míst 3 277 (ČSÚ </w:t>
      </w:r>
      <w:r w:rsidR="00DF6879">
        <w:rPr>
          <w:rStyle w:val="Siln"/>
          <w:rFonts w:eastAsiaTheme="majorEastAsia"/>
          <w:b w:val="0"/>
        </w:rPr>
        <w:t xml:space="preserve">- </w:t>
      </w:r>
      <w:r w:rsidRPr="00EF3573">
        <w:rPr>
          <w:rStyle w:val="Siln"/>
          <w:rFonts w:eastAsiaTheme="majorEastAsia"/>
          <w:b w:val="0"/>
        </w:rPr>
        <w:t>Statistická ročenka České republiky 2016, Trh práce).</w:t>
      </w:r>
    </w:p>
    <w:p w:rsidR="00F84B78" w:rsidRDefault="00F84B78" w:rsidP="002C40B2">
      <w:r>
        <w:t xml:space="preserve">Strukturu uchazečů o zaměstnání podle věku ukazuje </w:t>
      </w:r>
      <w:r w:rsidR="004F2330">
        <w:fldChar w:fldCharType="begin"/>
      </w:r>
      <w:r w:rsidR="004F2330">
        <w:instrText xml:space="preserve"> REF _Ref465933880 \h  \* MERGEFORMAT </w:instrText>
      </w:r>
      <w:r w:rsidR="004F2330">
        <w:fldChar w:fldCharType="separate"/>
      </w:r>
      <w:r w:rsidR="00DA707D">
        <w:t>g</w:t>
      </w:r>
      <w:r w:rsidR="00CB29BD" w:rsidRPr="00AE46CF">
        <w:t xml:space="preserve">raf </w:t>
      </w:r>
      <w:r w:rsidR="00CB29BD">
        <w:rPr>
          <w:noProof/>
        </w:rPr>
        <w:t>9</w:t>
      </w:r>
      <w:r w:rsidR="00CB29BD">
        <w:t>.5</w:t>
      </w:r>
      <w:r w:rsidR="004F2330">
        <w:fldChar w:fldCharType="end"/>
      </w:r>
      <w:r>
        <w:t xml:space="preserve">. </w:t>
      </w:r>
      <w:r w:rsidRPr="00BA1A44">
        <w:rPr>
          <w:b/>
        </w:rPr>
        <w:t>Karlovarský kraj má mírně vyšší zastoupení mladých uchazečů o práci do 24 let oproti ČR</w:t>
      </w:r>
      <w:r>
        <w:t xml:space="preserve">. Důvodem může být menší procento mladých lidí studujících střední, vyšší odbornou či vysokou školu oproti ČR a nesoulad profesní struktury těchto uchazečů s poptávkou na trhu práce. Naproti tomu má KK </w:t>
      </w:r>
      <w:r w:rsidRPr="00BA1A44">
        <w:rPr>
          <w:b/>
        </w:rPr>
        <w:t>nižší podíl nezaměstnaných starších 55 let</w:t>
      </w:r>
      <w:r>
        <w:t xml:space="preserve">, což může být dáno stále ještě relativně mladší věkovou strukturou kraje (viz zjištění v kapitole 10. Demografický vývoj). </w:t>
      </w:r>
    </w:p>
    <w:p w:rsidR="00F84B78" w:rsidRDefault="00F84B78" w:rsidP="000B3B9C">
      <w:pPr>
        <w:pStyle w:val="Titulek"/>
      </w:pPr>
      <w:bookmarkStart w:id="225" w:name="_Ref465933880"/>
      <w:bookmarkStart w:id="226" w:name="_Ref309166118"/>
      <w:bookmarkStart w:id="227" w:name="_Toc310604020"/>
      <w:bookmarkStart w:id="228" w:name="_Toc310604086"/>
      <w:bookmarkStart w:id="229" w:name="_Toc321406392"/>
      <w:bookmarkStart w:id="230" w:name="_Toc488234361"/>
      <w:r w:rsidRPr="00AE46CF">
        <w:t xml:space="preserve">Graf </w:t>
      </w:r>
      <w:r w:rsidR="008965FE">
        <w:fldChar w:fldCharType="begin"/>
      </w:r>
      <w:r w:rsidR="00FD378B">
        <w:instrText xml:space="preserve"> STYLEREF 1 \s </w:instrText>
      </w:r>
      <w:r w:rsidR="008965FE">
        <w:fldChar w:fldCharType="separate"/>
      </w:r>
      <w:r w:rsidR="00CB29BD">
        <w:t>9</w:t>
      </w:r>
      <w:r w:rsidR="008965FE">
        <w:fldChar w:fldCharType="end"/>
      </w:r>
      <w:r w:rsidR="00FD378B">
        <w:t>.</w:t>
      </w:r>
      <w:r w:rsidR="008965FE">
        <w:fldChar w:fldCharType="begin"/>
      </w:r>
      <w:r w:rsidR="00FD378B">
        <w:instrText xml:space="preserve"> SEQ Graf \* ARABIC \s 1 </w:instrText>
      </w:r>
      <w:r w:rsidR="008965FE">
        <w:fldChar w:fldCharType="separate"/>
      </w:r>
      <w:r w:rsidR="00CB29BD">
        <w:t>5</w:t>
      </w:r>
      <w:r w:rsidR="008965FE">
        <w:fldChar w:fldCharType="end"/>
      </w:r>
      <w:bookmarkEnd w:id="225"/>
      <w:bookmarkEnd w:id="226"/>
      <w:r w:rsidRPr="00AE46CF">
        <w:t xml:space="preserve">: Struktura uchazečů o zaměstnání podle věku </w:t>
      </w:r>
      <w:r>
        <w:t xml:space="preserve">v letech 2010, 2013 a 2015 </w:t>
      </w:r>
      <w:r w:rsidRPr="00AE46CF">
        <w:t>(v %)</w:t>
      </w:r>
      <w:bookmarkEnd w:id="227"/>
      <w:bookmarkEnd w:id="228"/>
      <w:bookmarkEnd w:id="229"/>
      <w:bookmarkEnd w:id="230"/>
    </w:p>
    <w:p w:rsidR="00F84B78" w:rsidRDefault="00F84B78" w:rsidP="002C40B2">
      <w:r>
        <w:rPr>
          <w:noProof/>
        </w:rPr>
        <w:drawing>
          <wp:inline distT="0" distB="0" distL="0" distR="0">
            <wp:extent cx="5715000" cy="270002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F84B78" w:rsidRPr="00853B2B" w:rsidRDefault="00DF6879" w:rsidP="002C40B2">
      <w:pPr>
        <w:rPr>
          <w:rFonts w:asciiTheme="minorHAnsi" w:hAnsiTheme="minorHAnsi"/>
          <w:i/>
          <w:sz w:val="20"/>
          <w:szCs w:val="20"/>
          <w:u w:val="single"/>
        </w:rPr>
      </w:pPr>
      <w:r>
        <w:rPr>
          <w:rFonts w:asciiTheme="minorHAnsi" w:hAnsiTheme="minorHAnsi"/>
          <w:i/>
          <w:sz w:val="20"/>
          <w:szCs w:val="20"/>
        </w:rPr>
        <w:t>Zdroj: ČS</w:t>
      </w:r>
      <w:r w:rsidR="00EC0CFE">
        <w:rPr>
          <w:rFonts w:asciiTheme="minorHAnsi" w:hAnsiTheme="minorHAnsi"/>
          <w:i/>
          <w:sz w:val="20"/>
          <w:szCs w:val="20"/>
        </w:rPr>
        <w:t>Ú</w:t>
      </w:r>
      <w:r>
        <w:rPr>
          <w:rFonts w:asciiTheme="minorHAnsi" w:hAnsiTheme="minorHAnsi"/>
          <w:i/>
          <w:sz w:val="20"/>
          <w:szCs w:val="20"/>
        </w:rPr>
        <w:t xml:space="preserve"> -</w:t>
      </w:r>
      <w:r w:rsidR="00F84B78" w:rsidRPr="00853B2B">
        <w:rPr>
          <w:rFonts w:asciiTheme="minorHAnsi" w:hAnsiTheme="minorHAnsi"/>
          <w:i/>
          <w:sz w:val="20"/>
          <w:szCs w:val="20"/>
        </w:rPr>
        <w:t xml:space="preserve"> </w:t>
      </w:r>
      <w:r w:rsidR="00F84B78" w:rsidRPr="00853B2B">
        <w:rPr>
          <w:rFonts w:asciiTheme="minorHAnsi" w:hAnsiTheme="minorHAnsi" w:cs="Tahoma"/>
          <w:i/>
          <w:sz w:val="20"/>
          <w:szCs w:val="20"/>
        </w:rPr>
        <w:t>Zaměstnanost a nezaměstnanost podle výsledků VŠPS</w:t>
      </w:r>
      <w:r w:rsidR="00F84B78">
        <w:rPr>
          <w:rFonts w:asciiTheme="minorHAnsi" w:hAnsiTheme="minorHAnsi" w:cs="Tahoma"/>
          <w:i/>
          <w:sz w:val="20"/>
          <w:szCs w:val="20"/>
        </w:rPr>
        <w:t>, údaje za</w:t>
      </w:r>
      <w:r w:rsidR="00EC0CFE">
        <w:rPr>
          <w:rFonts w:asciiTheme="minorHAnsi" w:hAnsiTheme="minorHAnsi" w:cs="Tahoma"/>
          <w:i/>
          <w:sz w:val="20"/>
          <w:szCs w:val="20"/>
        </w:rPr>
        <w:t xml:space="preserve"> </w:t>
      </w:r>
      <w:r w:rsidR="00F84B78">
        <w:rPr>
          <w:rFonts w:asciiTheme="minorHAnsi" w:hAnsiTheme="minorHAnsi" w:cs="Tahoma"/>
          <w:i/>
          <w:sz w:val="20"/>
          <w:szCs w:val="20"/>
        </w:rPr>
        <w:t>4. čtvrtletí r. 2010, 2013, 2015</w:t>
      </w:r>
    </w:p>
    <w:p w:rsidR="00F84B78" w:rsidRDefault="00F84B78" w:rsidP="002C40B2">
      <w:r w:rsidRPr="00AE46CF">
        <w:lastRenderedPageBreak/>
        <w:t xml:space="preserve">Karlovarský kraj má specifickou strukturu uchazečů </w:t>
      </w:r>
      <w:r>
        <w:t xml:space="preserve">o zaměstnání </w:t>
      </w:r>
      <w:r w:rsidRPr="00AE46CF">
        <w:t>podle vzdělání</w:t>
      </w:r>
      <w:r>
        <w:t xml:space="preserve"> (viz </w:t>
      </w:r>
      <w:r w:rsidR="004F2330">
        <w:fldChar w:fldCharType="begin"/>
      </w:r>
      <w:r w:rsidR="004F2330">
        <w:instrText xml:space="preserve"> REF _Ref465938629 \h  \* MERGEFORMAT </w:instrText>
      </w:r>
      <w:r w:rsidR="004F2330">
        <w:fldChar w:fldCharType="separate"/>
      </w:r>
      <w:r w:rsidR="00DA707D">
        <w:t>g</w:t>
      </w:r>
      <w:r w:rsidR="00CB29BD" w:rsidRPr="00AE46CF">
        <w:t xml:space="preserve">raf </w:t>
      </w:r>
      <w:r w:rsidR="00CB29BD">
        <w:rPr>
          <w:noProof/>
        </w:rPr>
        <w:t>9</w:t>
      </w:r>
      <w:r w:rsidR="00CB29BD">
        <w:t>.6</w:t>
      </w:r>
      <w:r w:rsidR="004F2330">
        <w:fldChar w:fldCharType="end"/>
      </w:r>
      <w:r>
        <w:t>)</w:t>
      </w:r>
      <w:r w:rsidRPr="00AE46CF">
        <w:t xml:space="preserve">. Zatímco </w:t>
      </w:r>
      <w:r>
        <w:t xml:space="preserve">se </w:t>
      </w:r>
      <w:r w:rsidRPr="00AE46CF">
        <w:t xml:space="preserve">v průměru za </w:t>
      </w:r>
      <w:r>
        <w:t>ČR</w:t>
      </w:r>
      <w:r w:rsidRPr="00AE46CF">
        <w:t xml:space="preserve"> </w:t>
      </w:r>
      <w:r>
        <w:t xml:space="preserve">pohybuje </w:t>
      </w:r>
      <w:r w:rsidRPr="00BA1A44">
        <w:rPr>
          <w:b/>
        </w:rPr>
        <w:t>skupina uchazečů bez vzdělání a se základním vzděláním</w:t>
      </w:r>
      <w:r w:rsidRPr="00AE46CF">
        <w:t xml:space="preserve"> </w:t>
      </w:r>
      <w:r>
        <w:t>kolem 20 </w:t>
      </w:r>
      <w:r w:rsidRPr="00AE46CF">
        <w:t xml:space="preserve">%, má tato skupina </w:t>
      </w:r>
      <w:r w:rsidRPr="00BA1A44">
        <w:rPr>
          <w:b/>
        </w:rPr>
        <w:t xml:space="preserve">v KK nejvyšší podíl </w:t>
      </w:r>
      <w:r>
        <w:rPr>
          <w:b/>
        </w:rPr>
        <w:t>–</w:t>
      </w:r>
      <w:r w:rsidRPr="00BA1A44">
        <w:rPr>
          <w:b/>
        </w:rPr>
        <w:t xml:space="preserve"> 45</w:t>
      </w:r>
      <w:r>
        <w:rPr>
          <w:b/>
        </w:rPr>
        <w:t>,1</w:t>
      </w:r>
      <w:r w:rsidRPr="00BA1A44">
        <w:rPr>
          <w:b/>
        </w:rPr>
        <w:t xml:space="preserve"> %</w:t>
      </w:r>
      <w:r>
        <w:t xml:space="preserve"> v roce 2015 a navíc v čase roste.</w:t>
      </w:r>
      <w:r w:rsidRPr="00AE46CF">
        <w:t xml:space="preserve"> </w:t>
      </w:r>
      <w:r>
        <w:t xml:space="preserve">V průměru se v ČR zvětšuje podíl nezaměstnaných s maturitou či VOŠ a VŠ a mírně klesá podíl uchazečů o zaměstnání bez maturity a se základním vzděláním či bez vzdělání. </w:t>
      </w:r>
    </w:p>
    <w:p w:rsidR="00F84B78" w:rsidRDefault="00F84B78" w:rsidP="000B3B9C">
      <w:pPr>
        <w:pStyle w:val="Titulek"/>
      </w:pPr>
      <w:bookmarkStart w:id="231" w:name="_Ref465938629"/>
      <w:bookmarkStart w:id="232" w:name="_Ref309170419"/>
      <w:bookmarkStart w:id="233" w:name="_Toc310604021"/>
      <w:bookmarkStart w:id="234" w:name="_Toc310604087"/>
      <w:bookmarkStart w:id="235" w:name="_Toc321406393"/>
      <w:bookmarkStart w:id="236" w:name="_Toc488234362"/>
      <w:r w:rsidRPr="00AE46CF">
        <w:t xml:space="preserve">Graf </w:t>
      </w:r>
      <w:r w:rsidR="008965FE">
        <w:fldChar w:fldCharType="begin"/>
      </w:r>
      <w:r w:rsidR="00FD378B">
        <w:instrText xml:space="preserve"> STYLEREF 1 \s </w:instrText>
      </w:r>
      <w:r w:rsidR="008965FE">
        <w:fldChar w:fldCharType="separate"/>
      </w:r>
      <w:r w:rsidR="00CB29BD">
        <w:t>9</w:t>
      </w:r>
      <w:r w:rsidR="008965FE">
        <w:fldChar w:fldCharType="end"/>
      </w:r>
      <w:r w:rsidR="00FD378B">
        <w:t>.</w:t>
      </w:r>
      <w:r w:rsidR="008965FE">
        <w:fldChar w:fldCharType="begin"/>
      </w:r>
      <w:r w:rsidR="00FD378B">
        <w:instrText xml:space="preserve"> SEQ Graf \* ARABIC \s 1 </w:instrText>
      </w:r>
      <w:r w:rsidR="008965FE">
        <w:fldChar w:fldCharType="separate"/>
      </w:r>
      <w:r w:rsidR="00CB29BD">
        <w:t>6</w:t>
      </w:r>
      <w:r w:rsidR="008965FE">
        <w:fldChar w:fldCharType="end"/>
      </w:r>
      <w:bookmarkEnd w:id="231"/>
      <w:bookmarkEnd w:id="232"/>
      <w:r w:rsidRPr="00AE46CF">
        <w:t xml:space="preserve">: Struktura uchazečů o zaměstnání podle vzdělání </w:t>
      </w:r>
      <w:r>
        <w:t xml:space="preserve">v letech 2010, 2012 a 2014 </w:t>
      </w:r>
      <w:r w:rsidRPr="00AE46CF">
        <w:t>(%)</w:t>
      </w:r>
      <w:bookmarkEnd w:id="233"/>
      <w:bookmarkEnd w:id="234"/>
      <w:bookmarkEnd w:id="235"/>
      <w:bookmarkEnd w:id="236"/>
    </w:p>
    <w:p w:rsidR="00F84B78" w:rsidRDefault="00F84B78" w:rsidP="002C40B2">
      <w:r>
        <w:rPr>
          <w:noProof/>
        </w:rPr>
        <w:drawing>
          <wp:inline distT="0" distB="0" distL="0" distR="0">
            <wp:extent cx="5238750" cy="3629025"/>
            <wp:effectExtent l="0" t="0" r="0" b="952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84B78" w:rsidRDefault="00F84B78" w:rsidP="002C40B2">
      <w:pPr>
        <w:tabs>
          <w:tab w:val="left" w:pos="0"/>
        </w:tabs>
        <w:spacing w:after="0"/>
        <w:rPr>
          <w:i/>
          <w:sz w:val="20"/>
          <w:szCs w:val="20"/>
        </w:rPr>
      </w:pPr>
      <w:r>
        <w:rPr>
          <w:i/>
          <w:sz w:val="20"/>
          <w:szCs w:val="20"/>
          <w:lang w:eastAsia="en-US"/>
        </w:rPr>
        <w:t>Poznámka: Data za KK jsou vždy k 31.12</w:t>
      </w:r>
      <w:r w:rsidR="00D67E53">
        <w:rPr>
          <w:i/>
          <w:sz w:val="20"/>
          <w:szCs w:val="20"/>
          <w:lang w:eastAsia="en-US"/>
        </w:rPr>
        <w:t>.</w:t>
      </w:r>
      <w:r>
        <w:rPr>
          <w:i/>
          <w:sz w:val="20"/>
          <w:szCs w:val="20"/>
          <w:lang w:eastAsia="en-US"/>
        </w:rPr>
        <w:t xml:space="preserve"> daného roku a byla převzata ze statistických ročenek kraje z důvodu chybějících údajů o skupině VOŠ a VŠ ve VŠPS. Data za ČR byla převzata z VŠPS vždy za </w:t>
      </w:r>
      <w:r w:rsidRPr="00DC738B">
        <w:rPr>
          <w:i/>
          <w:sz w:val="20"/>
          <w:szCs w:val="20"/>
        </w:rPr>
        <w:t xml:space="preserve">4. čtvrtletí </w:t>
      </w:r>
      <w:r>
        <w:rPr>
          <w:i/>
          <w:sz w:val="20"/>
          <w:szCs w:val="20"/>
        </w:rPr>
        <w:t>daného roku.</w:t>
      </w:r>
    </w:p>
    <w:p w:rsidR="00F84B78" w:rsidRPr="00853B2B" w:rsidRDefault="00DF6879" w:rsidP="002C40B2">
      <w:pPr>
        <w:tabs>
          <w:tab w:val="left" w:pos="0"/>
        </w:tabs>
      </w:pPr>
      <w:r>
        <w:rPr>
          <w:i/>
          <w:sz w:val="20"/>
          <w:szCs w:val="20"/>
          <w:lang w:eastAsia="en-US"/>
        </w:rPr>
        <w:t>Zdroj: ČSÚ -</w:t>
      </w:r>
      <w:r w:rsidR="00F84B78" w:rsidRPr="00853B2B">
        <w:rPr>
          <w:i/>
          <w:sz w:val="20"/>
          <w:szCs w:val="20"/>
          <w:lang w:eastAsia="en-US"/>
        </w:rPr>
        <w:t xml:space="preserve"> </w:t>
      </w:r>
      <w:r w:rsidR="00F84B78" w:rsidRPr="00853B2B">
        <w:rPr>
          <w:i/>
          <w:sz w:val="20"/>
          <w:szCs w:val="20"/>
        </w:rPr>
        <w:t>Statistická ročenka Karlovarského kraje 2011,</w:t>
      </w:r>
      <w:r w:rsidR="00EC0CFE">
        <w:rPr>
          <w:i/>
          <w:sz w:val="20"/>
          <w:szCs w:val="20"/>
        </w:rPr>
        <w:t xml:space="preserve"> </w:t>
      </w:r>
      <w:r w:rsidR="00F84B78" w:rsidRPr="00853B2B">
        <w:rPr>
          <w:i/>
          <w:sz w:val="20"/>
          <w:szCs w:val="20"/>
        </w:rPr>
        <w:t>2013, 2015, Zaměstnanost a neza</w:t>
      </w:r>
      <w:r w:rsidR="00CC4ADF">
        <w:rPr>
          <w:i/>
          <w:sz w:val="20"/>
          <w:szCs w:val="20"/>
        </w:rPr>
        <w:t>městnanost podle výsledků VŠPS ve</w:t>
      </w:r>
      <w:r w:rsidR="00F84B78" w:rsidRPr="00853B2B">
        <w:rPr>
          <w:i/>
          <w:sz w:val="20"/>
          <w:szCs w:val="20"/>
        </w:rPr>
        <w:t xml:space="preserve"> 4. čtvrtletí 2010, 2012, 2014</w:t>
      </w:r>
    </w:p>
    <w:p w:rsidR="00F84B78" w:rsidRDefault="00F84B78" w:rsidP="002C40B2">
      <w:bookmarkStart w:id="237" w:name="_Ref309250824"/>
      <w:r w:rsidRPr="00AE46CF">
        <w:t xml:space="preserve">Dalším faktorem ovlivňujícím trh práce je hladina mezd. </w:t>
      </w:r>
      <w:r w:rsidRPr="00CC4ADF">
        <w:rPr>
          <w:b/>
        </w:rPr>
        <w:t>P</w:t>
      </w:r>
      <w:r w:rsidRPr="00CC4ADF">
        <w:rPr>
          <w:b/>
          <w:bCs/>
        </w:rPr>
        <w:t xml:space="preserve">růměrná hrubá měsíční mzda </w:t>
      </w:r>
      <w:r w:rsidRPr="00CC4ADF">
        <w:rPr>
          <w:b/>
        </w:rPr>
        <w:t xml:space="preserve">se v Karlovarském kraji pohybuje dlouhodobě pod průměrem ČR a kraj se tak řadí na absolutně </w:t>
      </w:r>
      <w:r w:rsidRPr="00CC4ADF">
        <w:rPr>
          <w:b/>
          <w:bCs/>
        </w:rPr>
        <w:t xml:space="preserve">poslední místo </w:t>
      </w:r>
      <w:r w:rsidRPr="00CC4ADF">
        <w:rPr>
          <w:b/>
        </w:rPr>
        <w:t xml:space="preserve">v mezikrajském srovnání </w:t>
      </w:r>
      <w:r w:rsidRPr="00AE46CF">
        <w:t xml:space="preserve">(viz </w:t>
      </w:r>
      <w:r w:rsidR="004F2330">
        <w:fldChar w:fldCharType="begin"/>
      </w:r>
      <w:r w:rsidR="004F2330">
        <w:instrText xml:space="preserve"> REF _Ref466032638 \h  \* MERGEFORMAT </w:instrText>
      </w:r>
      <w:r w:rsidR="004F2330">
        <w:fldChar w:fldCharType="separate"/>
      </w:r>
      <w:r w:rsidR="00EB0944">
        <w:t>t</w:t>
      </w:r>
      <w:r w:rsidR="00CB29BD">
        <w:t xml:space="preserve">abulka </w:t>
      </w:r>
      <w:r w:rsidR="00CB29BD">
        <w:rPr>
          <w:noProof/>
        </w:rPr>
        <w:t>9</w:t>
      </w:r>
      <w:r w:rsidR="00CB29BD">
        <w:t>.5</w:t>
      </w:r>
      <w:r w:rsidR="004F2330">
        <w:fldChar w:fldCharType="end"/>
      </w:r>
      <w:r w:rsidRPr="00AE46CF">
        <w:t xml:space="preserve">). </w:t>
      </w:r>
      <w:r w:rsidRPr="00AE46CF">
        <w:rPr>
          <w:bCs/>
        </w:rPr>
        <w:t xml:space="preserve">Rozdíl od </w:t>
      </w:r>
      <w:r w:rsidRPr="00AE46CF">
        <w:t xml:space="preserve">republikového </w:t>
      </w:r>
      <w:r w:rsidRPr="00AE46CF">
        <w:rPr>
          <w:bCs/>
        </w:rPr>
        <w:t xml:space="preserve">průměru </w:t>
      </w:r>
      <w:r w:rsidRPr="00AE46CF">
        <w:t>byl v roce 201</w:t>
      </w:r>
      <w:r>
        <w:t>5</w:t>
      </w:r>
      <w:r w:rsidRPr="00AE46CF">
        <w:t xml:space="preserve"> </w:t>
      </w:r>
      <w:r>
        <w:rPr>
          <w:bCs/>
        </w:rPr>
        <w:t>14</w:t>
      </w:r>
      <w:r w:rsidRPr="00AE46CF">
        <w:rPr>
          <w:bCs/>
        </w:rPr>
        <w:t xml:space="preserve"> %</w:t>
      </w:r>
      <w:r w:rsidRPr="00AE46CF">
        <w:t>. V</w:t>
      </w:r>
      <w:r>
        <w:t xml:space="preserve">e 4. čtvrtletí </w:t>
      </w:r>
      <w:r w:rsidRPr="00AE46CF">
        <w:t>roku 201</w:t>
      </w:r>
      <w:r>
        <w:t>5</w:t>
      </w:r>
      <w:r w:rsidRPr="00AE46CF">
        <w:t xml:space="preserve"> byla v Karlovarském kraji výše průměrné hrubé měsíční mzdy </w:t>
      </w:r>
      <w:r>
        <w:t>22 750</w:t>
      </w:r>
      <w:r w:rsidRPr="00AE46CF">
        <w:t xml:space="preserve"> Kč (rozdíl od celorepublikového průměru </w:t>
      </w:r>
      <w:r>
        <w:t>čini</w:t>
      </w:r>
      <w:r w:rsidRPr="00AE46CF">
        <w:t>l 3 </w:t>
      </w:r>
      <w:r>
        <w:t>717</w:t>
      </w:r>
      <w:r w:rsidRPr="00AE46CF">
        <w:t xml:space="preserve"> Kč).</w:t>
      </w:r>
    </w:p>
    <w:p w:rsidR="00F84B78" w:rsidRDefault="00F84B78" w:rsidP="002C40B2">
      <w:r w:rsidRPr="00CC4ADF">
        <w:rPr>
          <w:b/>
        </w:rPr>
        <w:t>Vysoká nezaměstnanost v KK je doprovázena nejnižší úrovní mezd</w:t>
      </w:r>
      <w:r w:rsidRPr="00BA1A44">
        <w:t>,</w:t>
      </w:r>
      <w:r w:rsidRPr="00AE46CF">
        <w:t xml:space="preserve"> přestože hlavní skupinu mezi uchazeči o zaměstnání tvoří především nezaměstnané osoby s nízkým vzděláním. Z výše uvedeného lze tedy předpokládat, že nízká hladina mezd </w:t>
      </w:r>
      <w:r>
        <w:t>plyne z v kraji</w:t>
      </w:r>
      <w:r w:rsidRPr="00AE46CF">
        <w:t xml:space="preserve"> převažujících odvětví (zpracovatelský průmysl, stavebnictví), kde je využívána </w:t>
      </w:r>
      <w:r>
        <w:t xml:space="preserve">zejména </w:t>
      </w:r>
      <w:r w:rsidRPr="00AE46CF">
        <w:t>nízko kvalifikovaná pracovní síla. Výjimku představují relativně vyšší mzdy v odvětví těžebním a v oblasti ubytování, stravování a pohostinství, což může mít souvislost s odvětvovou strukturou zaměstnavatelů, kde je vysoká poptávka po určitých kvalifikacích.</w:t>
      </w:r>
    </w:p>
    <w:p w:rsidR="00F84B78" w:rsidRDefault="00F84B78" w:rsidP="000B3B9C">
      <w:pPr>
        <w:pStyle w:val="Titulek"/>
      </w:pPr>
      <w:bookmarkStart w:id="238" w:name="_Ref466032638"/>
      <w:bookmarkStart w:id="239" w:name="_Toc310604025"/>
      <w:bookmarkStart w:id="240" w:name="_Toc310604091"/>
      <w:bookmarkStart w:id="241" w:name="_Toc321406397"/>
      <w:r>
        <w:lastRenderedPageBreak/>
        <w:t xml:space="preserve">Tabulka </w:t>
      </w:r>
      <w:r w:rsidR="008965FE">
        <w:fldChar w:fldCharType="begin"/>
      </w:r>
      <w:r w:rsidR="00B33DFE">
        <w:instrText xml:space="preserve"> STYLEREF 1 \s </w:instrText>
      </w:r>
      <w:r w:rsidR="008965FE">
        <w:fldChar w:fldCharType="separate"/>
      </w:r>
      <w:r w:rsidR="00CB29BD">
        <w:t>9</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5</w:t>
      </w:r>
      <w:r w:rsidR="004F2330">
        <w:fldChar w:fldCharType="end"/>
      </w:r>
      <w:bookmarkEnd w:id="238"/>
      <w:r w:rsidRPr="00AE46CF">
        <w:t xml:space="preserve">: Srovnání průměrné hrubé měsíční mzdy v krajích a ČR </w:t>
      </w:r>
      <w:bookmarkEnd w:id="239"/>
      <w:bookmarkEnd w:id="240"/>
      <w:bookmarkEnd w:id="241"/>
      <w:r>
        <w:t>ve 4. čtvrtletí roku 2015</w:t>
      </w:r>
    </w:p>
    <w:tbl>
      <w:tblPr>
        <w:tblW w:w="5000" w:type="pct"/>
        <w:tblCellMar>
          <w:left w:w="70" w:type="dxa"/>
          <w:right w:w="70" w:type="dxa"/>
        </w:tblCellMar>
        <w:tblLook w:val="04A0" w:firstRow="1" w:lastRow="0" w:firstColumn="1" w:lastColumn="0" w:noHBand="0" w:noVBand="1"/>
      </w:tblPr>
      <w:tblGrid>
        <w:gridCol w:w="2589"/>
        <w:gridCol w:w="3294"/>
        <w:gridCol w:w="3329"/>
      </w:tblGrid>
      <w:tr w:rsidR="00F84B78" w:rsidRPr="00CC4ADF" w:rsidTr="00CC4ADF">
        <w:trPr>
          <w:trHeight w:val="345"/>
        </w:trPr>
        <w:tc>
          <w:tcPr>
            <w:tcW w:w="1405" w:type="pct"/>
            <w:tcBorders>
              <w:top w:val="single" w:sz="4" w:space="0" w:color="auto"/>
              <w:left w:val="single" w:sz="4" w:space="0" w:color="auto"/>
              <w:bottom w:val="single" w:sz="4" w:space="0" w:color="auto"/>
              <w:right w:val="single" w:sz="4" w:space="0" w:color="auto"/>
            </w:tcBorders>
            <w:shd w:val="clear" w:color="000000" w:fill="FFFFFF"/>
            <w:noWrap/>
            <w:hideMark/>
          </w:tcPr>
          <w:p w:rsidR="00F84B78" w:rsidRPr="00CC4ADF" w:rsidRDefault="00CC4ADF" w:rsidP="002C40B2">
            <w:pPr>
              <w:spacing w:after="0"/>
              <w:jc w:val="left"/>
              <w:rPr>
                <w:rFonts w:asciiTheme="minorHAnsi" w:hAnsiTheme="minorHAnsi" w:cs="Arial"/>
                <w:b/>
                <w:bCs/>
                <w:sz w:val="20"/>
                <w:szCs w:val="20"/>
              </w:rPr>
            </w:pPr>
            <w:r>
              <w:rPr>
                <w:rFonts w:asciiTheme="minorHAnsi" w:hAnsiTheme="minorHAnsi" w:cs="Arial"/>
                <w:b/>
                <w:bCs/>
                <w:sz w:val="20"/>
                <w:szCs w:val="20"/>
              </w:rPr>
              <w:t>ČR, k</w:t>
            </w:r>
            <w:r w:rsidR="00F84B78" w:rsidRPr="00CC4ADF">
              <w:rPr>
                <w:rFonts w:asciiTheme="minorHAnsi" w:hAnsiTheme="minorHAnsi" w:cs="Arial"/>
                <w:b/>
                <w:bCs/>
                <w:sz w:val="20"/>
                <w:szCs w:val="20"/>
              </w:rPr>
              <w:t>raj</w:t>
            </w:r>
          </w:p>
        </w:tc>
        <w:tc>
          <w:tcPr>
            <w:tcW w:w="1788" w:type="pct"/>
            <w:tcBorders>
              <w:top w:val="single" w:sz="4" w:space="0" w:color="auto"/>
              <w:left w:val="nil"/>
              <w:bottom w:val="single" w:sz="4" w:space="0" w:color="auto"/>
              <w:right w:val="single" w:sz="4" w:space="0" w:color="auto"/>
            </w:tcBorders>
            <w:shd w:val="clear" w:color="000000" w:fill="FFFFFF"/>
            <w:hideMark/>
          </w:tcPr>
          <w:p w:rsidR="00F84B78" w:rsidRPr="00CC4ADF" w:rsidRDefault="00F84B78" w:rsidP="002C40B2">
            <w:pPr>
              <w:spacing w:after="0"/>
              <w:jc w:val="center"/>
              <w:rPr>
                <w:rFonts w:asciiTheme="minorHAnsi" w:hAnsiTheme="minorHAnsi" w:cs="Arial"/>
                <w:b/>
                <w:bCs/>
                <w:sz w:val="20"/>
                <w:szCs w:val="20"/>
              </w:rPr>
            </w:pPr>
            <w:r w:rsidRPr="00CC4ADF">
              <w:rPr>
                <w:rFonts w:asciiTheme="minorHAnsi" w:hAnsiTheme="minorHAnsi" w:cs="Arial"/>
                <w:b/>
                <w:bCs/>
                <w:sz w:val="20"/>
                <w:szCs w:val="20"/>
              </w:rPr>
              <w:t>Průměrná hrubá měsíční mzda (Kč)</w:t>
            </w:r>
          </w:p>
        </w:tc>
        <w:tc>
          <w:tcPr>
            <w:tcW w:w="1807" w:type="pct"/>
            <w:tcBorders>
              <w:top w:val="single" w:sz="4" w:space="0" w:color="auto"/>
              <w:left w:val="nil"/>
              <w:bottom w:val="single" w:sz="4" w:space="0" w:color="auto"/>
              <w:right w:val="single" w:sz="4" w:space="0" w:color="auto"/>
            </w:tcBorders>
            <w:shd w:val="clear" w:color="000000" w:fill="FFFFFF"/>
            <w:hideMark/>
          </w:tcPr>
          <w:p w:rsidR="00F84B78" w:rsidRPr="00CC4ADF" w:rsidRDefault="00F84B78" w:rsidP="002C40B2">
            <w:pPr>
              <w:spacing w:after="0"/>
              <w:jc w:val="center"/>
              <w:rPr>
                <w:rFonts w:asciiTheme="minorHAnsi" w:hAnsiTheme="minorHAnsi" w:cs="Arial"/>
                <w:b/>
                <w:bCs/>
                <w:sz w:val="20"/>
                <w:szCs w:val="20"/>
              </w:rPr>
            </w:pPr>
            <w:r w:rsidRPr="00CC4ADF">
              <w:rPr>
                <w:rFonts w:asciiTheme="minorHAnsi" w:hAnsiTheme="minorHAnsi" w:cs="Arial"/>
                <w:b/>
                <w:bCs/>
                <w:sz w:val="20"/>
                <w:szCs w:val="20"/>
              </w:rPr>
              <w:t>přírůstek proti roku 2014 (v %)</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Hl. m. Praha</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33 852</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2,7</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Středočeský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26 527</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3,7</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Jihočeský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24 006</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3,8</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Plzeňský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25 574</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3,7</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b/>
                <w:sz w:val="20"/>
                <w:szCs w:val="20"/>
              </w:rPr>
            </w:pPr>
            <w:r w:rsidRPr="00CC4ADF">
              <w:rPr>
                <w:rFonts w:asciiTheme="minorHAnsi" w:hAnsiTheme="minorHAnsi" w:cs="Arial"/>
                <w:b/>
                <w:sz w:val="20"/>
                <w:szCs w:val="20"/>
              </w:rPr>
              <w:t xml:space="preserve">Karlovarský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b/>
                <w:sz w:val="20"/>
                <w:szCs w:val="20"/>
              </w:rPr>
            </w:pPr>
            <w:r w:rsidRPr="00CC4ADF">
              <w:rPr>
                <w:rFonts w:asciiTheme="minorHAnsi" w:hAnsiTheme="minorHAnsi" w:cs="Arial"/>
                <w:b/>
                <w:sz w:val="20"/>
                <w:szCs w:val="20"/>
              </w:rPr>
              <w:t>22 750</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b/>
                <w:sz w:val="20"/>
                <w:szCs w:val="20"/>
              </w:rPr>
            </w:pPr>
            <w:r w:rsidRPr="00CC4ADF">
              <w:rPr>
                <w:rFonts w:asciiTheme="minorHAnsi" w:hAnsiTheme="minorHAnsi" w:cs="Arial"/>
                <w:b/>
                <w:sz w:val="20"/>
                <w:szCs w:val="20"/>
              </w:rPr>
              <w:t>3,7</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Ústecký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23 934</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3,8</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Liberecký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24 685</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3,6</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Královéhradecký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24 030</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3,4</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Pardubický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23 673</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3,8</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Vysočina</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23 977</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3,6</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Jihomoravský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25 718</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3,6</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Olomoucký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23 483</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3,1</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Zlínský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23 240</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3,4</w:t>
            </w:r>
          </w:p>
        </w:tc>
      </w:tr>
      <w:tr w:rsidR="00F84B78" w:rsidRPr="00CC4ADF" w:rsidTr="00CC4ADF">
        <w:trPr>
          <w:trHeight w:val="255"/>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left"/>
              <w:rPr>
                <w:rFonts w:asciiTheme="minorHAnsi" w:hAnsiTheme="minorHAnsi" w:cs="Arial"/>
                <w:sz w:val="20"/>
                <w:szCs w:val="20"/>
              </w:rPr>
            </w:pPr>
            <w:r w:rsidRPr="00CC4ADF">
              <w:rPr>
                <w:rFonts w:asciiTheme="minorHAnsi" w:hAnsiTheme="minorHAnsi" w:cs="Arial"/>
                <w:sz w:val="20"/>
                <w:szCs w:val="20"/>
              </w:rPr>
              <w:t xml:space="preserve">Moravskoslezský </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24 208</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sz w:val="20"/>
                <w:szCs w:val="20"/>
              </w:rPr>
            </w:pPr>
            <w:r w:rsidRPr="00CC4ADF">
              <w:rPr>
                <w:rFonts w:asciiTheme="minorHAnsi" w:hAnsiTheme="minorHAnsi" w:cs="Arial"/>
                <w:sz w:val="20"/>
                <w:szCs w:val="20"/>
              </w:rPr>
              <w:t>3,0</w:t>
            </w:r>
          </w:p>
        </w:tc>
      </w:tr>
      <w:tr w:rsidR="00F84B78" w:rsidRPr="00CC4ADF" w:rsidTr="00CC4ADF">
        <w:trPr>
          <w:trHeight w:val="300"/>
        </w:trPr>
        <w:tc>
          <w:tcPr>
            <w:tcW w:w="1405" w:type="pct"/>
            <w:tcBorders>
              <w:top w:val="nil"/>
              <w:left w:val="single" w:sz="4" w:space="0" w:color="auto"/>
              <w:bottom w:val="single" w:sz="4" w:space="0" w:color="auto"/>
              <w:right w:val="single" w:sz="4" w:space="0" w:color="auto"/>
            </w:tcBorders>
            <w:shd w:val="clear" w:color="000000" w:fill="FFFFFF"/>
            <w:noWrap/>
            <w:vAlign w:val="bottom"/>
            <w:hideMark/>
          </w:tcPr>
          <w:p w:rsidR="00F84B78" w:rsidRPr="00CC4ADF" w:rsidRDefault="002354F4" w:rsidP="002C40B2">
            <w:pPr>
              <w:spacing w:after="0"/>
              <w:jc w:val="left"/>
              <w:rPr>
                <w:rFonts w:asciiTheme="minorHAnsi" w:hAnsiTheme="minorHAnsi" w:cs="Arial"/>
                <w:b/>
                <w:bCs/>
                <w:sz w:val="20"/>
                <w:szCs w:val="20"/>
              </w:rPr>
            </w:pPr>
            <w:r>
              <w:rPr>
                <w:rFonts w:asciiTheme="minorHAnsi" w:hAnsiTheme="minorHAnsi" w:cs="Arial"/>
                <w:b/>
                <w:bCs/>
                <w:sz w:val="20"/>
                <w:szCs w:val="20"/>
              </w:rPr>
              <w:t>ČR</w:t>
            </w:r>
          </w:p>
        </w:tc>
        <w:tc>
          <w:tcPr>
            <w:tcW w:w="1788"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b/>
                <w:bCs/>
                <w:sz w:val="20"/>
                <w:szCs w:val="20"/>
              </w:rPr>
            </w:pPr>
            <w:r w:rsidRPr="00CC4ADF">
              <w:rPr>
                <w:rFonts w:asciiTheme="minorHAnsi" w:hAnsiTheme="minorHAnsi" w:cs="Arial"/>
                <w:b/>
                <w:bCs/>
                <w:sz w:val="20"/>
                <w:szCs w:val="20"/>
              </w:rPr>
              <w:t>26 467</w:t>
            </w:r>
          </w:p>
        </w:tc>
        <w:tc>
          <w:tcPr>
            <w:tcW w:w="1807" w:type="pct"/>
            <w:tcBorders>
              <w:top w:val="nil"/>
              <w:left w:val="nil"/>
              <w:bottom w:val="single" w:sz="4" w:space="0" w:color="auto"/>
              <w:right w:val="single" w:sz="4" w:space="0" w:color="auto"/>
            </w:tcBorders>
            <w:shd w:val="clear" w:color="000000" w:fill="FFFFFF"/>
            <w:noWrap/>
            <w:vAlign w:val="bottom"/>
            <w:hideMark/>
          </w:tcPr>
          <w:p w:rsidR="00F84B78" w:rsidRPr="00CC4ADF" w:rsidRDefault="00F84B78" w:rsidP="002C40B2">
            <w:pPr>
              <w:spacing w:after="0"/>
              <w:jc w:val="center"/>
              <w:rPr>
                <w:rFonts w:asciiTheme="minorHAnsi" w:hAnsiTheme="minorHAnsi" w:cs="Arial"/>
                <w:b/>
                <w:bCs/>
                <w:sz w:val="20"/>
                <w:szCs w:val="20"/>
              </w:rPr>
            </w:pPr>
            <w:r w:rsidRPr="00CC4ADF">
              <w:rPr>
                <w:rFonts w:asciiTheme="minorHAnsi" w:hAnsiTheme="minorHAnsi" w:cs="Arial"/>
                <w:b/>
                <w:bCs/>
                <w:sz w:val="20"/>
                <w:szCs w:val="20"/>
              </w:rPr>
              <w:t>3,4</w:t>
            </w:r>
          </w:p>
        </w:tc>
      </w:tr>
    </w:tbl>
    <w:p w:rsidR="00F84B78" w:rsidRPr="00CC4ADF" w:rsidRDefault="00F84B78" w:rsidP="002C40B2">
      <w:pPr>
        <w:pStyle w:val="poznzdroj"/>
        <w:spacing w:line="276" w:lineRule="auto"/>
        <w:rPr>
          <w:szCs w:val="20"/>
        </w:rPr>
      </w:pPr>
      <w:r w:rsidRPr="00CC4ADF">
        <w:rPr>
          <w:szCs w:val="20"/>
        </w:rPr>
        <w:t>Zdroj: ČSÚ</w:t>
      </w:r>
      <w:r w:rsidR="00CC4ADF">
        <w:rPr>
          <w:szCs w:val="20"/>
        </w:rPr>
        <w:t xml:space="preserve"> -</w:t>
      </w:r>
      <w:r w:rsidRPr="00CC4ADF">
        <w:rPr>
          <w:szCs w:val="20"/>
        </w:rPr>
        <w:t xml:space="preserve"> Mzdy, náklady práce </w:t>
      </w:r>
      <w:r w:rsidRPr="00CC4ADF" w:rsidDel="00A21BA0">
        <w:rPr>
          <w:szCs w:val="20"/>
        </w:rPr>
        <w:t xml:space="preserve"> </w:t>
      </w:r>
    </w:p>
    <w:p w:rsidR="00F84B78" w:rsidRPr="00F46BE5" w:rsidRDefault="00F84B78" w:rsidP="002C40B2">
      <w:pPr>
        <w:rPr>
          <w:b/>
          <w:i/>
          <w:sz w:val="20"/>
          <w:szCs w:val="20"/>
        </w:rPr>
      </w:pPr>
      <w:r w:rsidRPr="00F46BE5">
        <w:rPr>
          <w:rStyle w:val="Siln"/>
          <w:rFonts w:eastAsiaTheme="majorEastAsia"/>
          <w:b w:val="0"/>
        </w:rPr>
        <w:t>O skutečné úrovni mezd však vypovídá lépe než průměrná hrubá mzda</w:t>
      </w:r>
      <w:r>
        <w:rPr>
          <w:rStyle w:val="Siln"/>
          <w:rFonts w:eastAsiaTheme="majorEastAsia"/>
          <w:b w:val="0"/>
        </w:rPr>
        <w:t xml:space="preserve">, která je ovlivněna </w:t>
      </w:r>
      <w:r w:rsidRPr="00F46BE5">
        <w:rPr>
          <w:rStyle w:val="Siln"/>
          <w:rFonts w:eastAsiaTheme="majorEastAsia"/>
          <w:b w:val="0"/>
        </w:rPr>
        <w:t>vysokými mzdami u malé části populace</w:t>
      </w:r>
      <w:r w:rsidRPr="00F46BE5">
        <w:rPr>
          <w:rStyle w:val="Znakapoznpodarou"/>
          <w:rFonts w:eastAsia="Calibri"/>
        </w:rPr>
        <w:footnoteReference w:id="25"/>
      </w:r>
      <w:r w:rsidRPr="00F46BE5">
        <w:rPr>
          <w:rStyle w:val="Siln"/>
          <w:rFonts w:eastAsiaTheme="majorEastAsia"/>
          <w:b w:val="0"/>
        </w:rPr>
        <w:t>, medián hrubé měsíční mzdy</w:t>
      </w:r>
      <w:r>
        <w:rPr>
          <w:rStyle w:val="Siln"/>
          <w:rFonts w:eastAsiaTheme="majorEastAsia"/>
          <w:b w:val="0"/>
        </w:rPr>
        <w:t xml:space="preserve"> (</w:t>
      </w:r>
      <w:r w:rsidR="004F2330">
        <w:fldChar w:fldCharType="begin"/>
      </w:r>
      <w:r w:rsidR="004F2330">
        <w:instrText xml:space="preserve"> REF _Ref466276249 \h  \* MERGEFORMAT </w:instrText>
      </w:r>
      <w:r w:rsidR="004F2330">
        <w:fldChar w:fldCharType="separate"/>
      </w:r>
      <w:r w:rsidR="00DA707D">
        <w:rPr>
          <w:rFonts w:eastAsia="Calibri"/>
          <w:bCs/>
          <w:lang w:eastAsia="en-US"/>
        </w:rPr>
        <w:t>g</w:t>
      </w:r>
      <w:r w:rsidR="00CB29BD" w:rsidRPr="00F46BE5">
        <w:rPr>
          <w:rFonts w:eastAsia="Calibri"/>
          <w:bCs/>
          <w:lang w:eastAsia="en-US"/>
        </w:rPr>
        <w:t xml:space="preserve">raf </w:t>
      </w:r>
      <w:r w:rsidR="00CB29BD">
        <w:rPr>
          <w:rFonts w:eastAsia="Calibri"/>
          <w:bCs/>
          <w:lang w:eastAsia="en-US"/>
        </w:rPr>
        <w:t>9.7</w:t>
      </w:r>
      <w:r w:rsidR="004F2330">
        <w:fldChar w:fldCharType="end"/>
      </w:r>
      <w:r>
        <w:rPr>
          <w:rStyle w:val="Siln"/>
          <w:rFonts w:eastAsiaTheme="majorEastAsia"/>
          <w:b w:val="0"/>
        </w:rPr>
        <w:t>)</w:t>
      </w:r>
      <w:r w:rsidRPr="00F46BE5">
        <w:rPr>
          <w:rStyle w:val="Siln"/>
          <w:rFonts w:eastAsiaTheme="majorEastAsia"/>
          <w:b w:val="0"/>
        </w:rPr>
        <w:t xml:space="preserve">. </w:t>
      </w:r>
    </w:p>
    <w:p w:rsidR="00F84B78" w:rsidRPr="00F46BE5" w:rsidRDefault="00F84B78" w:rsidP="00DA3F4B">
      <w:pPr>
        <w:pStyle w:val="Citt"/>
        <w:rPr>
          <w:rFonts w:ascii="Calibri" w:eastAsia="Calibri" w:hAnsi="Calibri" w:cs="Calibri"/>
          <w:bCs/>
          <w:sz w:val="22"/>
          <w:lang w:eastAsia="en-US"/>
        </w:rPr>
      </w:pPr>
      <w:bookmarkStart w:id="242" w:name="_Ref466276249"/>
      <w:bookmarkStart w:id="243" w:name="_Toc444526756"/>
      <w:bookmarkStart w:id="244" w:name="_Toc488234363"/>
      <w:r w:rsidRPr="00F46BE5">
        <w:rPr>
          <w:rFonts w:ascii="Calibri" w:eastAsia="Calibri" w:hAnsi="Calibri" w:cs="Calibri"/>
          <w:bCs/>
          <w:sz w:val="22"/>
          <w:lang w:eastAsia="en-US"/>
        </w:rPr>
        <w:t xml:space="preserve">Graf </w:t>
      </w:r>
      <w:r w:rsidR="008965FE">
        <w:rPr>
          <w:rFonts w:ascii="Calibri" w:eastAsia="Calibri" w:hAnsi="Calibri" w:cs="Calibri"/>
          <w:bCs/>
          <w:sz w:val="22"/>
          <w:lang w:eastAsia="en-US"/>
        </w:rPr>
        <w:fldChar w:fldCharType="begin"/>
      </w:r>
      <w:r w:rsidR="00FD378B">
        <w:rPr>
          <w:rFonts w:ascii="Calibri" w:eastAsia="Calibri" w:hAnsi="Calibri" w:cs="Calibri"/>
          <w:bCs/>
          <w:sz w:val="22"/>
          <w:lang w:eastAsia="en-US"/>
        </w:rPr>
        <w:instrText xml:space="preserve"> STYLEREF 1 \s </w:instrText>
      </w:r>
      <w:r w:rsidR="008965FE">
        <w:rPr>
          <w:rFonts w:ascii="Calibri" w:eastAsia="Calibri" w:hAnsi="Calibri" w:cs="Calibri"/>
          <w:bCs/>
          <w:sz w:val="22"/>
          <w:lang w:eastAsia="en-US"/>
        </w:rPr>
        <w:fldChar w:fldCharType="separate"/>
      </w:r>
      <w:r w:rsidR="00CB29BD">
        <w:rPr>
          <w:rFonts w:ascii="Calibri" w:eastAsia="Calibri" w:hAnsi="Calibri" w:cs="Calibri"/>
          <w:bCs/>
          <w:noProof/>
          <w:sz w:val="22"/>
          <w:lang w:eastAsia="en-US"/>
        </w:rPr>
        <w:t>9</w:t>
      </w:r>
      <w:r w:rsidR="008965FE">
        <w:rPr>
          <w:rFonts w:ascii="Calibri" w:eastAsia="Calibri" w:hAnsi="Calibri" w:cs="Calibri"/>
          <w:bCs/>
          <w:sz w:val="22"/>
          <w:lang w:eastAsia="en-US"/>
        </w:rPr>
        <w:fldChar w:fldCharType="end"/>
      </w:r>
      <w:r w:rsidR="00FD378B">
        <w:rPr>
          <w:rFonts w:ascii="Calibri" w:eastAsia="Calibri" w:hAnsi="Calibri" w:cs="Calibri"/>
          <w:bCs/>
          <w:sz w:val="22"/>
          <w:lang w:eastAsia="en-US"/>
        </w:rPr>
        <w:t>.</w:t>
      </w:r>
      <w:r w:rsidR="008965FE">
        <w:rPr>
          <w:rFonts w:ascii="Calibri" w:eastAsia="Calibri" w:hAnsi="Calibri" w:cs="Calibri"/>
          <w:bCs/>
          <w:sz w:val="22"/>
          <w:lang w:eastAsia="en-US"/>
        </w:rPr>
        <w:fldChar w:fldCharType="begin"/>
      </w:r>
      <w:r w:rsidR="00FD378B">
        <w:rPr>
          <w:rFonts w:ascii="Calibri" w:eastAsia="Calibri" w:hAnsi="Calibri" w:cs="Calibri"/>
          <w:bCs/>
          <w:sz w:val="22"/>
          <w:lang w:eastAsia="en-US"/>
        </w:rPr>
        <w:instrText xml:space="preserve"> SEQ Graf \* ARABIC \s 1 </w:instrText>
      </w:r>
      <w:r w:rsidR="008965FE">
        <w:rPr>
          <w:rFonts w:ascii="Calibri" w:eastAsia="Calibri" w:hAnsi="Calibri" w:cs="Calibri"/>
          <w:bCs/>
          <w:sz w:val="22"/>
          <w:lang w:eastAsia="en-US"/>
        </w:rPr>
        <w:fldChar w:fldCharType="separate"/>
      </w:r>
      <w:r w:rsidR="00CB29BD">
        <w:rPr>
          <w:rFonts w:ascii="Calibri" w:eastAsia="Calibri" w:hAnsi="Calibri" w:cs="Calibri"/>
          <w:bCs/>
          <w:noProof/>
          <w:sz w:val="22"/>
          <w:lang w:eastAsia="en-US"/>
        </w:rPr>
        <w:t>7</w:t>
      </w:r>
      <w:r w:rsidR="008965FE">
        <w:rPr>
          <w:rFonts w:ascii="Calibri" w:eastAsia="Calibri" w:hAnsi="Calibri" w:cs="Calibri"/>
          <w:bCs/>
          <w:sz w:val="22"/>
          <w:lang w:eastAsia="en-US"/>
        </w:rPr>
        <w:fldChar w:fldCharType="end"/>
      </w:r>
      <w:bookmarkEnd w:id="242"/>
      <w:r w:rsidRPr="00F46BE5">
        <w:rPr>
          <w:rFonts w:ascii="Calibri" w:eastAsia="Calibri" w:hAnsi="Calibri" w:cs="Calibri"/>
          <w:bCs/>
          <w:sz w:val="22"/>
          <w:lang w:eastAsia="en-US"/>
        </w:rPr>
        <w:t>: Medián hrubé měsíční mzdy v podnikatelské sf</w:t>
      </w:r>
      <w:r w:rsidR="00CC4ADF">
        <w:rPr>
          <w:rFonts w:ascii="Calibri" w:eastAsia="Calibri" w:hAnsi="Calibri" w:cs="Calibri"/>
          <w:bCs/>
          <w:sz w:val="22"/>
          <w:lang w:eastAsia="en-US"/>
        </w:rPr>
        <w:t xml:space="preserve">éře ve vybraných krajích a v ČR </w:t>
      </w:r>
      <w:r w:rsidR="00CC4ADF">
        <w:rPr>
          <w:rFonts w:ascii="Calibri" w:eastAsia="Calibri" w:hAnsi="Calibri" w:cs="Calibri"/>
          <w:bCs/>
          <w:sz w:val="22"/>
          <w:lang w:eastAsia="en-US"/>
        </w:rPr>
        <w:br/>
        <w:t>v letech</w:t>
      </w:r>
      <w:r w:rsidRPr="00F46BE5">
        <w:rPr>
          <w:rFonts w:ascii="Calibri" w:eastAsia="Calibri" w:hAnsi="Calibri" w:cs="Calibri"/>
          <w:bCs/>
          <w:sz w:val="22"/>
          <w:lang w:eastAsia="en-US"/>
        </w:rPr>
        <w:t xml:space="preserve"> 2003</w:t>
      </w:r>
      <w:r w:rsidR="00CC4ADF">
        <w:rPr>
          <w:rFonts w:ascii="Calibri" w:eastAsia="Calibri" w:hAnsi="Calibri" w:cs="Calibri"/>
          <w:bCs/>
          <w:sz w:val="22"/>
          <w:lang w:eastAsia="en-US"/>
        </w:rPr>
        <w:t xml:space="preserve"> </w:t>
      </w:r>
      <w:r w:rsidRPr="00F46BE5">
        <w:rPr>
          <w:rFonts w:ascii="Calibri" w:eastAsia="Calibri" w:hAnsi="Calibri" w:cs="Calibri"/>
          <w:bCs/>
          <w:sz w:val="22"/>
          <w:lang w:eastAsia="en-US"/>
        </w:rPr>
        <w:t>–</w:t>
      </w:r>
      <w:r w:rsidR="00CC4ADF">
        <w:rPr>
          <w:rFonts w:ascii="Calibri" w:eastAsia="Calibri" w:hAnsi="Calibri" w:cs="Calibri"/>
          <w:bCs/>
          <w:sz w:val="22"/>
          <w:lang w:eastAsia="en-US"/>
        </w:rPr>
        <w:t xml:space="preserve"> </w:t>
      </w:r>
      <w:r w:rsidRPr="00F46BE5">
        <w:rPr>
          <w:rFonts w:ascii="Calibri" w:eastAsia="Calibri" w:hAnsi="Calibri" w:cs="Calibri"/>
          <w:bCs/>
          <w:sz w:val="22"/>
          <w:lang w:eastAsia="en-US"/>
        </w:rPr>
        <w:t>2014</w:t>
      </w:r>
      <w:bookmarkEnd w:id="243"/>
      <w:r w:rsidR="00CC4ADF">
        <w:rPr>
          <w:rFonts w:ascii="Calibri" w:eastAsia="Calibri" w:hAnsi="Calibri" w:cs="Calibri"/>
          <w:bCs/>
          <w:sz w:val="22"/>
          <w:lang w:eastAsia="en-US"/>
        </w:rPr>
        <w:t xml:space="preserve"> (v Kč)</w:t>
      </w:r>
      <w:bookmarkEnd w:id="244"/>
    </w:p>
    <w:p w:rsidR="00F84B78" w:rsidRDefault="00F84B78" w:rsidP="002C40B2">
      <w:r w:rsidRPr="00335F85">
        <w:rPr>
          <w:noProof/>
        </w:rPr>
        <w:drawing>
          <wp:inline distT="0" distB="0" distL="0" distR="0">
            <wp:extent cx="5796951" cy="2639683"/>
            <wp:effectExtent l="0" t="0" r="13335" b="27940"/>
            <wp:docPr id="5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E424D" w:rsidRDefault="00F84B78">
      <w:pPr>
        <w:spacing w:before="120" w:after="0" w:line="240" w:lineRule="auto"/>
        <w:rPr>
          <w:i/>
          <w:sz w:val="20"/>
          <w:szCs w:val="20"/>
        </w:rPr>
      </w:pPr>
      <w:r>
        <w:rPr>
          <w:i/>
          <w:sz w:val="20"/>
          <w:szCs w:val="20"/>
        </w:rPr>
        <w:t>Pozn</w:t>
      </w:r>
      <w:r w:rsidR="00CC4ADF">
        <w:rPr>
          <w:i/>
          <w:sz w:val="20"/>
          <w:szCs w:val="20"/>
        </w:rPr>
        <w:t>ámka</w:t>
      </w:r>
      <w:r>
        <w:rPr>
          <w:i/>
          <w:sz w:val="20"/>
          <w:szCs w:val="20"/>
        </w:rPr>
        <w:t xml:space="preserve">: </w:t>
      </w:r>
      <w:r w:rsidRPr="00853B2B">
        <w:rPr>
          <w:i/>
          <w:sz w:val="20"/>
          <w:szCs w:val="20"/>
        </w:rPr>
        <w:t>Data jsou získána tzv. pracovištní metodou (územní třídění je provedeno podle místa skutečného pracoviště zaměstnanců) a vychází z pravidelného výběrového statistického zjišťování s názvem „Čtvrtletní šetření o ceně práce“</w:t>
      </w:r>
      <w:r w:rsidR="00CC4ADF">
        <w:rPr>
          <w:i/>
          <w:sz w:val="20"/>
          <w:szCs w:val="20"/>
        </w:rPr>
        <w:t>.</w:t>
      </w:r>
    </w:p>
    <w:p w:rsidR="009E424D" w:rsidRDefault="00CC4ADF">
      <w:pPr>
        <w:spacing w:after="120" w:line="240" w:lineRule="auto"/>
        <w:rPr>
          <w:i/>
          <w:sz w:val="20"/>
          <w:szCs w:val="20"/>
        </w:rPr>
      </w:pPr>
      <w:r w:rsidRPr="00853B2B">
        <w:rPr>
          <w:i/>
          <w:sz w:val="20"/>
          <w:szCs w:val="20"/>
        </w:rPr>
        <w:t>Zdroj: MPSV - Regionální statistika ceny práce, vlastní úpravy</w:t>
      </w:r>
    </w:p>
    <w:p w:rsidR="00F84B78" w:rsidRPr="00CC4ADF" w:rsidRDefault="00F84B78" w:rsidP="002C40B2">
      <w:pPr>
        <w:rPr>
          <w:rStyle w:val="Siln"/>
          <w:rFonts w:eastAsiaTheme="majorEastAsia"/>
        </w:rPr>
      </w:pPr>
      <w:r w:rsidRPr="00F46BE5">
        <w:rPr>
          <w:rStyle w:val="Siln"/>
          <w:rFonts w:eastAsiaTheme="majorEastAsia"/>
          <w:b w:val="0"/>
        </w:rPr>
        <w:lastRenderedPageBreak/>
        <w:t>Mzdy v podnikatelské sféře (měřené mediánem)</w:t>
      </w:r>
      <w:r w:rsidR="00CC4ADF">
        <w:rPr>
          <w:rStyle w:val="Siln"/>
          <w:rFonts w:eastAsiaTheme="majorEastAsia"/>
          <w:b w:val="0"/>
        </w:rPr>
        <w:t xml:space="preserve"> v KK </w:t>
      </w:r>
      <w:r w:rsidRPr="00F46BE5">
        <w:rPr>
          <w:rStyle w:val="Siln"/>
          <w:rFonts w:eastAsiaTheme="majorEastAsia"/>
          <w:b w:val="0"/>
        </w:rPr>
        <w:t>dlouhodobě rostou mnohem nižším tempem než v ČR. Toto zaostávání je nejvíce patrné po roce 2008, před nímž vrcholilo období vysokého ekonomického růstu</w:t>
      </w:r>
      <w:r w:rsidR="00CC4ADF">
        <w:rPr>
          <w:rStyle w:val="Siln"/>
          <w:rFonts w:eastAsiaTheme="majorEastAsia"/>
          <w:b w:val="0"/>
        </w:rPr>
        <w:t xml:space="preserve">, kdy </w:t>
      </w:r>
      <w:r w:rsidRPr="00F46BE5">
        <w:rPr>
          <w:rStyle w:val="Siln"/>
          <w:rFonts w:eastAsiaTheme="majorEastAsia"/>
          <w:b w:val="0"/>
        </w:rPr>
        <w:t>růst mezd v Karlovarském byl srovnatelný s ostatními regiony ČR. Mzdy v období 2008</w:t>
      </w:r>
      <w:r w:rsidR="00CC4ADF">
        <w:rPr>
          <w:rStyle w:val="Siln"/>
          <w:rFonts w:eastAsiaTheme="majorEastAsia"/>
          <w:b w:val="0"/>
        </w:rPr>
        <w:t xml:space="preserve"> </w:t>
      </w:r>
      <w:r w:rsidRPr="00F46BE5">
        <w:rPr>
          <w:rStyle w:val="Siln"/>
          <w:rFonts w:eastAsiaTheme="majorEastAsia"/>
          <w:b w:val="0"/>
        </w:rPr>
        <w:t>-</w:t>
      </w:r>
      <w:r w:rsidR="00CC4ADF">
        <w:rPr>
          <w:rStyle w:val="Siln"/>
          <w:rFonts w:eastAsiaTheme="majorEastAsia"/>
          <w:b w:val="0"/>
        </w:rPr>
        <w:t xml:space="preserve"> </w:t>
      </w:r>
      <w:r w:rsidR="00067C74">
        <w:rPr>
          <w:rStyle w:val="Siln"/>
          <w:rFonts w:eastAsiaTheme="majorEastAsia"/>
          <w:b w:val="0"/>
        </w:rPr>
        <w:t>20</w:t>
      </w:r>
      <w:r w:rsidRPr="00F46BE5">
        <w:rPr>
          <w:rStyle w:val="Siln"/>
          <w:rFonts w:eastAsiaTheme="majorEastAsia"/>
          <w:b w:val="0"/>
        </w:rPr>
        <w:t xml:space="preserve">11 pak ale stagnovaly, zatímco v ČR stále rostly, i když nižším tempem než v předchozím období. Růst mezd byl obnoven až od roku 2012, přesto je tempo růstu nižší než v ostatních regionech ČR. </w:t>
      </w:r>
      <w:r w:rsidRPr="00F744C8">
        <w:rPr>
          <w:rStyle w:val="Siln"/>
          <w:rFonts w:eastAsiaTheme="majorEastAsia"/>
          <w:b w:val="0"/>
        </w:rPr>
        <w:t xml:space="preserve">V Karlovarském kraji úroveň mezd zaostávala za ostatními kraji po celé období a nyní je </w:t>
      </w:r>
      <w:r w:rsidRPr="00CC4ADF">
        <w:rPr>
          <w:rStyle w:val="Siln"/>
          <w:rFonts w:eastAsiaTheme="majorEastAsia"/>
        </w:rPr>
        <w:t xml:space="preserve">rozdíl téměř 4,5 tis. Kč. </w:t>
      </w:r>
    </w:p>
    <w:p w:rsidR="00F84B78" w:rsidRPr="00853B2B" w:rsidRDefault="00F84B78" w:rsidP="002C40B2">
      <w:pPr>
        <w:rPr>
          <w:i/>
          <w:sz w:val="20"/>
          <w:szCs w:val="20"/>
        </w:rPr>
      </w:pPr>
      <w:r>
        <w:rPr>
          <w:rStyle w:val="Siln"/>
          <w:rFonts w:eastAsiaTheme="majorEastAsia"/>
          <w:b w:val="0"/>
        </w:rPr>
        <w:t xml:space="preserve">Vysokou nezaměstnanost a nízkou hladinu mezd v KK zapříčiňuje </w:t>
      </w:r>
      <w:r w:rsidRPr="00F46BE5">
        <w:rPr>
          <w:rStyle w:val="Siln"/>
          <w:rFonts w:eastAsiaTheme="majorEastAsia"/>
          <w:b w:val="0"/>
        </w:rPr>
        <w:t xml:space="preserve">nižší hospodářská výkonnost </w:t>
      </w:r>
      <w:r w:rsidR="00067C74">
        <w:rPr>
          <w:rStyle w:val="Siln"/>
          <w:rFonts w:eastAsiaTheme="majorEastAsia"/>
          <w:b w:val="0"/>
        </w:rPr>
        <w:br/>
      </w:r>
      <w:r w:rsidRPr="00F46BE5">
        <w:rPr>
          <w:rStyle w:val="Siln"/>
          <w:rFonts w:eastAsiaTheme="majorEastAsia"/>
          <w:b w:val="0"/>
        </w:rPr>
        <w:t>a především nižší úroveň produktivity práce v kraji než ve zbytku ČR, která vyplývá zejména ze struktury ekonomiky – vyššího zastoupení průmyslových oborů a aktivit s nižší přidanou hodnotou a také vyššího zastoupení méně znalostně intenzivních služeb v zaměstnanosti.</w:t>
      </w:r>
      <w:r w:rsidRPr="00853B2B">
        <w:rPr>
          <w:i/>
          <w:sz w:val="20"/>
          <w:szCs w:val="20"/>
        </w:rPr>
        <w:t xml:space="preserve"> </w:t>
      </w:r>
    </w:p>
    <w:bookmarkEnd w:id="219"/>
    <w:p w:rsidR="00F84B78" w:rsidRPr="00CC4ADF" w:rsidRDefault="00F84B78" w:rsidP="002C40B2">
      <w:pPr>
        <w:pStyle w:val="Nadpis2"/>
      </w:pPr>
      <w:r w:rsidRPr="00CC4ADF">
        <w:t>Klíčové výzvy/problémy</w:t>
      </w:r>
    </w:p>
    <w:p w:rsidR="00F84B78" w:rsidRPr="00F46BE5" w:rsidRDefault="00F84B78" w:rsidP="002C40B2">
      <w:pPr>
        <w:rPr>
          <w:b/>
        </w:rPr>
      </w:pPr>
      <w:r w:rsidRPr="00F46BE5">
        <w:rPr>
          <w:b/>
        </w:rPr>
        <w:t>Na</w:t>
      </w:r>
      <w:r>
        <w:rPr>
          <w:b/>
        </w:rPr>
        <w:t xml:space="preserve">dprůměrná míra nezaměstnanosti </w:t>
      </w:r>
    </w:p>
    <w:p w:rsidR="00F84B78" w:rsidRDefault="00F84B78" w:rsidP="002C40B2">
      <w:r w:rsidRPr="00F46BE5">
        <w:t xml:space="preserve">Ekonomické postavení Karlovarského kraje se v důsledku relativně pomalého ekonomického oživení na přelomu století v porovnání s ostatními regiony postupně velmi zhoršilo a dopad globální ekonomické krize </w:t>
      </w:r>
      <w:r w:rsidR="00067C74">
        <w:t>byl</w:t>
      </w:r>
      <w:r w:rsidR="00067C74" w:rsidRPr="00F46BE5">
        <w:t xml:space="preserve"> </w:t>
      </w:r>
      <w:r w:rsidRPr="00F46BE5">
        <w:t>delší a intenzivnější, čímž se odstup od ostatních krajů spíše zvětš</w:t>
      </w:r>
      <w:r w:rsidR="00067C74">
        <w:t>il</w:t>
      </w:r>
      <w:r w:rsidRPr="00F46BE5">
        <w:t>. Zhoršující se ekonomický vývoj kraje se projevuje negativně na vývoji nezaměstnanosti na trhu práce</w:t>
      </w:r>
      <w:r w:rsidR="00067C74">
        <w:t>.</w:t>
      </w:r>
      <w:r w:rsidRPr="00F46BE5">
        <w:t xml:space="preserve"> Karlovarský kraj se dlouhodobě potýká s nadprůměrnou mírou nezaměstnanosti</w:t>
      </w:r>
      <w:r>
        <w:t xml:space="preserve">. </w:t>
      </w:r>
      <w:r w:rsidRPr="00F46BE5">
        <w:t xml:space="preserve">V roce 2015 dosahovala míra nezaměstnanosti 6,7 % a Karlovarský kraj se tak umístil na třetí nejhorší pozici v ČR. Z hlediska délky nezaměstnanosti došlo k relativnímu i absolutnímu navýšení skupiny dlouhodobě nezaměstnaných nad 12 měsíců. Vysoká nezaměstnanost je navíc doprovázena nejnižší úrovní mezd - </w:t>
      </w:r>
      <w:r w:rsidR="00D12A77">
        <w:t>KK</w:t>
      </w:r>
      <w:r w:rsidRPr="00F46BE5">
        <w:t xml:space="preserve"> se dlouhodobě </w:t>
      </w:r>
      <w:r w:rsidR="00D12A77">
        <w:t>řadí</w:t>
      </w:r>
      <w:r w:rsidR="00D12A77" w:rsidRPr="00F46BE5">
        <w:t xml:space="preserve"> </w:t>
      </w:r>
      <w:r w:rsidRPr="00F46BE5">
        <w:t>na poslední místo mezi kraji.</w:t>
      </w:r>
    </w:p>
    <w:p w:rsidR="00F84B78" w:rsidRPr="00811CE5" w:rsidRDefault="00F84B78" w:rsidP="002C40B2">
      <w:pPr>
        <w:rPr>
          <w:b/>
          <w:i/>
        </w:rPr>
      </w:pPr>
      <w:r w:rsidRPr="00811CE5">
        <w:rPr>
          <w:b/>
          <w:i/>
        </w:rPr>
        <w:t>Příčiny</w:t>
      </w:r>
    </w:p>
    <w:p w:rsidR="00F84B78" w:rsidRPr="00F46BE5" w:rsidRDefault="00F84B78" w:rsidP="002C40B2">
      <w:r w:rsidRPr="00F46BE5">
        <w:t xml:space="preserve">Příčiny tohoto problému lze nalézt v ekonomickém vývoji regionu resp. vyšší míra nezaměstnanosti souvisí s nižší ekonomickou výkonností kraje. Přestože ekonomika kraje mírně roste, není schopna vytvářet dostatek nových pracovních míst a míra nezaměstnanosti na tento růst nereaguje. </w:t>
      </w:r>
      <w:r w:rsidRPr="00811CE5">
        <w:t>Ekonomika kraje výrazně nereaguje na pozitivní známky oživení a pozitivní změn</w:t>
      </w:r>
      <w:r>
        <w:t>a</w:t>
      </w:r>
      <w:r w:rsidRPr="00811CE5">
        <w:t xml:space="preserve"> hospodářského cyklu (i když dočasná) kraji na trhu práce nepomohla. Ekonomický růst je pravděpodobně vázán především na zefektivňování výrobního procesu a nesouvisí s růstem pracovních míst. </w:t>
      </w:r>
      <w:r>
        <w:t>S</w:t>
      </w:r>
      <w:r w:rsidRPr="003D5952">
        <w:t xml:space="preserve">ituace v ostatních regionech </w:t>
      </w:r>
      <w:r w:rsidR="00E52744">
        <w:t>ČR</w:t>
      </w:r>
      <w:r w:rsidRPr="003D5952">
        <w:t xml:space="preserve"> je z tohoto pohledu obdobná, proto ani odchod za zaměstnáním mimo Karlovarský region není intenzivní a z kraje odchází pouze nejkvalitnější pracovní síla.</w:t>
      </w:r>
      <w:r>
        <w:t xml:space="preserve"> </w:t>
      </w:r>
      <w:r w:rsidRPr="00F46BE5">
        <w:t>Dalším aspektem ovlivňujícím nezaměstnanost v kraji je sezónní charakter trhu práce.</w:t>
      </w:r>
      <w:r>
        <w:t xml:space="preserve"> Strukturální dysfunkce trhu práce týkající </w:t>
      </w:r>
      <w:r w:rsidR="00E52744">
        <w:t xml:space="preserve">se </w:t>
      </w:r>
      <w:r>
        <w:t xml:space="preserve">kvalitativního nesouladu mezi zaměstnavateli poptávanou profesní a kvalifikační strukturou pracovních sil </w:t>
      </w:r>
      <w:r w:rsidR="00E52744">
        <w:t xml:space="preserve">a </w:t>
      </w:r>
      <w:r>
        <w:t>na straně nabídky tuto poptávku pokrýt</w:t>
      </w:r>
      <w:r w:rsidR="00E52744">
        <w:t>,</w:t>
      </w:r>
      <w:r>
        <w:t xml:space="preserve"> představuje pro Karlovarský kraj vážný problém.</w:t>
      </w:r>
    </w:p>
    <w:p w:rsidR="00F84B78" w:rsidRPr="00811CE5" w:rsidRDefault="00F84B78" w:rsidP="002C40B2">
      <w:pPr>
        <w:rPr>
          <w:b/>
          <w:i/>
        </w:rPr>
      </w:pPr>
      <w:r>
        <w:rPr>
          <w:b/>
          <w:i/>
        </w:rPr>
        <w:t>Důsledky</w:t>
      </w:r>
    </w:p>
    <w:p w:rsidR="00F84B78" w:rsidRPr="00F46BE5" w:rsidRDefault="00F84B78" w:rsidP="002C40B2">
      <w:r w:rsidRPr="00F46BE5">
        <w:t xml:space="preserve">Vývoj míry nezaměstnanosti představuje jeden ze základních ukazatelů popisujících situaci na trhu práce s dopadem do mnoha dalších oblastí jako je hospodářský růst a sociální soudržnost. Špatná situace na trhu práce vede ke zhoršování ekonomické pozice </w:t>
      </w:r>
      <w:r w:rsidR="00D12A77">
        <w:t>KK</w:t>
      </w:r>
      <w:r w:rsidRPr="00F46BE5">
        <w:t xml:space="preserve">. Zvyšování nezaměstnanosti ukazuje, </w:t>
      </w:r>
      <w:r w:rsidRPr="00F46BE5">
        <w:lastRenderedPageBreak/>
        <w:t xml:space="preserve">že situace v kraji není ekonomicky stabilizovaná a předchozí zaostání ekonomické dynamiky kraje se může ještě silněji prohloubit. Intervence </w:t>
      </w:r>
      <w:r w:rsidR="00D12A77">
        <w:t>KK</w:t>
      </w:r>
      <w:r w:rsidRPr="00F46BE5">
        <w:t xml:space="preserve"> v této problematice mohou být prostřednictvím identifikace potenciálních rozvojových oblastí a tím přispět k nastartování ekonomiky či nových aktivit.</w:t>
      </w:r>
    </w:p>
    <w:p w:rsidR="00F84B78" w:rsidRPr="007053C5" w:rsidRDefault="00F84B78" w:rsidP="002C40B2">
      <w:pPr>
        <w:rPr>
          <w:b/>
        </w:rPr>
      </w:pPr>
      <w:r w:rsidRPr="007053C5">
        <w:rPr>
          <w:b/>
        </w:rPr>
        <w:t>Struktura uchazečů o zaměs</w:t>
      </w:r>
      <w:r>
        <w:rPr>
          <w:b/>
        </w:rPr>
        <w:t>tnání</w:t>
      </w:r>
    </w:p>
    <w:p w:rsidR="00F84B78" w:rsidRPr="00773BF4" w:rsidRDefault="00F84B78" w:rsidP="002C40B2">
      <w:r w:rsidRPr="00773BF4">
        <w:t>Z hlediska věkové struktury má KK oproti ČR vyšší zastoupení uchazečů o zaměstnání ve věku do 24 let. Mezi nimi jsou i čerství absolventi, což ukazuje na nesoulad mezi poptávkou na trhu práce a oborovou strukturou škol. Z hlediska vzdělání je největší skupina uchazečů o práci bez vzdělání a se základním vzděláním (45,1 %), což ukazuje na obecně nízkou vzdělanostní úroveň v kraji oproti ČR. Karlovarský kraj má nejhorší vzdělanostní úroveň mezi regiony ČR</w:t>
      </w:r>
      <w:r w:rsidR="00FC0162">
        <w:t>:</w:t>
      </w:r>
      <w:r w:rsidRPr="00773BF4">
        <w:t xml:space="preserve"> </w:t>
      </w:r>
      <w:r w:rsidR="00FC0162" w:rsidRPr="00FC0162">
        <w:t xml:space="preserve">pětina </w:t>
      </w:r>
      <w:r w:rsidRPr="00FC0162">
        <w:t xml:space="preserve">osob starších 15 let má pouze základní vzdělání a jen </w:t>
      </w:r>
      <w:r w:rsidR="00FC0162">
        <w:t>desetinu</w:t>
      </w:r>
      <w:r w:rsidRPr="00FC0162">
        <w:t xml:space="preserve"> populace tvoří vysokoškolsky vzdělaní obyvatelé</w:t>
      </w:r>
      <w:r w:rsidR="00FC0162">
        <w:t xml:space="preserve"> (stav v roce 2015)</w:t>
      </w:r>
      <w:r w:rsidRPr="00FC0162">
        <w:t>. Navíc se tento nepříznivý poměr v čase nijak výrazně nezlepšuje. Společným dopadem</w:t>
      </w:r>
      <w:r w:rsidRPr="00773BF4">
        <w:t xml:space="preserve"> řady z výše uvedených dílčích důsledků problému nižší vzdělanosti a kvality osob na trhu práce je nižší úroveň mezd v kraji způsobená také strukturou ekonomiky</w:t>
      </w:r>
      <w:r w:rsidR="00D12A77">
        <w:t>.</w:t>
      </w:r>
      <w:r w:rsidRPr="00773BF4">
        <w:t xml:space="preserve"> To působí na nižší koupěschopnost obyvatel a spotřebu domácností a cyklicky negativně ovlivňuje dynamiku ekonomického vývoje kraje.</w:t>
      </w:r>
    </w:p>
    <w:p w:rsidR="00F84B78" w:rsidRPr="00773BF4" w:rsidRDefault="00F84B78" w:rsidP="002C40B2">
      <w:r w:rsidRPr="00773BF4">
        <w:rPr>
          <w:bCs/>
        </w:rPr>
        <w:t>Nízká vzdělanostní úroveň obyvatelstva a kvalifikační struktura osob na trhu práce a absolventů je jedním z klíčových problémů Karlovarského kraje, který má řadu multiplikačních efektů zasahujících do fungování mnoha dalších oblastí ekonomiky a společnosti a je jednou z významných bariér pro úspěšnou restrukturalizaci krajského hospodářství</w:t>
      </w:r>
      <w:r w:rsidRPr="00773BF4">
        <w:t xml:space="preserve">. </w:t>
      </w:r>
    </w:p>
    <w:p w:rsidR="00F84B78" w:rsidRPr="00811CE5" w:rsidRDefault="00F84B78" w:rsidP="002C40B2">
      <w:pPr>
        <w:rPr>
          <w:b/>
          <w:i/>
        </w:rPr>
      </w:pPr>
      <w:r w:rsidRPr="00811CE5">
        <w:rPr>
          <w:b/>
          <w:i/>
        </w:rPr>
        <w:t>Příčiny</w:t>
      </w:r>
    </w:p>
    <w:p w:rsidR="00F84B78" w:rsidRPr="00773BF4" w:rsidRDefault="00F84B78" w:rsidP="002C40B2">
      <w:r w:rsidRPr="00773BF4">
        <w:rPr>
          <w:bCs/>
        </w:rPr>
        <w:t>Prvotní příčinou nízké vzdělanosti obyvatel kraje je historicky zděděná společensko-ekonomická situace</w:t>
      </w:r>
      <w:r w:rsidRPr="00773BF4">
        <w:t xml:space="preserve">, jelikož vzdělání má tendenci se mezigeneračně reprodukovat, tedy nižší vzdělanostní tradice v rodinách vede k nižší poptávce </w:t>
      </w:r>
      <w:r w:rsidR="00E52744">
        <w:t>po</w:t>
      </w:r>
      <w:r w:rsidRPr="00773BF4">
        <w:t xml:space="preserve"> vzdělání i v další generaci. Příčinou je </w:t>
      </w:r>
      <w:r>
        <w:t xml:space="preserve">též </w:t>
      </w:r>
      <w:r w:rsidRPr="00773BF4">
        <w:t xml:space="preserve">několik desetiletí trvající centrálně uměle podporovaná </w:t>
      </w:r>
      <w:r w:rsidRPr="00773BF4">
        <w:rPr>
          <w:bCs/>
        </w:rPr>
        <w:t xml:space="preserve">orientace </w:t>
      </w:r>
      <w:r>
        <w:rPr>
          <w:bCs/>
        </w:rPr>
        <w:t>na odvětví</w:t>
      </w:r>
      <w:r w:rsidRPr="00773BF4">
        <w:rPr>
          <w:bCs/>
        </w:rPr>
        <w:t>, kde se využívala především méně vzdělaná pracovní síla</w:t>
      </w:r>
      <w:r w:rsidRPr="00773BF4">
        <w:t xml:space="preserve">. Svou roli zde i přes poměrně velký časový úsek hraje také </w:t>
      </w:r>
      <w:r w:rsidRPr="00773BF4">
        <w:rPr>
          <w:bCs/>
        </w:rPr>
        <w:t>nekontinuita osídlení, která pramenila z poválečného odsunu německého obyvatelstva a následného umělého osídlení</w:t>
      </w:r>
      <w:r w:rsidR="006277EE">
        <w:rPr>
          <w:bCs/>
        </w:rPr>
        <w:t xml:space="preserve"> území</w:t>
      </w:r>
      <w:r w:rsidRPr="00773BF4">
        <w:rPr>
          <w:bCs/>
        </w:rPr>
        <w:t xml:space="preserve"> obyvatelstv</w:t>
      </w:r>
      <w:r w:rsidR="006277EE">
        <w:rPr>
          <w:bCs/>
        </w:rPr>
        <w:t>em</w:t>
      </w:r>
      <w:r w:rsidRPr="00773BF4">
        <w:rPr>
          <w:bCs/>
        </w:rPr>
        <w:t xml:space="preserve"> s</w:t>
      </w:r>
      <w:r w:rsidR="006277EE">
        <w:rPr>
          <w:bCs/>
        </w:rPr>
        <w:t> </w:t>
      </w:r>
      <w:r w:rsidRPr="00773BF4">
        <w:rPr>
          <w:bCs/>
        </w:rPr>
        <w:t>nižší</w:t>
      </w:r>
      <w:r w:rsidR="006277EE">
        <w:rPr>
          <w:bCs/>
        </w:rPr>
        <w:t xml:space="preserve"> úrovní</w:t>
      </w:r>
      <w:r w:rsidRPr="00773BF4">
        <w:rPr>
          <w:bCs/>
        </w:rPr>
        <w:t xml:space="preserve"> vzděl</w:t>
      </w:r>
      <w:r w:rsidR="00D12A77">
        <w:rPr>
          <w:bCs/>
        </w:rPr>
        <w:t xml:space="preserve">ání. </w:t>
      </w:r>
      <w:r w:rsidRPr="00773BF4">
        <w:t xml:space="preserve">Malá atraktivita kraje z pohledu životní úrovně, kvality životního prostředí i nabídky atraktivních pracovních příležitostí způsobuje selektivní migraci vzdělaných lidí mimo kraj. </w:t>
      </w:r>
      <w:r>
        <w:t>Klíčovým problémem se však jeví n</w:t>
      </w:r>
      <w:r w:rsidRPr="00773BF4">
        <w:t xml:space="preserve">esoulad struktury zaměstnanosti KK a zaměření a kapacit </w:t>
      </w:r>
      <w:r w:rsidRPr="00773BF4">
        <w:rPr>
          <w:bCs/>
        </w:rPr>
        <w:t>učebních a studijních oborů v</w:t>
      </w:r>
      <w:r w:rsidR="00D12A77">
        <w:rPr>
          <w:bCs/>
        </w:rPr>
        <w:t> </w:t>
      </w:r>
      <w:r w:rsidRPr="00773BF4">
        <w:rPr>
          <w:bCs/>
        </w:rPr>
        <w:t>KK</w:t>
      </w:r>
      <w:r w:rsidR="00D12A77">
        <w:rPr>
          <w:bCs/>
        </w:rPr>
        <w:t>.</w:t>
      </w:r>
    </w:p>
    <w:p w:rsidR="00F84B78" w:rsidRDefault="00F84B78" w:rsidP="002C40B2">
      <w:pPr>
        <w:rPr>
          <w:b/>
          <w:i/>
        </w:rPr>
      </w:pPr>
      <w:r>
        <w:rPr>
          <w:b/>
          <w:i/>
        </w:rPr>
        <w:t>Důsledky</w:t>
      </w:r>
    </w:p>
    <w:p w:rsidR="00F84B78" w:rsidRPr="00F46BE5" w:rsidRDefault="006277EE" w:rsidP="002C40B2">
      <w:r>
        <w:t xml:space="preserve">Rostoucí nezaměstnanost i </w:t>
      </w:r>
      <w:r w:rsidR="00F84B78" w:rsidRPr="00F46BE5">
        <w:t>relativně vzdělaných a kvalifikovaných osob</w:t>
      </w:r>
      <w:r>
        <w:t>,</w:t>
      </w:r>
      <w:r w:rsidR="00F84B78" w:rsidRPr="00F46BE5">
        <w:t xml:space="preserve"> a to jak absolventů, tak osob s praxí. Využití těchto osob, které mají zájem pracovat, se bude postupem času zhoršovat a jejich návrat na trh práce tak bude mnohem složitější. Dlouhodobá nezaměstnanost představuje společenské nebezpečí, protože </w:t>
      </w:r>
      <w:r>
        <w:t xml:space="preserve">sebou nese </w:t>
      </w:r>
      <w:r w:rsidR="00F84B78" w:rsidRPr="00F46BE5">
        <w:t xml:space="preserve">závažné negativní důsledky – ztráta kvalifikace, sebedůvěry, pocit neužitečnosti, beznaděj, přebytek volného času. To vše může vést ke zhoršování sociální situace v kraji, mohou se objevit nové sociální problémy </w:t>
      </w:r>
      <w:r>
        <w:t>(</w:t>
      </w:r>
      <w:r w:rsidR="00F84B78" w:rsidRPr="00F46BE5">
        <w:t>nárůst alkoholismu, drogově závislých, gamblerství, zločinnosti a</w:t>
      </w:r>
      <w:r>
        <w:t>d.).</w:t>
      </w:r>
      <w:r w:rsidR="00F84B78" w:rsidRPr="00F46BE5">
        <w:t xml:space="preserve"> </w:t>
      </w:r>
    </w:p>
    <w:p w:rsidR="00F84B78" w:rsidRPr="00F46BE5" w:rsidRDefault="00F84B78" w:rsidP="002C40B2">
      <w:r>
        <w:t>S</w:t>
      </w:r>
      <w:r w:rsidRPr="00F46BE5">
        <w:t xml:space="preserve">kupiny </w:t>
      </w:r>
      <w:r>
        <w:t xml:space="preserve">nezaměstnaných </w:t>
      </w:r>
      <w:r w:rsidRPr="00F46BE5">
        <w:t>mají specifické potřeby z hlediska podpory při hledání dalšího uplatnění. Opatření na trhu práce se bud</w:t>
      </w:r>
      <w:r w:rsidR="006277EE">
        <w:t>ou</w:t>
      </w:r>
      <w:r w:rsidRPr="00F46BE5">
        <w:t xml:space="preserve"> muset zaměřit na specifikaci nových, pravděpodobně více </w:t>
      </w:r>
      <w:r w:rsidRPr="00F46BE5">
        <w:lastRenderedPageBreak/>
        <w:t xml:space="preserve">individualizovaných a proaktivnějších nástrojů a forem podpory, které </w:t>
      </w:r>
      <w:r w:rsidR="006277EE">
        <w:t>nezaměstnaným</w:t>
      </w:r>
      <w:r w:rsidR="006277EE" w:rsidRPr="00F46BE5">
        <w:t xml:space="preserve"> </w:t>
      </w:r>
      <w:r w:rsidRPr="00F46BE5">
        <w:t>pomohou najít nové uplatnění a zabrání jejich propadu mezi dlouhodobě nez</w:t>
      </w:r>
      <w:r w:rsidR="00E52744">
        <w:t>aměstnané, s kterými si zatím</w:t>
      </w:r>
      <w:r w:rsidRPr="00F46BE5">
        <w:t xml:space="preserve"> politika trhu práce </w:t>
      </w:r>
      <w:r w:rsidR="00E52744">
        <w:t xml:space="preserve">v ČR </w:t>
      </w:r>
      <w:r w:rsidRPr="00F46BE5">
        <w:t xml:space="preserve">nedokázala příliš poradit. </w:t>
      </w:r>
    </w:p>
    <w:p w:rsidR="00F84B78" w:rsidRPr="00E52744" w:rsidRDefault="00F84B78" w:rsidP="002C40B2">
      <w:pPr>
        <w:pStyle w:val="Nadpis3"/>
        <w:spacing w:line="276" w:lineRule="auto"/>
      </w:pPr>
      <w:r w:rsidRPr="00E52744">
        <w:t>Literatura:</w:t>
      </w:r>
    </w:p>
    <w:p w:rsidR="00F84B78" w:rsidRDefault="005F62DE" w:rsidP="00DA3F4B">
      <w:pPr>
        <w:jc w:val="left"/>
      </w:pPr>
      <w:r w:rsidRPr="005F62DE">
        <w:t>Asistenční centrum, a.s.</w:t>
      </w:r>
      <w:r>
        <w:rPr>
          <w:i/>
        </w:rPr>
        <w:t xml:space="preserve"> </w:t>
      </w:r>
      <w:r w:rsidR="00F84B78" w:rsidRPr="005F62DE">
        <w:rPr>
          <w:i/>
        </w:rPr>
        <w:t>Strategie rozvoje lidských zdrojů Karlovarského kraje</w:t>
      </w:r>
      <w:r>
        <w:rPr>
          <w:i/>
        </w:rPr>
        <w:t xml:space="preserve"> </w:t>
      </w:r>
      <w:r>
        <w:rPr>
          <w:color w:val="000000"/>
        </w:rPr>
        <w:t>[online]</w:t>
      </w:r>
      <w:r>
        <w:t>.</w:t>
      </w:r>
      <w:r w:rsidR="00F84B78" w:rsidRPr="002A2522">
        <w:t xml:space="preserve"> 2008.</w:t>
      </w:r>
      <w:r>
        <w:t xml:space="preserve"> Dostupné z: </w:t>
      </w:r>
      <w:hyperlink r:id="rId99" w:history="1">
        <w:r w:rsidRPr="00C552C9">
          <w:rPr>
            <w:rStyle w:val="Hypertextovodkaz"/>
          </w:rPr>
          <w:t>http://www.kr-karlovarsky.cz/samosprava/dokumenty/Stranky/koncepce/seznam/SRLZ_KK.aspx</w:t>
        </w:r>
      </w:hyperlink>
      <w:r w:rsidR="00DD0C07">
        <w:rPr>
          <w:rStyle w:val="Hypertextovodkaz"/>
        </w:rPr>
        <w:t>.</w:t>
      </w:r>
    </w:p>
    <w:bookmarkEnd w:id="237"/>
    <w:p w:rsidR="00F84B78" w:rsidRDefault="00852FBE" w:rsidP="00DA3F4B">
      <w:pPr>
        <w:jc w:val="left"/>
      </w:pPr>
      <w:r>
        <w:rPr>
          <w:szCs w:val="20"/>
        </w:rPr>
        <w:t xml:space="preserve">KÚKK. </w:t>
      </w:r>
      <w:r w:rsidR="00F84B78" w:rsidRPr="00F22BDB">
        <w:rPr>
          <w:i/>
        </w:rPr>
        <w:t>Strategie rozvoje zaměstnanosti Karlovarského kraje</w:t>
      </w:r>
      <w:r w:rsidR="00F84B78">
        <w:rPr>
          <w:i/>
        </w:rPr>
        <w:t xml:space="preserve"> </w:t>
      </w:r>
      <w:r w:rsidR="00F84B78">
        <w:rPr>
          <w:color w:val="000000"/>
        </w:rPr>
        <w:t>[online]</w:t>
      </w:r>
      <w:r w:rsidR="00F84B78">
        <w:t>.</w:t>
      </w:r>
      <w:r w:rsidR="00F84B78" w:rsidRPr="00957C97">
        <w:t xml:space="preserve"> </w:t>
      </w:r>
      <w:r w:rsidR="00F84B78">
        <w:t>2015. Dostupné z:</w:t>
      </w:r>
      <w:r w:rsidR="00F84B78" w:rsidRPr="00957C97">
        <w:t xml:space="preserve"> </w:t>
      </w:r>
      <w:hyperlink r:id="rId100" w:history="1">
        <w:r w:rsidR="00F84B78" w:rsidRPr="00C552C9">
          <w:rPr>
            <w:rStyle w:val="Hypertextovodkaz"/>
          </w:rPr>
          <w:t>http://www.karp-kv.cz/cz/Documents/SRZKK_final_09_2015.pdf</w:t>
        </w:r>
      </w:hyperlink>
      <w:r w:rsidR="00F84B78">
        <w:t>.</w:t>
      </w:r>
      <w:r w:rsidR="005F62DE">
        <w:t xml:space="preserve"> </w:t>
      </w:r>
    </w:p>
    <w:p w:rsidR="00CB10CF" w:rsidRDefault="00CB10CF" w:rsidP="002C40B2">
      <w:pPr>
        <w:spacing w:after="160"/>
        <w:jc w:val="left"/>
      </w:pPr>
      <w:r>
        <w:br w:type="page"/>
      </w:r>
    </w:p>
    <w:p w:rsidR="00CB10CF" w:rsidRPr="008E0A4B" w:rsidRDefault="00BB135B" w:rsidP="00094A5B">
      <w:pPr>
        <w:pStyle w:val="Nadpis1"/>
      </w:pPr>
      <w:bookmarkStart w:id="245" w:name="_Toc321405933"/>
      <w:r>
        <w:lastRenderedPageBreak/>
        <w:t xml:space="preserve"> </w:t>
      </w:r>
      <w:bookmarkStart w:id="246" w:name="_Toc488233395"/>
      <w:r w:rsidR="00CB10CF" w:rsidRPr="008E0A4B">
        <w:t>Demografický vývoj a věková struktura populace</w:t>
      </w:r>
      <w:bookmarkEnd w:id="245"/>
      <w:bookmarkEnd w:id="246"/>
    </w:p>
    <w:p w:rsidR="00CB10CF" w:rsidRPr="00AE46CF" w:rsidRDefault="00CB10CF" w:rsidP="002C40B2">
      <w:r w:rsidRPr="00AE46CF">
        <w:t>Cílem této kapitoly je zhodnotit současný a budoucí demografický vývoj v Karlovarském kraji. Populační vývoj a zejména vývoj věkové struktury populace ovlivňuje poptávku po školských, zdravotnických a dalších sociálních službách, které jsou významnými faktory či podmínkami kvality života obyvatel. Projekce počtu a struktury populace do budoucnosti je důležitá především z důvodu procesu demografického stárnutí, který má za následek výraznější zvýšení podílu postproduktivní složky populace</w:t>
      </w:r>
      <w:r>
        <w:t xml:space="preserve"> a má vliv na potenciální nabídku pracovní síly</w:t>
      </w:r>
      <w:r w:rsidRPr="00AE46CF">
        <w:t xml:space="preserve">. Poznatky z této části proto budou využity zejména v  kapitolách věnovaných kvalitě života a vybraným veřejným službám v Karlovarském kraji. Samotná základní analýza demografické situace v kraji je tedy jen pomocným nástrojem pro další věcné analýzy. </w:t>
      </w:r>
    </w:p>
    <w:p w:rsidR="00CB10CF" w:rsidRPr="00AE46CF" w:rsidRDefault="00CB10CF" w:rsidP="002C40B2">
      <w:pPr>
        <w:rPr>
          <w:i/>
          <w:iCs/>
        </w:rPr>
      </w:pPr>
      <w:r w:rsidRPr="00AE46CF">
        <w:rPr>
          <w:i/>
          <w:iCs/>
        </w:rPr>
        <w:t>Otázky:</w:t>
      </w:r>
    </w:p>
    <w:p w:rsidR="00CB10CF" w:rsidRPr="00FA6C83" w:rsidRDefault="00CB10CF" w:rsidP="002C40B2">
      <w:pPr>
        <w:pStyle w:val="Odstavecseseznamem"/>
        <w:numPr>
          <w:ilvl w:val="0"/>
          <w:numId w:val="10"/>
        </w:numPr>
      </w:pPr>
      <w:r w:rsidRPr="008E0A4B">
        <w:rPr>
          <w:i/>
          <w:iCs/>
        </w:rPr>
        <w:t xml:space="preserve">Jaká je migrační atraktivita Karlovarského kraje ve srovnání s ostatními kraji, pro koho je kraj migračně atraktivní a pro koho nikoliv? </w:t>
      </w:r>
    </w:p>
    <w:p w:rsidR="00CB10CF" w:rsidRDefault="00CB10CF" w:rsidP="002C40B2">
      <w:pPr>
        <w:pStyle w:val="Odstavecseseznamem"/>
        <w:numPr>
          <w:ilvl w:val="0"/>
          <w:numId w:val="10"/>
        </w:numPr>
      </w:pPr>
      <w:r w:rsidRPr="008E0A4B">
        <w:rPr>
          <w:i/>
          <w:iCs/>
        </w:rPr>
        <w:t>Jaká je věková struktura populace Karlovarského kraje ve srovnání s ČR a ostatními kraji? Existují rozdíly v procesu demografického stárnutí v rámci Karlovarského kraje oproti ČR, jaké jsou jejich příčiny a důsledky?</w:t>
      </w:r>
      <w:bookmarkStart w:id="247" w:name="_Ref310515548"/>
      <w:bookmarkStart w:id="248" w:name="_Toc259795105"/>
      <w:bookmarkStart w:id="249" w:name="_Ref310523246"/>
      <w:bookmarkStart w:id="250" w:name="_Toc321406055"/>
    </w:p>
    <w:p w:rsidR="00CB10CF" w:rsidRDefault="00CB10CF" w:rsidP="000B3B9C">
      <w:pPr>
        <w:pStyle w:val="Titulek"/>
      </w:pPr>
      <w:bookmarkStart w:id="251" w:name="_Ref467845298"/>
      <w:bookmarkStart w:id="252" w:name="_Toc488233498"/>
      <w:bookmarkEnd w:id="247"/>
      <w:r>
        <w:t xml:space="preserve">Tabulka </w:t>
      </w:r>
      <w:r w:rsidR="008965FE">
        <w:fldChar w:fldCharType="begin"/>
      </w:r>
      <w:r w:rsidR="00B33DFE">
        <w:instrText xml:space="preserve"> STYLEREF 1 \s </w:instrText>
      </w:r>
      <w:r w:rsidR="008965FE">
        <w:fldChar w:fldCharType="separate"/>
      </w:r>
      <w:r w:rsidR="00CB29BD">
        <w:t>10</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251"/>
      <w:r w:rsidRPr="00AE46CF">
        <w:t xml:space="preserve">: </w:t>
      </w:r>
      <w:r>
        <w:t>S</w:t>
      </w:r>
      <w:r w:rsidRPr="00AE46CF">
        <w:t>tav a pohyb obyvatelstva v </w:t>
      </w:r>
      <w:bookmarkEnd w:id="248"/>
      <w:bookmarkEnd w:id="249"/>
      <w:bookmarkEnd w:id="250"/>
      <w:r>
        <w:t xml:space="preserve">1. pololetí 2016 </w:t>
      </w:r>
      <w:r w:rsidRPr="00587BD2">
        <w:t>podle regionů (relativní údaje na 1</w:t>
      </w:r>
      <w:r>
        <w:t xml:space="preserve"> </w:t>
      </w:r>
      <w:r w:rsidRPr="00587BD2">
        <w:t>000 obyvatel)</w:t>
      </w:r>
      <w:bookmarkEnd w:id="252"/>
      <w:r w:rsidRPr="00587BD2">
        <w:t xml:space="preserve"> </w:t>
      </w:r>
    </w:p>
    <w:tbl>
      <w:tblPr>
        <w:tblW w:w="4962" w:type="pct"/>
        <w:tblInd w:w="70" w:type="dxa"/>
        <w:tblCellMar>
          <w:left w:w="70" w:type="dxa"/>
          <w:right w:w="70" w:type="dxa"/>
        </w:tblCellMar>
        <w:tblLook w:val="04A0" w:firstRow="1" w:lastRow="0" w:firstColumn="1" w:lastColumn="0" w:noHBand="0" w:noVBand="1"/>
      </w:tblPr>
      <w:tblGrid>
        <w:gridCol w:w="1588"/>
        <w:gridCol w:w="1168"/>
        <w:gridCol w:w="708"/>
        <w:gridCol w:w="614"/>
        <w:gridCol w:w="1081"/>
        <w:gridCol w:w="1004"/>
        <w:gridCol w:w="982"/>
        <w:gridCol w:w="1004"/>
        <w:gridCol w:w="993"/>
      </w:tblGrid>
      <w:tr w:rsidR="00CB10CF" w:rsidRPr="008E0A4B" w:rsidTr="00DA3F4B">
        <w:trPr>
          <w:trHeight w:val="300"/>
        </w:trPr>
        <w:tc>
          <w:tcPr>
            <w:tcW w:w="869"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B10CF" w:rsidRPr="008E0A4B" w:rsidRDefault="008E0A4B" w:rsidP="002C40B2">
            <w:pPr>
              <w:pStyle w:val="Table"/>
              <w:spacing w:after="0"/>
              <w:jc w:val="left"/>
              <w:rPr>
                <w:rFonts w:asciiTheme="minorHAnsi" w:hAnsiTheme="minorHAnsi" w:cs="Calibri"/>
                <w:b/>
                <w:sz w:val="20"/>
              </w:rPr>
            </w:pPr>
            <w:r w:rsidRPr="008E0A4B">
              <w:rPr>
                <w:rFonts w:asciiTheme="minorHAnsi" w:hAnsiTheme="minorHAnsi" w:cs="Calibri"/>
                <w:b/>
                <w:sz w:val="20"/>
              </w:rPr>
              <w:t>ČR, k</w:t>
            </w:r>
            <w:r w:rsidR="00CB10CF" w:rsidRPr="008E0A4B">
              <w:rPr>
                <w:rFonts w:asciiTheme="minorHAnsi" w:hAnsiTheme="minorHAnsi" w:cs="Calibri"/>
                <w:b/>
                <w:sz w:val="20"/>
              </w:rPr>
              <w:t xml:space="preserve">raj </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 xml:space="preserve">Počet obyvatel </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Živě naro-zení</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Zem-řelí</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Přirozený přírůstek/</w:t>
            </w:r>
          </w:p>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úbytek</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Přistěho-valí</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Vystěho-valí</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Migrační přírůstek/</w:t>
            </w:r>
          </w:p>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 xml:space="preserve">úbytek </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 xml:space="preserve">Celkový </w:t>
            </w:r>
            <w:r w:rsidRPr="008E0A4B">
              <w:rPr>
                <w:rFonts w:asciiTheme="minorHAnsi" w:hAnsiTheme="minorHAnsi" w:cs="Calibri"/>
                <w:b/>
                <w:sz w:val="20"/>
              </w:rPr>
              <w:br/>
              <w:t xml:space="preserve">přírůstek/ úbytek </w:t>
            </w:r>
          </w:p>
        </w:tc>
      </w:tr>
      <w:tr w:rsidR="00CB10CF" w:rsidRPr="008E0A4B" w:rsidTr="00DA3F4B">
        <w:trPr>
          <w:trHeight w:val="450"/>
        </w:trPr>
        <w:tc>
          <w:tcPr>
            <w:tcW w:w="86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pStyle w:val="Table"/>
              <w:spacing w:after="0"/>
              <w:jc w:val="left"/>
              <w:rPr>
                <w:rFonts w:asciiTheme="minorHAnsi" w:hAnsiTheme="minorHAnsi" w:cs="Calibri"/>
                <w:sz w:val="20"/>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r>
      <w:tr w:rsidR="00CB10CF" w:rsidRPr="008E0A4B" w:rsidTr="00DA3F4B">
        <w:trPr>
          <w:trHeight w:val="450"/>
        </w:trPr>
        <w:tc>
          <w:tcPr>
            <w:tcW w:w="86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pStyle w:val="Table"/>
              <w:spacing w:after="0"/>
              <w:jc w:val="left"/>
              <w:rPr>
                <w:rFonts w:asciiTheme="minorHAnsi" w:hAnsiTheme="minorHAnsi" w:cs="Calibri"/>
                <w:sz w:val="20"/>
              </w:rPr>
            </w:pPr>
          </w:p>
        </w:tc>
        <w:tc>
          <w:tcPr>
            <w:tcW w:w="63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CB10CF" w:rsidRPr="008E0A4B" w:rsidRDefault="00CB10CF" w:rsidP="002C40B2">
            <w:pPr>
              <w:spacing w:after="0"/>
              <w:jc w:val="left"/>
              <w:rPr>
                <w:rFonts w:asciiTheme="minorHAnsi" w:hAnsiTheme="minorHAnsi" w:cs="Arial"/>
                <w:b/>
                <w:bCs/>
                <w:sz w:val="20"/>
                <w:szCs w:val="20"/>
              </w:rPr>
            </w:pP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Praha</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1 272 774</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11,6</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9,6</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2,0</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29,1</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22,7</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6,4</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8,4</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 xml:space="preserve">Středočeský </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1 333 064</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10,8</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9,7</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21,0</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12,7</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8,2</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9,4</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Jihočeský</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638 397</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10,4</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10,3</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9,3</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7,7</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1,6</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1,8</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Plzeňský</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577 538</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10,2</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10,8</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-0,6</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10,9</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7,2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3,8</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3,1</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 xml:space="preserve">Karlovarský </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b/>
                <w:bCs/>
                <w:sz w:val="20"/>
                <w:szCs w:val="20"/>
              </w:rPr>
            </w:pPr>
            <w:r w:rsidRPr="008E0A4B">
              <w:rPr>
                <w:rFonts w:asciiTheme="minorHAnsi" w:hAnsiTheme="minorHAnsi" w:cs="Arial"/>
                <w:b/>
                <w:bCs/>
                <w:sz w:val="20"/>
                <w:szCs w:val="20"/>
              </w:rPr>
              <w:t>297 212</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9,2</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10,8</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-1,7</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10,7</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13,0</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-2,3</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-4,0</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 xml:space="preserve">Ústecký </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822 272</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9,8</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10,7</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-0,9</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9,7</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-0,5</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-1,4</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Liberecký</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440 108</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11,2</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10,3</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0,8</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11,7</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10,4</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1,3</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2,1</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 xml:space="preserve">Královéhradecký </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551 137</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10,2</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10,4</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8,4</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-0,8</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Pardubický kraj</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516 504</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10,5</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10,3</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10,0</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8,8</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1,2</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1,4</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Vysočina</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509 155</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10,4</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10,1</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0,3</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7,2</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8,7</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-1,5</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-1,3</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 xml:space="preserve">Jihomoravský </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1 177 120</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11,0</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10,1</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10,2</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7,6</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2,6</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3,6</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 xml:space="preserve">Olomoucký </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634 049</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10,4</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10,8</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-0,4</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6,9</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8,7</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-1,8</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-2,1</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Zlínský</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584 140</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9,9</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10,8</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-0,9</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6,6</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7,5</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-1,8</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sz w:val="20"/>
              </w:rPr>
            </w:pPr>
            <w:r w:rsidRPr="008E0A4B">
              <w:rPr>
                <w:rFonts w:asciiTheme="minorHAnsi" w:hAnsiTheme="minorHAnsi" w:cs="Calibri"/>
                <w:sz w:val="20"/>
              </w:rPr>
              <w:t xml:space="preserve">Moravskoslezský </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sz w:val="20"/>
                <w:szCs w:val="20"/>
              </w:rPr>
            </w:pPr>
            <w:r w:rsidRPr="008E0A4B">
              <w:rPr>
                <w:rFonts w:asciiTheme="minorHAnsi" w:hAnsiTheme="minorHAnsi" w:cs="Arial"/>
                <w:sz w:val="20"/>
                <w:szCs w:val="20"/>
              </w:rPr>
              <w:t>1 211 396</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9,6</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10,9</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-1,3</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4,8</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6,7</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-1,9</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sz w:val="20"/>
                <w:szCs w:val="20"/>
              </w:rPr>
            </w:pPr>
            <w:r w:rsidRPr="008E0A4B">
              <w:rPr>
                <w:rFonts w:asciiTheme="minorHAnsi" w:hAnsiTheme="minorHAnsi" w:cs="Arial"/>
                <w:sz w:val="20"/>
                <w:szCs w:val="20"/>
              </w:rPr>
              <w:t>-3,2</w:t>
            </w:r>
          </w:p>
        </w:tc>
      </w:tr>
      <w:tr w:rsidR="00CB10CF" w:rsidRPr="008E0A4B" w:rsidTr="00DA3F4B">
        <w:trPr>
          <w:trHeight w:val="300"/>
        </w:trPr>
        <w:tc>
          <w:tcPr>
            <w:tcW w:w="869" w:type="pct"/>
            <w:tcBorders>
              <w:top w:val="nil"/>
              <w:left w:val="single" w:sz="4" w:space="0" w:color="auto"/>
              <w:bottom w:val="single" w:sz="4" w:space="0" w:color="auto"/>
              <w:right w:val="single" w:sz="4" w:space="0" w:color="auto"/>
            </w:tcBorders>
            <w:shd w:val="clear" w:color="auto" w:fill="auto"/>
            <w:noWrap/>
            <w:vAlign w:val="center"/>
            <w:hideMark/>
          </w:tcPr>
          <w:p w:rsidR="00CB10CF" w:rsidRPr="008E0A4B" w:rsidRDefault="00CB10CF" w:rsidP="002C40B2">
            <w:pPr>
              <w:pStyle w:val="Table"/>
              <w:spacing w:after="0"/>
              <w:jc w:val="left"/>
              <w:rPr>
                <w:rFonts w:asciiTheme="minorHAnsi" w:hAnsiTheme="minorHAnsi" w:cs="Calibri"/>
                <w:b/>
                <w:sz w:val="20"/>
              </w:rPr>
            </w:pPr>
            <w:r w:rsidRPr="008E0A4B">
              <w:rPr>
                <w:rFonts w:asciiTheme="minorHAnsi" w:hAnsiTheme="minorHAnsi" w:cs="Calibri"/>
                <w:b/>
                <w:sz w:val="20"/>
              </w:rPr>
              <w:t>ČR</w:t>
            </w:r>
          </w:p>
        </w:tc>
        <w:tc>
          <w:tcPr>
            <w:tcW w:w="63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right"/>
              <w:rPr>
                <w:rFonts w:asciiTheme="minorHAnsi" w:hAnsiTheme="minorHAnsi" w:cs="Arial"/>
                <w:b/>
                <w:bCs/>
                <w:sz w:val="20"/>
                <w:szCs w:val="20"/>
              </w:rPr>
            </w:pPr>
            <w:r w:rsidRPr="008E0A4B">
              <w:rPr>
                <w:rFonts w:asciiTheme="minorHAnsi" w:hAnsiTheme="minorHAnsi" w:cs="Arial"/>
                <w:b/>
                <w:bCs/>
                <w:sz w:val="20"/>
                <w:szCs w:val="20"/>
              </w:rPr>
              <w:t>10 564 866</w:t>
            </w:r>
          </w:p>
        </w:tc>
        <w:tc>
          <w:tcPr>
            <w:tcW w:w="38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10,5</w:t>
            </w:r>
          </w:p>
        </w:tc>
        <w:tc>
          <w:tcPr>
            <w:tcW w:w="336"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10,3</w:t>
            </w:r>
          </w:p>
        </w:tc>
        <w:tc>
          <w:tcPr>
            <w:tcW w:w="591"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0,2</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3,8</w:t>
            </w:r>
          </w:p>
        </w:tc>
        <w:tc>
          <w:tcPr>
            <w:tcW w:w="537"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1,8</w:t>
            </w:r>
          </w:p>
        </w:tc>
        <w:tc>
          <w:tcPr>
            <w:tcW w:w="549"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1,9</w:t>
            </w:r>
          </w:p>
        </w:tc>
        <w:tc>
          <w:tcPr>
            <w:tcW w:w="543" w:type="pct"/>
            <w:tcBorders>
              <w:top w:val="nil"/>
              <w:left w:val="nil"/>
              <w:bottom w:val="single" w:sz="4" w:space="0" w:color="auto"/>
              <w:right w:val="single" w:sz="4" w:space="0" w:color="auto"/>
            </w:tcBorders>
            <w:shd w:val="clear" w:color="auto" w:fill="auto"/>
            <w:noWrap/>
            <w:vAlign w:val="center"/>
            <w:hideMark/>
          </w:tcPr>
          <w:p w:rsidR="00CB10CF" w:rsidRPr="008E0A4B" w:rsidRDefault="00CB10CF" w:rsidP="002C40B2">
            <w:pPr>
              <w:spacing w:after="0"/>
              <w:jc w:val="center"/>
              <w:rPr>
                <w:rFonts w:asciiTheme="minorHAnsi" w:hAnsiTheme="minorHAnsi" w:cs="Arial"/>
                <w:b/>
                <w:bCs/>
                <w:sz w:val="20"/>
                <w:szCs w:val="20"/>
              </w:rPr>
            </w:pPr>
            <w:r w:rsidRPr="008E0A4B">
              <w:rPr>
                <w:rFonts w:asciiTheme="minorHAnsi" w:hAnsiTheme="minorHAnsi" w:cs="Arial"/>
                <w:b/>
                <w:bCs/>
                <w:sz w:val="20"/>
                <w:szCs w:val="20"/>
              </w:rPr>
              <w:t>2,1</w:t>
            </w:r>
          </w:p>
        </w:tc>
      </w:tr>
    </w:tbl>
    <w:p w:rsidR="00CB10CF" w:rsidRPr="008E0A4B" w:rsidRDefault="008E0A4B" w:rsidP="002C40B2">
      <w:pPr>
        <w:pStyle w:val="Zdroj"/>
        <w:spacing w:before="120" w:line="276" w:lineRule="auto"/>
        <w:rPr>
          <w:rStyle w:val="Zdraznnjemn"/>
        </w:rPr>
      </w:pPr>
      <w:r>
        <w:rPr>
          <w:rStyle w:val="Zdraznnjemn"/>
        </w:rPr>
        <w:t xml:space="preserve">Zdroj: ČSÚ - </w:t>
      </w:r>
      <w:r w:rsidR="00CB10CF" w:rsidRPr="008E0A4B">
        <w:rPr>
          <w:rStyle w:val="Zdraznnjemn"/>
        </w:rPr>
        <w:t>Stav a pohyb obyvatelstva v ČR - 1. pololetí 2016</w:t>
      </w:r>
    </w:p>
    <w:p w:rsidR="00CB10CF" w:rsidRDefault="00CB10CF" w:rsidP="002C40B2">
      <w:r w:rsidRPr="00AE46CF">
        <w:t>Karlovarský kraj patří z </w:t>
      </w:r>
      <w:r>
        <w:t>hlediska</w:t>
      </w:r>
      <w:r w:rsidRPr="00AE46CF">
        <w:t xml:space="preserve"> počtu obyvatel k </w:t>
      </w:r>
      <w:r w:rsidRPr="00AE46CF">
        <w:rPr>
          <w:b/>
        </w:rPr>
        <w:t>nejmenším regionům</w:t>
      </w:r>
      <w:r w:rsidRPr="00AE46CF">
        <w:t xml:space="preserve"> v rámci Č</w:t>
      </w:r>
      <w:r>
        <w:t>R</w:t>
      </w:r>
      <w:r w:rsidRPr="00AE46CF">
        <w:t xml:space="preserve">. </w:t>
      </w:r>
      <w:r>
        <w:t>V 1. pololetí roku 2006</w:t>
      </w:r>
      <w:r w:rsidRPr="00AE46CF">
        <w:t xml:space="preserve"> v kraji žilo </w:t>
      </w:r>
      <w:r w:rsidRPr="0091747D">
        <w:t>297</w:t>
      </w:r>
      <w:r w:rsidR="00D60D10">
        <w:t> </w:t>
      </w:r>
      <w:r w:rsidRPr="0091747D">
        <w:t>212</w:t>
      </w:r>
      <w:r w:rsidR="00D60D10">
        <w:t xml:space="preserve"> </w:t>
      </w:r>
      <w:r w:rsidRPr="00AE46CF">
        <w:t xml:space="preserve">obyvatel, což </w:t>
      </w:r>
      <w:r>
        <w:t>představuje</w:t>
      </w:r>
      <w:r w:rsidRPr="00AE46CF">
        <w:t> 2,</w:t>
      </w:r>
      <w:r>
        <w:t>8</w:t>
      </w:r>
      <w:r w:rsidRPr="00AE46CF">
        <w:t xml:space="preserve"> % české populace. Obyvatelstvo je základním rozvojovým předpokladem a nositelem všech sociálních a hospodářských aktivit v regionu, a proto je </w:t>
      </w:r>
      <w:r w:rsidRPr="00AE46CF">
        <w:lastRenderedPageBreak/>
        <w:t>znepokojující, že se počet obyvatel v Karlovarském kraji nezvyšuje takovou měrou, jako ve většině ostatních krajů</w:t>
      </w:r>
      <w:r>
        <w:t xml:space="preserve">. </w:t>
      </w:r>
    </w:p>
    <w:p w:rsidR="00CB10CF" w:rsidRDefault="00CB10CF" w:rsidP="002C40B2">
      <w:r>
        <w:t>Zatímco dosahuje srovnatelných hodnot v počtu úmrtí, porodnost má mezi kraji nejnižší</w:t>
      </w:r>
      <w:r w:rsidRPr="00AE46CF">
        <w:t>.</w:t>
      </w:r>
      <w:r>
        <w:t xml:space="preserve"> </w:t>
      </w:r>
      <w:r w:rsidRPr="00AE46CF">
        <w:t xml:space="preserve">Údaje </w:t>
      </w:r>
      <w:r w:rsidR="00D60D10">
        <w:br/>
      </w:r>
      <w:r w:rsidRPr="00AE46CF">
        <w:t>o pohybu obyvatelstva dokonce ukazují</w:t>
      </w:r>
      <w:r w:rsidR="00D60D10">
        <w:t>,</w:t>
      </w:r>
      <w:r>
        <w:t xml:space="preserve"> </w:t>
      </w:r>
      <w:r w:rsidRPr="00AE46CF">
        <w:t>že v </w:t>
      </w:r>
      <w:r>
        <w:t xml:space="preserve">1. pololetí roku 2016 došlo </w:t>
      </w:r>
      <w:r w:rsidRPr="00AE46CF">
        <w:t xml:space="preserve">v Karlovarském kraji </w:t>
      </w:r>
      <w:r w:rsidR="00D60D10">
        <w:br/>
      </w:r>
      <w:r>
        <w:t>k</w:t>
      </w:r>
      <w:r w:rsidRPr="00AE46CF">
        <w:t xml:space="preserve"> </w:t>
      </w:r>
      <w:r>
        <w:t xml:space="preserve">nejvyššímu celkovému </w:t>
      </w:r>
      <w:r w:rsidRPr="00AE46CF">
        <w:t>úbytk</w:t>
      </w:r>
      <w:r>
        <w:t>u</w:t>
      </w:r>
      <w:r w:rsidRPr="00AE46CF">
        <w:t xml:space="preserve"> počtu obyvatel</w:t>
      </w:r>
      <w:r w:rsidR="00D60D10" w:rsidRPr="00D60D10">
        <w:t xml:space="preserve"> </w:t>
      </w:r>
      <w:r w:rsidR="00D60D10" w:rsidRPr="00C84333">
        <w:t>(</w:t>
      </w:r>
      <w:r w:rsidR="00D60D10">
        <w:t xml:space="preserve">viz </w:t>
      </w:r>
      <w:r w:rsidR="004F2330">
        <w:fldChar w:fldCharType="begin"/>
      </w:r>
      <w:r w:rsidR="004F2330">
        <w:instrText xml:space="preserve"> REF _Ref467845298 \h  \* MERGEFORMAT </w:instrText>
      </w:r>
      <w:r w:rsidR="004F2330">
        <w:fldChar w:fldCharType="separate"/>
      </w:r>
      <w:r w:rsidR="00EB0944">
        <w:t>t</w:t>
      </w:r>
      <w:r w:rsidR="00CB29BD">
        <w:t xml:space="preserve">abulka </w:t>
      </w:r>
      <w:r w:rsidR="00CB29BD">
        <w:rPr>
          <w:noProof/>
        </w:rPr>
        <w:t>10</w:t>
      </w:r>
      <w:r w:rsidR="00CB29BD">
        <w:t>.1</w:t>
      </w:r>
      <w:r w:rsidR="004F2330">
        <w:fldChar w:fldCharType="end"/>
      </w:r>
      <w:r w:rsidR="00D60D10" w:rsidRPr="00C84333">
        <w:t>)</w:t>
      </w:r>
      <w:r w:rsidR="00D60D10">
        <w:t>.</w:t>
      </w:r>
      <w:r>
        <w:t xml:space="preserve"> V záporných hodnotách se nacházel jak přirozený přírůstek obyvatelstva (-1,7), tak migrační saldo (-2,3)</w:t>
      </w:r>
      <w:r w:rsidRPr="00AE46CF">
        <w:t xml:space="preserve">. </w:t>
      </w:r>
      <w:r>
        <w:t xml:space="preserve">Podobně tomu bylo v Moravskoslezském kraji. Naopak nejvyšší populační přírůstek v obou parametrech zaznamenaly Středočeský kraj a </w:t>
      </w:r>
      <w:r w:rsidR="00D60D10">
        <w:t xml:space="preserve">Hlavní město </w:t>
      </w:r>
      <w:r>
        <w:t xml:space="preserve">Praha a dále pak Jihomoravský kraj. Přirozený úbytek obyvatelstva kompenzovaný migrací zaznamenali v Plzeňském kraji. </w:t>
      </w:r>
    </w:p>
    <w:p w:rsidR="00CB10CF" w:rsidRPr="00AE46CF" w:rsidRDefault="00CB10CF" w:rsidP="002C40B2">
      <w:r w:rsidRPr="00AE46CF">
        <w:t xml:space="preserve">Záporné migrační saldo </w:t>
      </w:r>
      <w:r>
        <w:t>(-2,3) v Karlovarském kraji ukazuje, že</w:t>
      </w:r>
      <w:r w:rsidRPr="00AE46CF">
        <w:t xml:space="preserve"> </w:t>
      </w:r>
      <w:r>
        <w:t xml:space="preserve">více obyvatel z kraje odchází do jiných krajů nebo do zahraničí než těch, kteří do Karlovarského kraje přichází. Podle šetření ČSÚ většina obyvatel ČR migruje v rámci kraje nebo republiky než do zahraničí (viz </w:t>
      </w:r>
      <w:r w:rsidR="00D60D10">
        <w:t xml:space="preserve">ČSÚ - </w:t>
      </w:r>
      <w:r>
        <w:t xml:space="preserve">Stav a pohyb obyvatelstva ČR v 1. pololetí 2016). </w:t>
      </w:r>
      <w:r w:rsidR="00D60D10">
        <w:t>Protože</w:t>
      </w:r>
      <w:r w:rsidRPr="00AE46CF">
        <w:t xml:space="preserve"> údaje o pohybu obyvatel každoročně kolísají</w:t>
      </w:r>
      <w:r>
        <w:t>,</w:t>
      </w:r>
      <w:r w:rsidRPr="00AE46CF">
        <w:t xml:space="preserve"> je vhodnější použít prům</w:t>
      </w:r>
      <w:r w:rsidR="00D60D10">
        <w:t>ěrné hodnoty za víceleté období (viz graf níže). U</w:t>
      </w:r>
      <w:r w:rsidRPr="00AE46CF">
        <w:t>vedení aktuálních hodnot za rok</w:t>
      </w:r>
      <w:r>
        <w:t>y 2006 až</w:t>
      </w:r>
      <w:r w:rsidRPr="00AE46CF">
        <w:t xml:space="preserve"> 201</w:t>
      </w:r>
      <w:r>
        <w:t>5</w:t>
      </w:r>
      <w:r w:rsidRPr="00AE46CF">
        <w:t xml:space="preserve"> a jejich porovnání na krajské úrovni má své opodstatnění, protože může být předzvěstí možného</w:t>
      </w:r>
      <w:r w:rsidR="00D60D10">
        <w:t xml:space="preserve"> nepříznivého budoucího vývoje a </w:t>
      </w:r>
      <w:r w:rsidRPr="00AE46CF">
        <w:t xml:space="preserve">umožňuje dlouhodobější pohled na </w:t>
      </w:r>
      <w:r>
        <w:t xml:space="preserve">vývoj </w:t>
      </w:r>
      <w:r w:rsidRPr="00AE46CF">
        <w:t>celkov</w:t>
      </w:r>
      <w:r>
        <w:t>ého</w:t>
      </w:r>
      <w:r w:rsidRPr="00AE46CF">
        <w:t xml:space="preserve"> populační</w:t>
      </w:r>
      <w:r>
        <w:t>ho</w:t>
      </w:r>
      <w:r w:rsidRPr="00AE46CF">
        <w:t xml:space="preserve"> přírůstk</w:t>
      </w:r>
      <w:r>
        <w:t>u</w:t>
      </w:r>
      <w:r w:rsidRPr="00AE46CF">
        <w:t xml:space="preserve"> v Karlovarském kraji a jeho strukturu. </w:t>
      </w:r>
    </w:p>
    <w:p w:rsidR="00CB10CF" w:rsidRDefault="00CB10CF" w:rsidP="000B3B9C">
      <w:pPr>
        <w:pStyle w:val="Titulek"/>
      </w:pPr>
      <w:bookmarkStart w:id="253" w:name="_Ref317495932"/>
      <w:bookmarkStart w:id="254" w:name="_Toc310604026"/>
      <w:bookmarkStart w:id="255" w:name="_Toc310604092"/>
      <w:bookmarkStart w:id="256" w:name="_Toc321406398"/>
      <w:bookmarkStart w:id="257" w:name="_Toc488234364"/>
      <w:r w:rsidRPr="00AE46CF">
        <w:t xml:space="preserve">Graf </w:t>
      </w:r>
      <w:r w:rsidR="008965FE">
        <w:fldChar w:fldCharType="begin"/>
      </w:r>
      <w:r w:rsidR="00FD378B">
        <w:instrText xml:space="preserve"> STYLEREF 1 \s </w:instrText>
      </w:r>
      <w:r w:rsidR="008965FE">
        <w:fldChar w:fldCharType="separate"/>
      </w:r>
      <w:r w:rsidR="00CB29BD">
        <w:t>10</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bookmarkEnd w:id="253"/>
      <w:r w:rsidRPr="00AE46CF">
        <w:t>: Vývoj přirozeného, migračního a celkového přírůstku v </w:t>
      </w:r>
      <w:r w:rsidR="007823AC">
        <w:t>KK a</w:t>
      </w:r>
      <w:r>
        <w:t xml:space="preserve"> ČR</w:t>
      </w:r>
      <w:r w:rsidRPr="00AE46CF">
        <w:t xml:space="preserve"> v letech 200</w:t>
      </w:r>
      <w:r>
        <w:t>6</w:t>
      </w:r>
      <w:r w:rsidRPr="00AE46CF">
        <w:t xml:space="preserve"> </w:t>
      </w:r>
      <w:r w:rsidR="007823AC">
        <w:t>-</w:t>
      </w:r>
      <w:r w:rsidRPr="00AE46CF">
        <w:t xml:space="preserve"> 201</w:t>
      </w:r>
      <w:r>
        <w:t>5</w:t>
      </w:r>
      <w:bookmarkEnd w:id="254"/>
      <w:bookmarkEnd w:id="255"/>
      <w:bookmarkEnd w:id="256"/>
      <w:r>
        <w:t xml:space="preserve"> </w:t>
      </w:r>
      <w:r w:rsidRPr="00587BD2">
        <w:t>(relativní údaje na 1000 obyvatel</w:t>
      </w:r>
      <w:r w:rsidR="00D60D10">
        <w:t>)</w:t>
      </w:r>
      <w:bookmarkEnd w:id="257"/>
    </w:p>
    <w:p w:rsidR="00CB10CF" w:rsidRDefault="00CB10CF" w:rsidP="002C40B2">
      <w:pPr>
        <w:spacing w:after="0"/>
      </w:pPr>
      <w:r>
        <w:rPr>
          <w:noProof/>
        </w:rPr>
        <w:drawing>
          <wp:inline distT="0" distB="0" distL="0" distR="0">
            <wp:extent cx="5759450" cy="3545205"/>
            <wp:effectExtent l="0" t="0" r="12700" b="1714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B10CF" w:rsidRPr="0092098D" w:rsidRDefault="00D60D10" w:rsidP="002C40B2">
      <w:pPr>
        <w:spacing w:before="120"/>
        <w:rPr>
          <w:i/>
          <w:sz w:val="20"/>
          <w:szCs w:val="20"/>
        </w:rPr>
      </w:pPr>
      <w:r>
        <w:rPr>
          <w:i/>
          <w:sz w:val="20"/>
          <w:szCs w:val="20"/>
        </w:rPr>
        <w:t xml:space="preserve">Zdroj: ČSÚ - </w:t>
      </w:r>
      <w:r w:rsidR="00CB10CF" w:rsidRPr="0092098D">
        <w:rPr>
          <w:i/>
          <w:sz w:val="20"/>
          <w:szCs w:val="20"/>
        </w:rPr>
        <w:t xml:space="preserve">Demografická ročenka krajů </w:t>
      </w:r>
      <w:r>
        <w:rPr>
          <w:i/>
          <w:sz w:val="20"/>
          <w:szCs w:val="20"/>
        </w:rPr>
        <w:t xml:space="preserve">a ČR - </w:t>
      </w:r>
      <w:r w:rsidR="00CB10CF" w:rsidRPr="0092098D">
        <w:rPr>
          <w:i/>
          <w:sz w:val="20"/>
          <w:szCs w:val="20"/>
        </w:rPr>
        <w:t>2006 až 2015</w:t>
      </w:r>
    </w:p>
    <w:p w:rsidR="00CB10CF" w:rsidRPr="00D60D10" w:rsidRDefault="00CB10CF" w:rsidP="002C40B2">
      <w:pPr>
        <w:rPr>
          <w:b/>
        </w:rPr>
      </w:pPr>
      <w:r>
        <w:t>Z grafu je patrný v</w:t>
      </w:r>
      <w:r w:rsidRPr="00AE46CF">
        <w:t xml:space="preserve">íce než </w:t>
      </w:r>
      <w:r>
        <w:t>osmi</w:t>
      </w:r>
      <w:r w:rsidRPr="00AE46CF">
        <w:t xml:space="preserve">násobně vyšší přírůstek obyvatel v roce 2007 oproti </w:t>
      </w:r>
      <w:r>
        <w:t>roku 2006. Tento skok</w:t>
      </w:r>
      <w:r w:rsidRPr="00AE46CF">
        <w:t xml:space="preserve"> byl zapříčiněn časovou souhrou více faktorů. V tomto roce byl v </w:t>
      </w:r>
      <w:r w:rsidR="00C95EC4">
        <w:t>KK</w:t>
      </w:r>
      <w:r w:rsidRPr="00AE46CF">
        <w:t xml:space="preserve"> zaznamenán největší přirozený přírůstek</w:t>
      </w:r>
      <w:r>
        <w:t xml:space="preserve"> za sledované období</w:t>
      </w:r>
      <w:r w:rsidRPr="00AE46CF">
        <w:t xml:space="preserve">, dále </w:t>
      </w:r>
      <w:r w:rsidRPr="00500C64">
        <w:t xml:space="preserve">kraj ztratil </w:t>
      </w:r>
      <w:r w:rsidRPr="00AE46CF">
        <w:t xml:space="preserve">oproti minulým </w:t>
      </w:r>
      <w:r w:rsidRPr="00500C64">
        <w:t xml:space="preserve">letům méně obyvatel vnitřní </w:t>
      </w:r>
      <w:r w:rsidRPr="00500C64">
        <w:lastRenderedPageBreak/>
        <w:t xml:space="preserve">migrací a </w:t>
      </w:r>
      <w:r w:rsidR="00C95EC4">
        <w:t>došlo k významnému</w:t>
      </w:r>
      <w:r w:rsidRPr="00500C64">
        <w:t xml:space="preserve"> nárůst</w:t>
      </w:r>
      <w:r w:rsidR="00C95EC4">
        <w:t>u</w:t>
      </w:r>
      <w:r w:rsidRPr="00500C64">
        <w:t xml:space="preserve"> zahraničních migrantů. </w:t>
      </w:r>
      <w:r w:rsidRPr="00500C64">
        <w:rPr>
          <w:b/>
        </w:rPr>
        <w:t xml:space="preserve">Od roku 2009 obyvatel v Karlovarském kraji ubývá </w:t>
      </w:r>
      <w:r w:rsidRPr="00D60D10">
        <w:t>díky záporným hodnotám migračního salda. Tento trend je pak posílen přirozeným úbytkem obyvatel od roku 2011.</w:t>
      </w:r>
      <w:r>
        <w:rPr>
          <w:b/>
        </w:rPr>
        <w:t xml:space="preserve"> </w:t>
      </w:r>
      <w:r w:rsidRPr="00D60D10">
        <w:t>Z grafu je patrné, že od roku 2008 do roku 2010 přirozený přírůstek obyvatel postupně klesal a od roku 2011 nabývá záporných hodnot.</w:t>
      </w:r>
      <w:r>
        <w:rPr>
          <w:b/>
        </w:rPr>
        <w:t xml:space="preserve"> </w:t>
      </w:r>
      <w:r w:rsidRPr="00AE46CF">
        <w:t xml:space="preserve">Karlovarský kraj </w:t>
      </w:r>
      <w:r>
        <w:t xml:space="preserve">procházel do roku 2013 podobným demografickým vývojem jako zbytek ČR. Po roce 2013 se začal od republikového trendu odchylovat a </w:t>
      </w:r>
      <w:r w:rsidRPr="00D60D10">
        <w:rPr>
          <w:b/>
        </w:rPr>
        <w:t xml:space="preserve">pohybuje se v záporných hodnotách přirozeného, migračního i celkového přírůstku obyvatelstva. </w:t>
      </w:r>
    </w:p>
    <w:p w:rsidR="002347E5" w:rsidRDefault="00CB10CF" w:rsidP="002C40B2">
      <w:r w:rsidRPr="00AE46CF">
        <w:t>Hodnoty migračního salda za Č</w:t>
      </w:r>
      <w:r>
        <w:t>R</w:t>
      </w:r>
      <w:r w:rsidRPr="00AE46CF">
        <w:t xml:space="preserve"> a </w:t>
      </w:r>
      <w:r w:rsidR="00C95EC4">
        <w:t>KK</w:t>
      </w:r>
      <w:r w:rsidRPr="00AE46CF">
        <w:t xml:space="preserve"> nelze vzhledem k odlišnému typu migrace (zahraniční vs. vnitřní) přímo porovnávat. </w:t>
      </w:r>
      <w:r w:rsidRPr="00500C64">
        <w:t xml:space="preserve">Specifikem </w:t>
      </w:r>
      <w:r w:rsidR="00C95EC4">
        <w:t>KK</w:t>
      </w:r>
      <w:r w:rsidRPr="00500C64">
        <w:t xml:space="preserve"> jsou rozdíly v atraktivitě pro zahraniční a české migranty. </w:t>
      </w:r>
      <w:r w:rsidRPr="00500C64">
        <w:rPr>
          <w:b/>
        </w:rPr>
        <w:t xml:space="preserve">Zatímco cizince </w:t>
      </w:r>
      <w:r w:rsidR="00C95EC4">
        <w:rPr>
          <w:b/>
        </w:rPr>
        <w:t>KK</w:t>
      </w:r>
      <w:r>
        <w:rPr>
          <w:b/>
        </w:rPr>
        <w:t xml:space="preserve"> v období 2010 - 2015</w:t>
      </w:r>
      <w:r w:rsidRPr="00500C64">
        <w:rPr>
          <w:b/>
        </w:rPr>
        <w:t xml:space="preserve"> stále získává, české obyvatelstvo dlouhodobě ztrácí</w:t>
      </w:r>
      <w:r>
        <w:rPr>
          <w:b/>
        </w:rPr>
        <w:t xml:space="preserve"> </w:t>
      </w:r>
      <w:r w:rsidRPr="00172FF7">
        <w:t>(</w:t>
      </w:r>
      <w:r w:rsidR="00D60D10">
        <w:t>viz ČSÚ -</w:t>
      </w:r>
      <w:r>
        <w:t xml:space="preserve"> </w:t>
      </w:r>
      <w:r w:rsidRPr="00172FF7">
        <w:t xml:space="preserve">Základní tendence demografického, sociálního a ekonomického vývoje Karlovarského kraje </w:t>
      </w:r>
      <w:r>
        <w:t>–</w:t>
      </w:r>
      <w:r w:rsidRPr="00172FF7">
        <w:t xml:space="preserve"> 2015</w:t>
      </w:r>
      <w:r>
        <w:t>)</w:t>
      </w:r>
      <w:r w:rsidRPr="00172FF7">
        <w:t>.</w:t>
      </w:r>
      <w:r w:rsidRPr="00500C64">
        <w:t xml:space="preserve"> </w:t>
      </w:r>
    </w:p>
    <w:p w:rsidR="00CB10CF" w:rsidRPr="00172FF7" w:rsidRDefault="00CB10CF" w:rsidP="002C40B2">
      <w:r w:rsidRPr="00500C64">
        <w:t xml:space="preserve">Na základě údajů týkajících se struktury </w:t>
      </w:r>
      <w:r>
        <w:t xml:space="preserve">přistěhovalých a </w:t>
      </w:r>
      <w:r w:rsidRPr="00500C64">
        <w:t xml:space="preserve">vystěhovalých podle věku lze konstatovat, že Karlovarský kraj ztrácí obyvatelstvo </w:t>
      </w:r>
      <w:r>
        <w:t>zejména v produktivním věku, nejvíce však ve věkové kohortě 25 – 29 let.</w:t>
      </w:r>
      <w:r w:rsidRPr="00AE46CF" w:rsidDel="00D33B7C">
        <w:t xml:space="preserve"> </w:t>
      </w:r>
      <w:r w:rsidRPr="00172FF7">
        <w:t>Obyvatelé se stěhují nejvíce do Prahy (více než čtvrtina ze všech vystěhovalých z </w:t>
      </w:r>
      <w:r w:rsidR="002B344D">
        <w:t xml:space="preserve">KK </w:t>
      </w:r>
      <w:r w:rsidRPr="00172FF7">
        <w:t>v roce 2014) a dále do sousedních krajů – Plzeňského (22,6 %), Středočeského (14,3 %) a Ústeckého (14 %) (</w:t>
      </w:r>
      <w:r w:rsidR="002347E5">
        <w:t>viz ČSÚ -</w:t>
      </w:r>
      <w:r>
        <w:t xml:space="preserve"> Demografická ročenka Č</w:t>
      </w:r>
      <w:r w:rsidRPr="00172FF7">
        <w:t>esk</w:t>
      </w:r>
      <w:r>
        <w:t xml:space="preserve">é </w:t>
      </w:r>
      <w:r w:rsidRPr="00172FF7">
        <w:t>republiky</w:t>
      </w:r>
      <w:r>
        <w:t xml:space="preserve"> – 2014,</w:t>
      </w:r>
      <w:r w:rsidRPr="00172FF7">
        <w:t xml:space="preserve"> Vnitřní a zahraniční stěhování podle pohlaví, velikostních skupin obcí, regionů soudržnosti, krajů a okresů</w:t>
      </w:r>
      <w:r>
        <w:t>).</w:t>
      </w:r>
    </w:p>
    <w:p w:rsidR="00CB10CF" w:rsidRDefault="00CB10CF" w:rsidP="000B3B9C">
      <w:pPr>
        <w:pStyle w:val="Titulek"/>
      </w:pPr>
      <w:bookmarkStart w:id="258" w:name="_Ref468107117"/>
      <w:bookmarkStart w:id="259" w:name="_Toc310604027"/>
      <w:bookmarkStart w:id="260" w:name="_Toc310604093"/>
      <w:bookmarkStart w:id="261" w:name="_Toc321406399"/>
      <w:bookmarkStart w:id="262" w:name="_Toc488234365"/>
      <w:r>
        <w:t xml:space="preserve">Graf </w:t>
      </w:r>
      <w:r w:rsidR="008965FE">
        <w:fldChar w:fldCharType="begin"/>
      </w:r>
      <w:r w:rsidR="00FD378B">
        <w:instrText xml:space="preserve"> STYLEREF 1 \s </w:instrText>
      </w:r>
      <w:r w:rsidR="008965FE">
        <w:fldChar w:fldCharType="separate"/>
      </w:r>
      <w:r w:rsidR="00CB29BD">
        <w:t>10</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bookmarkEnd w:id="258"/>
      <w:r w:rsidRPr="00AE46CF">
        <w:t>: Vnitřní stěhování mezi okresy</w:t>
      </w:r>
      <w:r w:rsidR="002B344D">
        <w:t xml:space="preserve"> KK</w:t>
      </w:r>
      <w:r w:rsidRPr="00AE46CF">
        <w:t xml:space="preserve"> v roce 201</w:t>
      </w:r>
      <w:r>
        <w:t>4</w:t>
      </w:r>
      <w:bookmarkEnd w:id="259"/>
      <w:bookmarkEnd w:id="260"/>
      <w:bookmarkEnd w:id="261"/>
      <w:bookmarkEnd w:id="262"/>
    </w:p>
    <w:p w:rsidR="00CB10CF" w:rsidRDefault="00CB10CF" w:rsidP="002C40B2">
      <w:r>
        <w:rPr>
          <w:noProof/>
        </w:rPr>
        <w:drawing>
          <wp:inline distT="0" distB="0" distL="0" distR="0">
            <wp:extent cx="2924175" cy="2743200"/>
            <wp:effectExtent l="0" t="0" r="9525" b="0"/>
            <wp:docPr id="238" name="Graf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noProof/>
        </w:rPr>
        <w:drawing>
          <wp:inline distT="0" distB="0" distL="0" distR="0">
            <wp:extent cx="2819400" cy="2752725"/>
            <wp:effectExtent l="0" t="0" r="0" b="9525"/>
            <wp:docPr id="242" name="Graf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B10CF" w:rsidRPr="00172FF7" w:rsidRDefault="00CB10CF" w:rsidP="002C40B2">
      <w:pPr>
        <w:spacing w:before="120" w:after="0"/>
        <w:rPr>
          <w:i/>
          <w:sz w:val="20"/>
          <w:szCs w:val="20"/>
        </w:rPr>
      </w:pPr>
      <w:r w:rsidRPr="00172FF7">
        <w:rPr>
          <w:i/>
          <w:sz w:val="20"/>
          <w:szCs w:val="20"/>
        </w:rPr>
        <w:t>Poznámka: Zobrazeny jsou okresy, kam (resp. odkud) se stěhují alespoň 3 % z celkového počtu vystěhovalých (resp. přist</w:t>
      </w:r>
      <w:r>
        <w:rPr>
          <w:i/>
          <w:sz w:val="20"/>
          <w:szCs w:val="20"/>
        </w:rPr>
        <w:t>ěhovalých) v Karlovarském kraji</w:t>
      </w:r>
      <w:r w:rsidR="002347E5">
        <w:rPr>
          <w:i/>
          <w:sz w:val="20"/>
          <w:szCs w:val="20"/>
        </w:rPr>
        <w:t>.</w:t>
      </w:r>
    </w:p>
    <w:p w:rsidR="00CB10CF" w:rsidRDefault="002347E5" w:rsidP="002C40B2">
      <w:pPr>
        <w:rPr>
          <w:i/>
          <w:sz w:val="20"/>
          <w:szCs w:val="20"/>
        </w:rPr>
      </w:pPr>
      <w:r>
        <w:rPr>
          <w:i/>
          <w:sz w:val="20"/>
          <w:szCs w:val="20"/>
        </w:rPr>
        <w:t>Zdroj: ČSÚ -</w:t>
      </w:r>
      <w:r w:rsidR="00CB10CF">
        <w:rPr>
          <w:i/>
          <w:sz w:val="20"/>
          <w:szCs w:val="20"/>
        </w:rPr>
        <w:t xml:space="preserve"> </w:t>
      </w:r>
      <w:r w:rsidR="00CB10CF" w:rsidRPr="00172FF7">
        <w:rPr>
          <w:i/>
          <w:sz w:val="20"/>
          <w:szCs w:val="20"/>
        </w:rPr>
        <w:t xml:space="preserve">Demografická ročenka ČR </w:t>
      </w:r>
      <w:r w:rsidR="00CB10CF">
        <w:rPr>
          <w:i/>
          <w:sz w:val="20"/>
          <w:szCs w:val="20"/>
        </w:rPr>
        <w:t xml:space="preserve">– </w:t>
      </w:r>
      <w:r w:rsidR="00CB10CF" w:rsidRPr="00172FF7">
        <w:rPr>
          <w:i/>
          <w:sz w:val="20"/>
          <w:szCs w:val="20"/>
        </w:rPr>
        <w:t>2014</w:t>
      </w:r>
    </w:p>
    <w:p w:rsidR="00CB10CF" w:rsidRPr="00AE46CF" w:rsidRDefault="00CB10CF" w:rsidP="002C40B2">
      <w:r w:rsidRPr="00AE46CF">
        <w:t>Údaje o vnitřním stěhování za okresy v roce 201</w:t>
      </w:r>
      <w:r>
        <w:t>4</w:t>
      </w:r>
      <w:r w:rsidRPr="00AE46CF">
        <w:t xml:space="preserve"> znázorněné v</w:t>
      </w:r>
      <w:r>
        <w:t xml:space="preserve"> </w:t>
      </w:r>
      <w:r w:rsidR="004F2330">
        <w:fldChar w:fldCharType="begin"/>
      </w:r>
      <w:r w:rsidR="004F2330">
        <w:instrText xml:space="preserve"> REF _Ref468107117 \h  \* MERGEFORMAT </w:instrText>
      </w:r>
      <w:r w:rsidR="004F2330">
        <w:fldChar w:fldCharType="separate"/>
      </w:r>
      <w:r w:rsidR="00DA707D">
        <w:t>g</w:t>
      </w:r>
      <w:r w:rsidR="00CB29BD">
        <w:t>raf</w:t>
      </w:r>
      <w:r w:rsidR="00DA707D">
        <w:t>u</w:t>
      </w:r>
      <w:r w:rsidR="00CB29BD">
        <w:t xml:space="preserve"> </w:t>
      </w:r>
      <w:r w:rsidR="00CB29BD">
        <w:rPr>
          <w:noProof/>
        </w:rPr>
        <w:t>10</w:t>
      </w:r>
      <w:r w:rsidR="00CB29BD">
        <w:t>.2</w:t>
      </w:r>
      <w:r w:rsidR="004F2330">
        <w:fldChar w:fldCharType="end"/>
      </w:r>
      <w:r w:rsidRPr="00AE46CF">
        <w:t xml:space="preserve"> dokládají relativně vysokou míru stěhování </w:t>
      </w:r>
      <w:r w:rsidR="002347E5">
        <w:t>mezi okresy Karlovarského kraje. Vn</w:t>
      </w:r>
      <w:r w:rsidRPr="00AE46CF">
        <w:t>itrokrajská migrace tvoří více než třetinu celkového migračního obratu. Kromě Prahy se obyvatelé Karlovarského kraje vystěhovávají zejména do okresů Plzeň-město, Chomutov</w:t>
      </w:r>
      <w:r>
        <w:t xml:space="preserve"> a</w:t>
      </w:r>
      <w:r w:rsidRPr="00AE46CF">
        <w:t xml:space="preserve"> Tachov, což svědčí o velkém významu migrace do blízkých oblastí za hranicemi kraje. Vzájemné vazby mezi těmito okresy dokládají i údaje o přistěhovalých do </w:t>
      </w:r>
      <w:r w:rsidR="002B344D">
        <w:lastRenderedPageBreak/>
        <w:t>KK</w:t>
      </w:r>
      <w:r w:rsidRPr="00AE46CF">
        <w:t>. Určitou hrozbu do budoucna představují ztráty obyvatelstva vůči Praze a Plzni, zvlášť proto, že některé indicie naznačují, že z kraje odchází vzdělanější nebo kvalifikovanější obyvatelé za lepšími pracovními příležitostmi.</w:t>
      </w:r>
    </w:p>
    <w:p w:rsidR="00CB10CF" w:rsidRDefault="00CB10CF" w:rsidP="002C40B2">
      <w:r w:rsidRPr="00AE46CF">
        <w:t xml:space="preserve">Dlouhodobě kladné saldo zahraniční migrace má významný vliv na národnostní složení regionu. </w:t>
      </w:r>
      <w:r w:rsidRPr="00AE46CF">
        <w:rPr>
          <w:b/>
        </w:rPr>
        <w:t>Karlovarský kraj patří počtem cizinců i příslušníků národnostních menšin v přepočtu na obyvatele k předním krajům Č</w:t>
      </w:r>
      <w:r>
        <w:rPr>
          <w:b/>
        </w:rPr>
        <w:t>R</w:t>
      </w:r>
      <w:r w:rsidRPr="00AE46CF">
        <w:t xml:space="preserve"> (</w:t>
      </w:r>
      <w:r w:rsidR="004F2330">
        <w:fldChar w:fldCharType="begin"/>
      </w:r>
      <w:r w:rsidR="004F2330">
        <w:instrText xml:space="preserve"> REF _Ref468107800 \h  \* MERGEFORMAT </w:instrText>
      </w:r>
      <w:r w:rsidR="004F2330">
        <w:fldChar w:fldCharType="separate"/>
      </w:r>
      <w:r w:rsidR="00DA707D">
        <w:t>g</w:t>
      </w:r>
      <w:r w:rsidR="00CB29BD" w:rsidRPr="00AE46CF">
        <w:t xml:space="preserve">raf </w:t>
      </w:r>
      <w:r w:rsidR="00CB29BD">
        <w:rPr>
          <w:noProof/>
        </w:rPr>
        <w:t>10</w:t>
      </w:r>
      <w:r w:rsidR="00CB29BD">
        <w:t>.3</w:t>
      </w:r>
      <w:r w:rsidR="004F2330">
        <w:fldChar w:fldCharType="end"/>
      </w:r>
      <w:r w:rsidRPr="00AE46CF">
        <w:t xml:space="preserve">). </w:t>
      </w:r>
    </w:p>
    <w:p w:rsidR="00CB10CF" w:rsidRDefault="00CB10CF" w:rsidP="000B3B9C">
      <w:pPr>
        <w:pStyle w:val="Titulek"/>
      </w:pPr>
      <w:bookmarkStart w:id="263" w:name="_Ref468107800"/>
      <w:bookmarkStart w:id="264" w:name="_Toc488234366"/>
      <w:r w:rsidRPr="00AE46CF">
        <w:t xml:space="preserve">Graf </w:t>
      </w:r>
      <w:r w:rsidR="008965FE">
        <w:fldChar w:fldCharType="begin"/>
      </w:r>
      <w:r w:rsidR="00FD378B">
        <w:instrText xml:space="preserve"> STYLEREF 1 \s </w:instrText>
      </w:r>
      <w:r w:rsidR="008965FE">
        <w:fldChar w:fldCharType="separate"/>
      </w:r>
      <w:r w:rsidR="00CB29BD">
        <w:t>10</w:t>
      </w:r>
      <w:r w:rsidR="008965FE">
        <w:fldChar w:fldCharType="end"/>
      </w:r>
      <w:r w:rsidR="00FD378B">
        <w:t>.</w:t>
      </w:r>
      <w:r w:rsidR="008965FE">
        <w:fldChar w:fldCharType="begin"/>
      </w:r>
      <w:r w:rsidR="00FD378B">
        <w:instrText xml:space="preserve"> SEQ Graf \* ARABIC \s 1 </w:instrText>
      </w:r>
      <w:r w:rsidR="008965FE">
        <w:fldChar w:fldCharType="separate"/>
      </w:r>
      <w:r w:rsidR="00CB29BD">
        <w:t>3</w:t>
      </w:r>
      <w:r w:rsidR="008965FE">
        <w:fldChar w:fldCharType="end"/>
      </w:r>
      <w:bookmarkEnd w:id="263"/>
      <w:r w:rsidRPr="00AE46CF">
        <w:t xml:space="preserve">: Podíl cizinců </w:t>
      </w:r>
      <w:r w:rsidRPr="00A91CDA">
        <w:t xml:space="preserve">(bez azylantů) </w:t>
      </w:r>
      <w:r w:rsidRPr="00AE46CF">
        <w:t>na obyvatelstvu krajů v roce 201</w:t>
      </w:r>
      <w:r>
        <w:t>5</w:t>
      </w:r>
      <w:r w:rsidRPr="00AE46CF">
        <w:t xml:space="preserve"> (v %)</w:t>
      </w:r>
      <w:bookmarkEnd w:id="264"/>
    </w:p>
    <w:p w:rsidR="00CB10CF" w:rsidRPr="00160B75" w:rsidRDefault="00CB10CF" w:rsidP="002C40B2">
      <w:pPr>
        <w:spacing w:after="0"/>
        <w:rPr>
          <w:lang w:eastAsia="en-US"/>
        </w:rPr>
      </w:pPr>
      <w:r>
        <w:rPr>
          <w:noProof/>
        </w:rPr>
        <w:drawing>
          <wp:inline distT="0" distB="0" distL="0" distR="0">
            <wp:extent cx="5772150" cy="3400425"/>
            <wp:effectExtent l="0" t="0" r="0" b="9525"/>
            <wp:docPr id="237" name="Graf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B10CF" w:rsidRDefault="00CB10CF" w:rsidP="002C40B2">
      <w:pPr>
        <w:pStyle w:val="Zdroj"/>
        <w:spacing w:before="120" w:line="276" w:lineRule="auto"/>
        <w:rPr>
          <w:rFonts w:eastAsia="Times New Roman" w:cs="Calibri"/>
          <w:i/>
          <w:sz w:val="20"/>
          <w:szCs w:val="20"/>
        </w:rPr>
      </w:pPr>
      <w:r w:rsidRPr="003F3ACE">
        <w:rPr>
          <w:rFonts w:eastAsia="Times New Roman" w:cs="Calibri"/>
          <w:i/>
          <w:sz w:val="20"/>
          <w:szCs w:val="20"/>
        </w:rPr>
        <w:t>Zdr</w:t>
      </w:r>
      <w:r w:rsidR="002347E5">
        <w:rPr>
          <w:rFonts w:eastAsia="Times New Roman" w:cs="Calibri"/>
          <w:i/>
          <w:sz w:val="20"/>
          <w:szCs w:val="20"/>
        </w:rPr>
        <w:t>oj: ČSÚ -</w:t>
      </w:r>
      <w:r w:rsidRPr="003F3ACE">
        <w:rPr>
          <w:rFonts w:eastAsia="Times New Roman" w:cs="Calibri"/>
          <w:i/>
          <w:sz w:val="20"/>
          <w:szCs w:val="20"/>
        </w:rPr>
        <w:t xml:space="preserve"> Základní tendence demografického, sociálního a ekonomického vývoje Karlovarského kraje</w:t>
      </w:r>
      <w:r>
        <w:rPr>
          <w:rFonts w:eastAsia="Times New Roman" w:cs="Calibri"/>
          <w:i/>
          <w:sz w:val="20"/>
          <w:szCs w:val="20"/>
        </w:rPr>
        <w:t xml:space="preserve">, </w:t>
      </w:r>
      <w:r w:rsidRPr="003F3ACE">
        <w:rPr>
          <w:rFonts w:eastAsia="Times New Roman" w:cs="Calibri"/>
          <w:i/>
          <w:sz w:val="20"/>
          <w:szCs w:val="20"/>
        </w:rPr>
        <w:t>Mezikrajské srovnání vybraných ukazatelů – demografický vývoj</w:t>
      </w:r>
    </w:p>
    <w:p w:rsidR="00CB10CF" w:rsidRDefault="00CB10CF" w:rsidP="002B344D">
      <w:r w:rsidRPr="00AE46CF">
        <w:t>Od roku 20</w:t>
      </w:r>
      <w:r>
        <w:t xml:space="preserve">10 do roku 2015 se </w:t>
      </w:r>
      <w:r w:rsidRPr="00AE46CF">
        <w:t>podíl cizinců na obyvatele Č</w:t>
      </w:r>
      <w:r>
        <w:t xml:space="preserve">R </w:t>
      </w:r>
      <w:r w:rsidR="002B344D">
        <w:t>č</w:t>
      </w:r>
      <w:r>
        <w:t xml:space="preserve">i </w:t>
      </w:r>
      <w:r w:rsidR="002B344D">
        <w:t>KK</w:t>
      </w:r>
      <w:r>
        <w:t xml:space="preserve"> v podstatě nemění. Hodnota podílu cizinců na obyvatele ČR v roce 2015 činila 4,4 %, v</w:t>
      </w:r>
      <w:r w:rsidRPr="00AE46CF">
        <w:t xml:space="preserve"> </w:t>
      </w:r>
      <w:r w:rsidR="002B344D">
        <w:t>KK</w:t>
      </w:r>
      <w:r>
        <w:t xml:space="preserve"> </w:t>
      </w:r>
      <w:r w:rsidRPr="00AE46CF">
        <w:t>6,4 %. V Č</w:t>
      </w:r>
      <w:r>
        <w:t>R</w:t>
      </w:r>
      <w:r w:rsidRPr="00AE46CF">
        <w:t xml:space="preserve"> se </w:t>
      </w:r>
      <w:r w:rsidR="002B344D">
        <w:t>KK</w:t>
      </w:r>
      <w:r w:rsidRPr="00AE46CF">
        <w:t xml:space="preserve"> dlouhodobě řadí na druhé místo za Prahu. Dlouhodobě je ve struktuře cizinců na území </w:t>
      </w:r>
      <w:r w:rsidR="002B344D">
        <w:t>KK</w:t>
      </w:r>
      <w:r w:rsidRPr="00AE46CF">
        <w:t xml:space="preserve"> vyšší podíl mužů než žen a zároveň dochází k mírnému růstu podílu cizinců v produktivním věku.</w:t>
      </w:r>
    </w:p>
    <w:p w:rsidR="002347E5" w:rsidRPr="002347E5" w:rsidRDefault="002347E5" w:rsidP="00412627">
      <w:r w:rsidRPr="002347E5">
        <w:t xml:space="preserve">Porovnání krajů z hlediska složení obyvatelstva podle věku, index stáří (počet osob ve věku nad 65 let na 100 dětí ve věku 0 - 14 let) a index ekonomického zatížení (počet dětí ve věku 0 - 14 let a počet obyvatel ve věku 65 a více let na 100 osob </w:t>
      </w:r>
      <w:r w:rsidR="00FA2CCE">
        <w:t>ve věku</w:t>
      </w:r>
      <w:r w:rsidRPr="002347E5">
        <w:t xml:space="preserve"> 15</w:t>
      </w:r>
      <w:r w:rsidR="002B344D">
        <w:t xml:space="preserve"> </w:t>
      </w:r>
      <w:r w:rsidRPr="002347E5">
        <w:t>-</w:t>
      </w:r>
      <w:r w:rsidR="002B344D">
        <w:t xml:space="preserve"> </w:t>
      </w:r>
      <w:r w:rsidRPr="002347E5">
        <w:t xml:space="preserve">64 let) nabízí tabulka níže. </w:t>
      </w:r>
    </w:p>
    <w:p w:rsidR="00FA2CCE" w:rsidRDefault="00FA2CCE" w:rsidP="002C40B2">
      <w:pPr>
        <w:spacing w:after="160"/>
        <w:jc w:val="left"/>
      </w:pPr>
      <w:r>
        <w:br w:type="page"/>
      </w:r>
    </w:p>
    <w:p w:rsidR="00CB10CF" w:rsidRPr="008010CB" w:rsidRDefault="00CB10CF" w:rsidP="000B3B9C">
      <w:pPr>
        <w:pStyle w:val="Titulek"/>
      </w:pPr>
      <w:bookmarkStart w:id="265" w:name="_Ref468108315"/>
      <w:bookmarkStart w:id="266" w:name="_Toc488233499"/>
      <w:r w:rsidRPr="008010CB">
        <w:lastRenderedPageBreak/>
        <w:t xml:space="preserve">Tabulka </w:t>
      </w:r>
      <w:r w:rsidR="008965FE">
        <w:fldChar w:fldCharType="begin"/>
      </w:r>
      <w:r w:rsidR="00B33DFE">
        <w:instrText xml:space="preserve"> STYLEREF 1 \s </w:instrText>
      </w:r>
      <w:r w:rsidR="008965FE">
        <w:fldChar w:fldCharType="separate"/>
      </w:r>
      <w:r w:rsidR="00CB29BD">
        <w:t>10</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265"/>
      <w:r>
        <w:t xml:space="preserve">: </w:t>
      </w:r>
      <w:r w:rsidRPr="008010CB">
        <w:t>Složení obyvatelstva krajů v roce 2015 podle věku, index stáří a index ekonomického zatížení</w:t>
      </w:r>
      <w:bookmarkEnd w:id="266"/>
    </w:p>
    <w:tbl>
      <w:tblPr>
        <w:tblW w:w="0" w:type="auto"/>
        <w:tblCellMar>
          <w:left w:w="70" w:type="dxa"/>
          <w:right w:w="70" w:type="dxa"/>
        </w:tblCellMar>
        <w:tblLook w:val="04A0" w:firstRow="1" w:lastRow="0" w:firstColumn="1" w:lastColumn="0" w:noHBand="0" w:noVBand="1"/>
      </w:tblPr>
      <w:tblGrid>
        <w:gridCol w:w="1510"/>
        <w:gridCol w:w="1143"/>
        <w:gridCol w:w="1018"/>
        <w:gridCol w:w="1018"/>
        <w:gridCol w:w="1054"/>
        <w:gridCol w:w="593"/>
        <w:gridCol w:w="690"/>
        <w:gridCol w:w="683"/>
        <w:gridCol w:w="644"/>
        <w:gridCol w:w="859"/>
      </w:tblGrid>
      <w:tr w:rsidR="00CB10CF" w:rsidRPr="002347E5" w:rsidTr="00CB10CF">
        <w:trPr>
          <w:trHeight w:val="12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B10CF" w:rsidRPr="002347E5" w:rsidRDefault="002347E5" w:rsidP="002C40B2">
            <w:pPr>
              <w:spacing w:after="0"/>
              <w:jc w:val="left"/>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ČR, k</w:t>
            </w:r>
            <w:r w:rsidR="00CB10CF" w:rsidRPr="002347E5">
              <w:rPr>
                <w:rFonts w:asciiTheme="minorHAnsi" w:hAnsiTheme="minorHAnsi" w:cs="Times New Roman"/>
                <w:b/>
                <w:bCs/>
                <w:color w:val="000000"/>
                <w:sz w:val="20"/>
                <w:szCs w:val="20"/>
              </w:rPr>
              <w:t>raj</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Arial"/>
                <w:b/>
                <w:bCs/>
                <w:sz w:val="20"/>
                <w:szCs w:val="20"/>
              </w:rPr>
            </w:pPr>
            <w:r w:rsidRPr="002347E5">
              <w:rPr>
                <w:rFonts w:asciiTheme="minorHAnsi" w:hAnsiTheme="minorHAnsi" w:cs="Arial"/>
                <w:b/>
                <w:bCs/>
                <w:sz w:val="20"/>
                <w:szCs w:val="20"/>
              </w:rPr>
              <w:t>Počet obyvatel celkem</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 xml:space="preserve">poč. obyv. ve věku </w:t>
            </w:r>
            <w:r w:rsidR="002347E5">
              <w:rPr>
                <w:rFonts w:asciiTheme="minorHAnsi" w:hAnsiTheme="minorHAnsi" w:cs="Times New Roman"/>
                <w:b/>
                <w:bCs/>
                <w:color w:val="000000"/>
                <w:sz w:val="20"/>
                <w:szCs w:val="20"/>
              </w:rPr>
              <w:br/>
            </w:r>
            <w:r w:rsidRPr="002347E5">
              <w:rPr>
                <w:rFonts w:asciiTheme="minorHAnsi" w:hAnsiTheme="minorHAnsi" w:cs="Times New Roman"/>
                <w:b/>
                <w:bCs/>
                <w:color w:val="000000"/>
                <w:sz w:val="20"/>
                <w:szCs w:val="20"/>
              </w:rPr>
              <w:t>0-14</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 xml:space="preserve">poč. obyv. ve věku </w:t>
            </w:r>
          </w:p>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15-64</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poč. obyv. ve věku 65+</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Prů-</w:t>
            </w:r>
          </w:p>
          <w:p w:rsidR="00CB10CF" w:rsidRPr="002347E5" w:rsidRDefault="002347E5" w:rsidP="002C40B2">
            <w:pPr>
              <w:spacing w:after="0"/>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m</w:t>
            </w:r>
            <w:r w:rsidR="00CB10CF" w:rsidRPr="002347E5">
              <w:rPr>
                <w:rFonts w:asciiTheme="minorHAnsi" w:hAnsiTheme="minorHAnsi" w:cs="Times New Roman"/>
                <w:b/>
                <w:bCs/>
                <w:color w:val="000000"/>
                <w:sz w:val="20"/>
                <w:szCs w:val="20"/>
              </w:rPr>
              <w:t>ěr-ný věk</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Podíl obyv. 0-14</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Podíl obyv. 65+</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Index stáří</w:t>
            </w:r>
          </w:p>
        </w:tc>
        <w:tc>
          <w:tcPr>
            <w:tcW w:w="0" w:type="auto"/>
            <w:tcBorders>
              <w:top w:val="single" w:sz="4" w:space="0" w:color="auto"/>
              <w:left w:val="nil"/>
              <w:bottom w:val="single" w:sz="4" w:space="0" w:color="auto"/>
              <w:right w:val="single" w:sz="4" w:space="0" w:color="auto"/>
            </w:tcBorders>
            <w:shd w:val="clear" w:color="auto" w:fill="auto"/>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Index ekono-</w:t>
            </w:r>
          </w:p>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mické-ho zatížení</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Praha</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1 267 449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188 832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844 932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233 685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14,9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123,8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50,0</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 xml:space="preserve">Středočeský </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1 326 876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226 204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873 382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227 290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40,8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17,0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17,1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100,5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51,9</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Jihočeský</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637 834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97 967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421 869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117 998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120,4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51,2</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Plzeňský</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576 616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86 398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381 934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108 284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125,3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51,0</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b/>
                <w:bCs/>
                <w:color w:val="000000"/>
                <w:sz w:val="20"/>
                <w:szCs w:val="20"/>
              </w:rPr>
            </w:pPr>
            <w:r w:rsidRPr="002347E5">
              <w:rPr>
                <w:rFonts w:asciiTheme="minorHAnsi" w:hAnsiTheme="minorHAnsi" w:cs="Arial"/>
                <w:b/>
                <w:bCs/>
                <w:color w:val="000000"/>
                <w:sz w:val="20"/>
                <w:szCs w:val="20"/>
              </w:rPr>
              <w:t xml:space="preserve">Karlovarský </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b/>
                <w:bCs/>
                <w:sz w:val="20"/>
                <w:szCs w:val="20"/>
              </w:rPr>
            </w:pPr>
            <w:r w:rsidRPr="002347E5">
              <w:rPr>
                <w:rFonts w:asciiTheme="minorHAnsi" w:hAnsiTheme="minorHAnsi" w:cs="Arial"/>
                <w:b/>
                <w:bCs/>
                <w:sz w:val="20"/>
                <w:szCs w:val="20"/>
              </w:rPr>
              <w:t>297 828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44 382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199 349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54 097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42,1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14,9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18,2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121,9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49,4</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 xml:space="preserve">Ústecký </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822 826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130 213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547 147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145 466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41,4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17,7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111,7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50,4</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Liberecký</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439 639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69 406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289 890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80 343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41,6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115,8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51,7</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Královéhradecký</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551 421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83 557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359 816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108 048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19,6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129,3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53,3</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 xml:space="preserve">Pardubický </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516 149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79 315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341 189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95 645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41,9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120,6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51,3</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Vysočina</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509 475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76 722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337 491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95 262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124,2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51,0</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 xml:space="preserve">Jihomoravský </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1 175 025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178 921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777 833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218 271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122,0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51,1</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 xml:space="preserve">Olomoucký </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634 718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95 884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420 019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118 815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15,1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18,7</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123,9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51,1</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Zlínský</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584 676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85 652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388 916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110 108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14,6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128,6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50,3</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B10CF" w:rsidRPr="002347E5" w:rsidRDefault="00CB10CF" w:rsidP="002C40B2">
            <w:pPr>
              <w:spacing w:after="0"/>
              <w:jc w:val="left"/>
              <w:rPr>
                <w:rFonts w:asciiTheme="minorHAnsi" w:hAnsiTheme="minorHAnsi" w:cs="Arial"/>
                <w:color w:val="000000"/>
                <w:sz w:val="20"/>
                <w:szCs w:val="20"/>
              </w:rPr>
            </w:pPr>
            <w:r w:rsidRPr="002347E5">
              <w:rPr>
                <w:rFonts w:asciiTheme="minorHAnsi" w:hAnsiTheme="minorHAnsi" w:cs="Arial"/>
                <w:color w:val="000000"/>
                <w:sz w:val="20"/>
                <w:szCs w:val="20"/>
              </w:rPr>
              <w:t xml:space="preserve">Moravskoslezský </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sz w:val="20"/>
                <w:szCs w:val="20"/>
              </w:rPr>
            </w:pPr>
            <w:r w:rsidRPr="002347E5">
              <w:rPr>
                <w:rFonts w:asciiTheme="minorHAnsi" w:hAnsiTheme="minorHAnsi" w:cs="Arial"/>
                <w:sz w:val="20"/>
                <w:szCs w:val="20"/>
              </w:rPr>
              <w:t>1 213 311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180 263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813 948</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219 100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42,0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14,9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18,1</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121,5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color w:val="000000"/>
                <w:sz w:val="20"/>
                <w:szCs w:val="20"/>
              </w:rPr>
            </w:pPr>
            <w:r w:rsidRPr="002347E5">
              <w:rPr>
                <w:rFonts w:asciiTheme="minorHAnsi" w:hAnsiTheme="minorHAnsi" w:cs="Times New Roman"/>
                <w:color w:val="000000"/>
                <w:sz w:val="20"/>
                <w:szCs w:val="20"/>
              </w:rPr>
              <w:t>49,1</w:t>
            </w:r>
          </w:p>
        </w:tc>
      </w:tr>
      <w:tr w:rsidR="00CB10CF" w:rsidRPr="002347E5" w:rsidTr="00CB10C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B10CF" w:rsidRPr="002347E5" w:rsidRDefault="00CB10CF" w:rsidP="002C40B2">
            <w:pPr>
              <w:spacing w:after="0"/>
              <w:jc w:val="left"/>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ČR</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Arial"/>
                <w:b/>
                <w:bCs/>
                <w:sz w:val="20"/>
                <w:szCs w:val="20"/>
              </w:rPr>
            </w:pPr>
            <w:r w:rsidRPr="002347E5">
              <w:rPr>
                <w:rFonts w:asciiTheme="minorHAnsi" w:hAnsiTheme="minorHAnsi" w:cs="Arial"/>
                <w:b/>
                <w:bCs/>
                <w:sz w:val="20"/>
                <w:szCs w:val="20"/>
              </w:rPr>
              <w:t>10 553 843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1 623 716</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6 997 715</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1 932 412</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41,9</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15,4</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18,3</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119,0</w:t>
            </w:r>
          </w:p>
        </w:tc>
        <w:tc>
          <w:tcPr>
            <w:tcW w:w="0" w:type="auto"/>
            <w:tcBorders>
              <w:top w:val="nil"/>
              <w:left w:val="nil"/>
              <w:bottom w:val="single" w:sz="4" w:space="0" w:color="auto"/>
              <w:right w:val="single" w:sz="4" w:space="0" w:color="auto"/>
            </w:tcBorders>
            <w:shd w:val="clear" w:color="auto" w:fill="auto"/>
            <w:noWrap/>
            <w:vAlign w:val="bottom"/>
            <w:hideMark/>
          </w:tcPr>
          <w:p w:rsidR="00CB10CF" w:rsidRPr="002347E5" w:rsidRDefault="00CB10CF" w:rsidP="002C40B2">
            <w:pPr>
              <w:spacing w:after="0"/>
              <w:jc w:val="center"/>
              <w:rPr>
                <w:rFonts w:asciiTheme="minorHAnsi" w:hAnsiTheme="minorHAnsi" w:cs="Times New Roman"/>
                <w:b/>
                <w:bCs/>
                <w:color w:val="000000"/>
                <w:sz w:val="20"/>
                <w:szCs w:val="20"/>
              </w:rPr>
            </w:pPr>
            <w:r w:rsidRPr="002347E5">
              <w:rPr>
                <w:rFonts w:asciiTheme="minorHAnsi" w:hAnsiTheme="minorHAnsi" w:cs="Times New Roman"/>
                <w:b/>
                <w:bCs/>
                <w:color w:val="000000"/>
                <w:sz w:val="20"/>
                <w:szCs w:val="20"/>
              </w:rPr>
              <w:t>50,8</w:t>
            </w:r>
          </w:p>
        </w:tc>
      </w:tr>
    </w:tbl>
    <w:p w:rsidR="00CB10CF" w:rsidRPr="003F3ACE" w:rsidRDefault="00CB10CF" w:rsidP="002C40B2">
      <w:pPr>
        <w:spacing w:before="120"/>
        <w:rPr>
          <w:i/>
          <w:sz w:val="20"/>
          <w:szCs w:val="20"/>
        </w:rPr>
      </w:pPr>
      <w:r w:rsidRPr="003F3ACE">
        <w:rPr>
          <w:i/>
          <w:sz w:val="20"/>
          <w:szCs w:val="20"/>
        </w:rPr>
        <w:t>Zdroj: ČSÚ – Věkové složení obyvatelstva</w:t>
      </w:r>
      <w:r w:rsidR="002347E5">
        <w:rPr>
          <w:i/>
          <w:sz w:val="20"/>
          <w:szCs w:val="20"/>
        </w:rPr>
        <w:t xml:space="preserve"> </w:t>
      </w:r>
      <w:r w:rsidRPr="003F3ACE">
        <w:rPr>
          <w:i/>
          <w:sz w:val="20"/>
          <w:szCs w:val="20"/>
        </w:rPr>
        <w:t xml:space="preserve">– 2015, vlastní výpočty </w:t>
      </w:r>
    </w:p>
    <w:p w:rsidR="00CB10CF" w:rsidRDefault="00CB10CF" w:rsidP="002C40B2">
      <w:r>
        <w:t>Z </w:t>
      </w:r>
      <w:r w:rsidR="004F2330">
        <w:fldChar w:fldCharType="begin"/>
      </w:r>
      <w:r w:rsidR="004F2330">
        <w:instrText xml:space="preserve"> REF _Ref468108315 \h  \* MERGEFORMAT </w:instrText>
      </w:r>
      <w:r w:rsidR="004F2330">
        <w:fldChar w:fldCharType="separate"/>
      </w:r>
      <w:r w:rsidR="00EB0944">
        <w:rPr>
          <w:rFonts w:eastAsia="Calibri"/>
          <w:bCs/>
          <w:szCs w:val="20"/>
          <w:lang w:eastAsia="en-US"/>
        </w:rPr>
        <w:t>tabulky</w:t>
      </w:r>
      <w:r w:rsidR="00CB29BD" w:rsidRPr="00CB29BD">
        <w:rPr>
          <w:rFonts w:eastAsia="Calibri"/>
          <w:bCs/>
          <w:szCs w:val="20"/>
          <w:lang w:eastAsia="en-US"/>
        </w:rPr>
        <w:t xml:space="preserve"> </w:t>
      </w:r>
      <w:r w:rsidR="00CB29BD" w:rsidRPr="00CB29BD">
        <w:rPr>
          <w:rFonts w:eastAsia="Calibri"/>
          <w:bCs/>
          <w:noProof/>
          <w:szCs w:val="20"/>
          <w:lang w:eastAsia="en-US"/>
        </w:rPr>
        <w:t>10</w:t>
      </w:r>
      <w:r w:rsidR="00CB29BD" w:rsidRPr="00CB29BD">
        <w:rPr>
          <w:rFonts w:eastAsia="Calibri"/>
          <w:bCs/>
          <w:szCs w:val="20"/>
          <w:lang w:eastAsia="en-US"/>
        </w:rPr>
        <w:t>.2</w:t>
      </w:r>
      <w:r w:rsidR="004F2330">
        <w:fldChar w:fldCharType="end"/>
      </w:r>
      <w:r w:rsidRPr="00A1423D">
        <w:t xml:space="preserve"> </w:t>
      </w:r>
      <w:r>
        <w:t xml:space="preserve">je patrné, že </w:t>
      </w:r>
      <w:r w:rsidRPr="00AE46CF">
        <w:t>Karlovarský kraj patří ke krajům s</w:t>
      </w:r>
      <w:r>
        <w:t> podobným věkovým průměrem (42,1) jako je průměr celé ČR (41,9). Oproti údajům za ČR má nižší podíl dětí a mládeže do 14 l</w:t>
      </w:r>
      <w:r w:rsidR="002347E5">
        <w:t xml:space="preserve">et a vyšší index stáří (121,9). </w:t>
      </w:r>
      <w:r w:rsidRPr="00AE46CF">
        <w:t>Karlovarský kraj patří v současnosti mezi čtyři kraje v rámci Č</w:t>
      </w:r>
      <w:r>
        <w:t>R</w:t>
      </w:r>
      <w:r w:rsidRPr="00AE46CF">
        <w:t xml:space="preserve">, ve kterých má </w:t>
      </w:r>
      <w:r w:rsidRPr="0091747D">
        <w:t>nižší zastoupení dětská složka populace</w:t>
      </w:r>
      <w:r w:rsidRPr="00AE46CF">
        <w:t xml:space="preserve">. </w:t>
      </w:r>
      <w:r>
        <w:t>Ve všech krajích je r</w:t>
      </w:r>
      <w:r w:rsidRPr="00AE46CF">
        <w:t xml:space="preserve">elativně více </w:t>
      </w:r>
      <w:r>
        <w:t xml:space="preserve">obyvatel v postproduktivním věku než </w:t>
      </w:r>
      <w:r w:rsidRPr="00AE46CF">
        <w:t>dětí</w:t>
      </w:r>
      <w:r>
        <w:t xml:space="preserve">. </w:t>
      </w:r>
      <w:r w:rsidRPr="00AE46CF">
        <w:t>Věkové složení obyvatelstva celé Č</w:t>
      </w:r>
      <w:r>
        <w:t>R</w:t>
      </w:r>
      <w:r w:rsidRPr="00AE46CF">
        <w:t xml:space="preserve"> poznamenává </w:t>
      </w:r>
      <w:r>
        <w:t xml:space="preserve">dlouhodobý </w:t>
      </w:r>
      <w:r w:rsidRPr="00AE46CF">
        <w:t xml:space="preserve">proces demografického stárnutí, který se projevuje rostoucím indexem stáří, tedy právě růstem podílu postproduktivní složky populace na úkor složky předproduktivní. </w:t>
      </w:r>
      <w:r>
        <w:t xml:space="preserve">Důležitým ukazatelem je též index ekonomického zatížení, který </w:t>
      </w:r>
      <w:r w:rsidRPr="0091747D">
        <w:t>vypovídá o poměru počtu seniorů a dětí k počtu obyvatel v ekonomicky aktivním věku. Karlovarský kraj dosahuje po Moravskoslezském kraji druhé nejnižší hodnoty (49,4). Nižší výsledná hodnota indexu vypovídá o příznivějším poměru mezi ekonomicky neaktivní a aktivní složkou obyvatel z pohledu věkové struktury.</w:t>
      </w:r>
      <w:r>
        <w:t xml:space="preserve"> V tomto ohledu má tedy Karlovarský kraj příznivější strukturu obyvatel než jiné kraje. </w:t>
      </w:r>
    </w:p>
    <w:p w:rsidR="001058E2" w:rsidRDefault="00CB10CF" w:rsidP="002C40B2">
      <w:r w:rsidRPr="00AE46CF">
        <w:t>Věkové složení obyvatelstva Karlovarského kraje se bude v následujících letech výrazně měnit.</w:t>
      </w:r>
      <w:r>
        <w:t xml:space="preserve"> </w:t>
      </w:r>
      <w:r w:rsidRPr="00AE46CF">
        <w:t xml:space="preserve">Základní údaje z demografické projekce ČSÚ pro Karlovarský kraj jsou </w:t>
      </w:r>
      <w:r w:rsidRPr="00FA2CCE">
        <w:t>ukázány v</w:t>
      </w:r>
      <w:r w:rsidR="00FA2CCE" w:rsidRPr="00FA2CCE">
        <w:t xml:space="preserve"> </w:t>
      </w:r>
      <w:r w:rsidR="004F2330">
        <w:fldChar w:fldCharType="begin"/>
      </w:r>
      <w:r w:rsidR="004F2330">
        <w:instrText xml:space="preserve"> REF _Ref468712265 \h  \* MERGEFORMAT </w:instrText>
      </w:r>
      <w:r w:rsidR="004F2330">
        <w:fldChar w:fldCharType="separate"/>
      </w:r>
      <w:r w:rsidR="00B35D32">
        <w:t>příloze</w:t>
      </w:r>
      <w:r w:rsidR="00CB29BD">
        <w:t xml:space="preserve"> 3</w:t>
      </w:r>
      <w:r w:rsidR="004F2330">
        <w:fldChar w:fldCharType="end"/>
      </w:r>
      <w:r w:rsidR="00FA2CCE">
        <w:t xml:space="preserve"> </w:t>
      </w:r>
      <w:r w:rsidR="00FA2CCE" w:rsidRPr="00FA2CCE">
        <w:t xml:space="preserve">a v </w:t>
      </w:r>
      <w:r w:rsidR="004F2330">
        <w:fldChar w:fldCharType="begin"/>
      </w:r>
      <w:r w:rsidR="004F2330">
        <w:instrText xml:space="preserve"> REF _Ref468712269 \h  \* MERGEFORMAT </w:instrText>
      </w:r>
      <w:r w:rsidR="004F2330">
        <w:fldChar w:fldCharType="separate"/>
      </w:r>
      <w:r w:rsidR="00B35D32">
        <w:t>příloze</w:t>
      </w:r>
      <w:r w:rsidR="00CB29BD" w:rsidRPr="00FB148F">
        <w:t xml:space="preserve"> </w:t>
      </w:r>
      <w:r w:rsidR="00CB29BD">
        <w:t>4</w:t>
      </w:r>
      <w:r w:rsidR="004F2330">
        <w:fldChar w:fldCharType="end"/>
      </w:r>
      <w:r w:rsidRPr="00AE46CF">
        <w:t>. Ačkoliv se jedná o projekci, kde není uvažována migrace, ukazují uváděné hodnoty přes určitou míru nepřesnosti na základní trendy. Stále nižší porodnost a tím vyšší úbytek obyvatel přirozenou mě</w:t>
      </w:r>
      <w:r w:rsidR="008B54F3">
        <w:t>r</w:t>
      </w:r>
      <w:r w:rsidRPr="00AE46CF">
        <w:t>ou spolu se zvyšující se nadějí dožití zapříčin</w:t>
      </w:r>
      <w:r>
        <w:t>il</w:t>
      </w:r>
      <w:r w:rsidRPr="00AE46CF">
        <w:t xml:space="preserve"> vyrovnání </w:t>
      </w:r>
      <w:r>
        <w:t xml:space="preserve">se </w:t>
      </w:r>
      <w:r w:rsidRPr="00AE46CF">
        <w:t xml:space="preserve">předproduktivní a postproduktivní složky populace </w:t>
      </w:r>
      <w:r>
        <w:t xml:space="preserve">v roce 2012 </w:t>
      </w:r>
      <w:r w:rsidRPr="00AE46CF">
        <w:t>a </w:t>
      </w:r>
      <w:r>
        <w:t xml:space="preserve">poté </w:t>
      </w:r>
      <w:r w:rsidRPr="00FA2CCE">
        <w:t>nárůst indexu stáří. V 1. polovině roku 2016 dosahoval index stáří hodnoty 129,1. Dle projekce by jeho hodnota měla stoupat</w:t>
      </w:r>
      <w:r w:rsidRPr="00AE46CF">
        <w:t xml:space="preserve"> až přes hodnotu 200 </w:t>
      </w:r>
      <w:r w:rsidR="00FA2CCE">
        <w:t>v roce 2035</w:t>
      </w:r>
      <w:r w:rsidRPr="00AE46CF">
        <w:t xml:space="preserve">, což znamená </w:t>
      </w:r>
      <w:r w:rsidR="00DB2036">
        <w:t xml:space="preserve">více </w:t>
      </w:r>
      <w:r w:rsidRPr="00AE46CF">
        <w:t>než dvojnásob</w:t>
      </w:r>
      <w:r>
        <w:t xml:space="preserve">ný podíl seniorů oproti dětem. </w:t>
      </w:r>
      <w:r w:rsidRPr="00AE46CF">
        <w:t xml:space="preserve">Podrobný průběh demografických změn </w:t>
      </w:r>
      <w:r w:rsidRPr="00AE46CF">
        <w:lastRenderedPageBreak/>
        <w:t xml:space="preserve">v dalších </w:t>
      </w:r>
      <w:r>
        <w:t>20</w:t>
      </w:r>
      <w:r w:rsidRPr="00AE46CF">
        <w:t xml:space="preserve"> letech v jednotlivých věkových kategoriích je znázorněn </w:t>
      </w:r>
      <w:r w:rsidRPr="00FA2CCE">
        <w:t xml:space="preserve">v grafech níže a </w:t>
      </w:r>
      <w:r w:rsidR="00FA2CCE" w:rsidRPr="00FA2CCE">
        <w:t>uvedených přílohách</w:t>
      </w:r>
      <w:r w:rsidRPr="00FA2CCE">
        <w:t>.</w:t>
      </w:r>
      <w:r w:rsidRPr="00AE46CF">
        <w:t xml:space="preserve"> </w:t>
      </w:r>
      <w:r w:rsidRPr="00AE46CF">
        <w:rPr>
          <w:b/>
        </w:rPr>
        <w:t xml:space="preserve">Zatímco počet obyvatel v dětském a mladistvém věku bude </w:t>
      </w:r>
      <w:r>
        <w:rPr>
          <w:b/>
        </w:rPr>
        <w:t xml:space="preserve">spíše </w:t>
      </w:r>
      <w:r w:rsidRPr="00AE46CF">
        <w:rPr>
          <w:b/>
        </w:rPr>
        <w:t>stagnovat</w:t>
      </w:r>
      <w:r>
        <w:rPr>
          <w:b/>
        </w:rPr>
        <w:t xml:space="preserve"> a po roce 2023 klesat </w:t>
      </w:r>
      <w:r w:rsidRPr="00AA79D6">
        <w:t>(</w:t>
      </w:r>
      <w:r w:rsidR="004F2330">
        <w:fldChar w:fldCharType="begin"/>
      </w:r>
      <w:r w:rsidR="004F2330">
        <w:instrText xml:space="preserve"> REF _Ref468171751 \h  \* MERGEFORMAT </w:instrText>
      </w:r>
      <w:r w:rsidR="004F2330">
        <w:fldChar w:fldCharType="separate"/>
      </w:r>
      <w:r w:rsidR="00DA707D">
        <w:t>g</w:t>
      </w:r>
      <w:r w:rsidR="00CB29BD">
        <w:t xml:space="preserve">raf </w:t>
      </w:r>
      <w:r w:rsidR="00CB29BD">
        <w:rPr>
          <w:noProof/>
        </w:rPr>
        <w:t>10</w:t>
      </w:r>
      <w:r w:rsidR="00CB29BD">
        <w:t>.4</w:t>
      </w:r>
      <w:r w:rsidR="004F2330">
        <w:fldChar w:fldCharType="end"/>
      </w:r>
      <w:r w:rsidRPr="00AA79D6">
        <w:t>),</w:t>
      </w:r>
      <w:r w:rsidRPr="00AE46CF">
        <w:rPr>
          <w:b/>
        </w:rPr>
        <w:t xml:space="preserve"> </w:t>
      </w:r>
      <w:r>
        <w:rPr>
          <w:b/>
        </w:rPr>
        <w:t xml:space="preserve">bude naopak </w:t>
      </w:r>
      <w:r w:rsidRPr="00AE46CF">
        <w:rPr>
          <w:b/>
        </w:rPr>
        <w:t xml:space="preserve">počet seniorů </w:t>
      </w:r>
      <w:r>
        <w:rPr>
          <w:b/>
        </w:rPr>
        <w:t xml:space="preserve">kontinuálně </w:t>
      </w:r>
      <w:r w:rsidRPr="00AE46CF">
        <w:rPr>
          <w:b/>
        </w:rPr>
        <w:t>růst</w:t>
      </w:r>
      <w:r>
        <w:rPr>
          <w:b/>
        </w:rPr>
        <w:t xml:space="preserve"> </w:t>
      </w:r>
      <w:r w:rsidRPr="00AA79D6">
        <w:t>(</w:t>
      </w:r>
      <w:r w:rsidR="004F2330">
        <w:fldChar w:fldCharType="begin"/>
      </w:r>
      <w:r w:rsidR="004F2330">
        <w:instrText xml:space="preserve"> REF _Ref317496279 \h  \* MERGEFORMAT </w:instrText>
      </w:r>
      <w:r w:rsidR="004F2330">
        <w:fldChar w:fldCharType="separate"/>
      </w:r>
      <w:r w:rsidR="00DA707D">
        <w:t>g</w:t>
      </w:r>
      <w:r w:rsidR="00CB29BD" w:rsidRPr="00AE46CF">
        <w:t xml:space="preserve">raf </w:t>
      </w:r>
      <w:r w:rsidR="00CB29BD">
        <w:rPr>
          <w:noProof/>
        </w:rPr>
        <w:t>10</w:t>
      </w:r>
      <w:r w:rsidR="00CB29BD">
        <w:t>.5</w:t>
      </w:r>
      <w:r w:rsidR="004F2330">
        <w:fldChar w:fldCharType="end"/>
      </w:r>
      <w:r w:rsidRPr="00AA79D6">
        <w:t>).</w:t>
      </w:r>
      <w:r w:rsidRPr="00AE46CF">
        <w:t xml:space="preserve"> </w:t>
      </w:r>
      <w:r w:rsidR="001058E2">
        <w:t>To</w:t>
      </w:r>
      <w:r w:rsidR="001058E2" w:rsidRPr="00AE46CF">
        <w:t xml:space="preserve"> bude mít </w:t>
      </w:r>
      <w:r w:rsidR="001058E2">
        <w:t xml:space="preserve">důsledky zejména </w:t>
      </w:r>
      <w:r w:rsidR="00B53879">
        <w:t>pro</w:t>
      </w:r>
      <w:r w:rsidR="001058E2">
        <w:t xml:space="preserve"> oblast </w:t>
      </w:r>
      <w:r w:rsidR="001058E2" w:rsidRPr="00AE46CF">
        <w:t>školství (počty žáků a potřeba míst v mateřských, zá</w:t>
      </w:r>
      <w:r w:rsidR="001058E2">
        <w:t>kladních a středních školách) a</w:t>
      </w:r>
      <w:r w:rsidR="001058E2" w:rsidRPr="00AE46CF">
        <w:t xml:space="preserve"> sociální</w:t>
      </w:r>
      <w:r w:rsidR="00B53879">
        <w:t>ch</w:t>
      </w:r>
      <w:r w:rsidR="001058E2" w:rsidRPr="00AE46CF">
        <w:t xml:space="preserve"> služ</w:t>
      </w:r>
      <w:r w:rsidR="00B53879">
        <w:t>e</w:t>
      </w:r>
      <w:r w:rsidR="001058E2" w:rsidRPr="00AE46CF">
        <w:t>b zaměřen</w:t>
      </w:r>
      <w:r w:rsidR="00B53879">
        <w:t>ých</w:t>
      </w:r>
      <w:r w:rsidR="001058E2" w:rsidRPr="00AE46CF">
        <w:t xml:space="preserve"> na seniory</w:t>
      </w:r>
      <w:r w:rsidR="001058E2">
        <w:t xml:space="preserve">. </w:t>
      </w:r>
      <w:r w:rsidR="001058E2" w:rsidRPr="00AE46CF">
        <w:t>I když ve srovnání se seniory nejsou vidět výrazné změny v počtu dětí a mladistvých, meziroční nárůsty či úbytky předškolních dětí, žáků základních a středních škol</w:t>
      </w:r>
      <w:r w:rsidR="001058E2">
        <w:t>,</w:t>
      </w:r>
      <w:r w:rsidR="001058E2" w:rsidRPr="00AE46CF">
        <w:t xml:space="preserve"> již v řádu stovek přinášejí potřebu reakce v oblasti plánování kapac</w:t>
      </w:r>
      <w:r w:rsidR="001058E2">
        <w:t>i</w:t>
      </w:r>
      <w:r w:rsidR="001058E2" w:rsidRPr="00AE46CF">
        <w:t xml:space="preserve">t jednotlivých škol a ostatních zařízení zaměřených na děti a mládež. </w:t>
      </w:r>
    </w:p>
    <w:p w:rsidR="00CB10CF" w:rsidRDefault="00CB10CF" w:rsidP="000B3B9C">
      <w:pPr>
        <w:pStyle w:val="Titulek"/>
      </w:pPr>
      <w:bookmarkStart w:id="267" w:name="_Ref468171751"/>
      <w:bookmarkStart w:id="268" w:name="_Toc488234367"/>
      <w:r>
        <w:t xml:space="preserve">Graf </w:t>
      </w:r>
      <w:r w:rsidR="008965FE">
        <w:fldChar w:fldCharType="begin"/>
      </w:r>
      <w:r w:rsidR="00FD378B">
        <w:instrText xml:space="preserve"> STYLEREF 1 \s </w:instrText>
      </w:r>
      <w:r w:rsidR="008965FE">
        <w:fldChar w:fldCharType="separate"/>
      </w:r>
      <w:r w:rsidR="00CB29BD">
        <w:t>10</w:t>
      </w:r>
      <w:r w:rsidR="008965FE">
        <w:fldChar w:fldCharType="end"/>
      </w:r>
      <w:r w:rsidR="00FD378B">
        <w:t>.</w:t>
      </w:r>
      <w:r w:rsidR="008965FE">
        <w:fldChar w:fldCharType="begin"/>
      </w:r>
      <w:r w:rsidR="00FD378B">
        <w:instrText xml:space="preserve"> SEQ Graf \* ARABIC \s 1 </w:instrText>
      </w:r>
      <w:r w:rsidR="008965FE">
        <w:fldChar w:fldCharType="separate"/>
      </w:r>
      <w:r w:rsidR="00CB29BD">
        <w:t>4</w:t>
      </w:r>
      <w:r w:rsidR="008965FE">
        <w:fldChar w:fldCharType="end"/>
      </w:r>
      <w:bookmarkEnd w:id="267"/>
      <w:r>
        <w:t>: Projekce věkových skupin dětí a mladistvých v Karlovarském kraji do roku 2036</w:t>
      </w:r>
      <w:bookmarkEnd w:id="268"/>
    </w:p>
    <w:p w:rsidR="00CB10CF" w:rsidRDefault="00CB10CF" w:rsidP="002C40B2">
      <w:pPr>
        <w:spacing w:before="120"/>
        <w:rPr>
          <w:rFonts w:eastAsia="Calibri"/>
          <w:b/>
          <w:bCs/>
          <w:szCs w:val="20"/>
          <w:lang w:eastAsia="en-US"/>
        </w:rPr>
      </w:pPr>
      <w:r>
        <w:rPr>
          <w:noProof/>
        </w:rPr>
        <w:drawing>
          <wp:inline distT="0" distB="0" distL="0" distR="0">
            <wp:extent cx="5743575" cy="2628900"/>
            <wp:effectExtent l="0" t="0" r="9525" b="0"/>
            <wp:docPr id="236" name="Graf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CB10CF" w:rsidRDefault="00FA2CCE" w:rsidP="002C40B2">
      <w:pPr>
        <w:pStyle w:val="Zdroj"/>
        <w:spacing w:line="276" w:lineRule="auto"/>
        <w:rPr>
          <w:rFonts w:eastAsia="Times New Roman" w:cs="Calibri"/>
          <w:i/>
          <w:sz w:val="20"/>
          <w:szCs w:val="20"/>
        </w:rPr>
      </w:pPr>
      <w:r>
        <w:rPr>
          <w:rFonts w:eastAsia="Times New Roman" w:cs="Calibri"/>
          <w:i/>
          <w:sz w:val="20"/>
          <w:szCs w:val="20"/>
        </w:rPr>
        <w:t>Zdroj: ČSÚ -</w:t>
      </w:r>
      <w:r w:rsidR="00CB10CF">
        <w:rPr>
          <w:rFonts w:eastAsia="Times New Roman" w:cs="Calibri"/>
          <w:i/>
          <w:sz w:val="20"/>
          <w:szCs w:val="20"/>
        </w:rPr>
        <w:t xml:space="preserve"> </w:t>
      </w:r>
      <w:r w:rsidR="00CB10CF" w:rsidRPr="003F3ACE">
        <w:rPr>
          <w:rFonts w:eastAsia="Times New Roman" w:cs="Calibri"/>
          <w:i/>
          <w:sz w:val="20"/>
          <w:szCs w:val="20"/>
        </w:rPr>
        <w:t>Projekce obyvatelstva v krajích a oblastech ČR do roku 2065</w:t>
      </w:r>
    </w:p>
    <w:p w:rsidR="004A27FC" w:rsidRDefault="004A27FC" w:rsidP="000B3B9C">
      <w:pPr>
        <w:pStyle w:val="Titulek"/>
      </w:pPr>
      <w:bookmarkStart w:id="269" w:name="_Ref317496279"/>
      <w:bookmarkStart w:id="270" w:name="_Toc310604030"/>
      <w:bookmarkStart w:id="271" w:name="_Toc310604096"/>
      <w:bookmarkStart w:id="272" w:name="_Toc321406402"/>
      <w:bookmarkStart w:id="273" w:name="_Toc488234368"/>
      <w:r w:rsidRPr="00AE46CF">
        <w:t xml:space="preserve">Graf </w:t>
      </w:r>
      <w:r w:rsidR="008965FE">
        <w:fldChar w:fldCharType="begin"/>
      </w:r>
      <w:r w:rsidR="00FD378B">
        <w:instrText xml:space="preserve"> STYLEREF 1 \s </w:instrText>
      </w:r>
      <w:r w:rsidR="008965FE">
        <w:fldChar w:fldCharType="separate"/>
      </w:r>
      <w:r w:rsidR="00CB29BD">
        <w:t>10</w:t>
      </w:r>
      <w:r w:rsidR="008965FE">
        <w:fldChar w:fldCharType="end"/>
      </w:r>
      <w:r w:rsidR="00FD378B">
        <w:t>.</w:t>
      </w:r>
      <w:r w:rsidR="008965FE">
        <w:fldChar w:fldCharType="begin"/>
      </w:r>
      <w:r w:rsidR="00FD378B">
        <w:instrText xml:space="preserve"> SEQ Graf \* ARABIC \s 1 </w:instrText>
      </w:r>
      <w:r w:rsidR="008965FE">
        <w:fldChar w:fldCharType="separate"/>
      </w:r>
      <w:r w:rsidR="00CB29BD">
        <w:t>5</w:t>
      </w:r>
      <w:r w:rsidR="008965FE">
        <w:fldChar w:fldCharType="end"/>
      </w:r>
      <w:bookmarkEnd w:id="269"/>
      <w:r w:rsidRPr="00AE46CF">
        <w:t xml:space="preserve">: Projekce věkových skupin </w:t>
      </w:r>
      <w:r>
        <w:t xml:space="preserve">seniorů v </w:t>
      </w:r>
      <w:r w:rsidRPr="00AE46CF">
        <w:t>Karlovarské</w:t>
      </w:r>
      <w:r>
        <w:t>m</w:t>
      </w:r>
      <w:r w:rsidRPr="00AE46CF">
        <w:t xml:space="preserve"> kraj</w:t>
      </w:r>
      <w:r>
        <w:t>i do roku 2036</w:t>
      </w:r>
      <w:bookmarkEnd w:id="270"/>
      <w:bookmarkEnd w:id="271"/>
      <w:bookmarkEnd w:id="272"/>
      <w:bookmarkEnd w:id="273"/>
    </w:p>
    <w:p w:rsidR="004A27FC" w:rsidRDefault="004A27FC" w:rsidP="002C40B2">
      <w:pPr>
        <w:spacing w:after="0"/>
      </w:pPr>
      <w:r>
        <w:rPr>
          <w:noProof/>
        </w:rPr>
        <w:drawing>
          <wp:inline distT="0" distB="0" distL="0" distR="0">
            <wp:extent cx="5724525" cy="2419350"/>
            <wp:effectExtent l="0" t="0" r="9525" b="0"/>
            <wp:docPr id="239" name="Graf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A27FC" w:rsidRPr="00406548" w:rsidRDefault="004A27FC" w:rsidP="002C40B2">
      <w:pPr>
        <w:pStyle w:val="Zdroj"/>
        <w:spacing w:before="120" w:line="276" w:lineRule="auto"/>
        <w:rPr>
          <w:rFonts w:eastAsia="Times New Roman" w:cs="Calibri"/>
          <w:i/>
          <w:sz w:val="20"/>
          <w:szCs w:val="20"/>
        </w:rPr>
      </w:pPr>
      <w:r>
        <w:rPr>
          <w:rFonts w:eastAsia="Times New Roman" w:cs="Calibri"/>
          <w:i/>
          <w:sz w:val="20"/>
          <w:szCs w:val="20"/>
        </w:rPr>
        <w:t>Zdroj: ČSÚ -</w:t>
      </w:r>
      <w:r w:rsidRPr="00406548">
        <w:rPr>
          <w:rFonts w:eastAsia="Times New Roman" w:cs="Calibri"/>
          <w:i/>
          <w:sz w:val="20"/>
          <w:szCs w:val="20"/>
        </w:rPr>
        <w:t xml:space="preserve"> Projekce obyvatelstva v krajích a oblastech ČR do roku 2065</w:t>
      </w:r>
    </w:p>
    <w:p w:rsidR="00CB10CF" w:rsidRDefault="00CB10CF" w:rsidP="002C40B2">
      <w:r w:rsidRPr="00AE46CF">
        <w:t>Z </w:t>
      </w:r>
      <w:r w:rsidR="004F2330">
        <w:fldChar w:fldCharType="begin"/>
      </w:r>
      <w:r w:rsidR="004F2330">
        <w:instrText xml:space="preserve"> REF _Ref468171751 \h  \* MERGEFORMAT </w:instrText>
      </w:r>
      <w:r w:rsidR="004F2330">
        <w:fldChar w:fldCharType="separate"/>
      </w:r>
      <w:r w:rsidR="00DA707D">
        <w:t>g</w:t>
      </w:r>
      <w:r w:rsidR="00CB29BD">
        <w:t>raf</w:t>
      </w:r>
      <w:r w:rsidR="00DA707D">
        <w:t>u</w:t>
      </w:r>
      <w:r w:rsidR="00CB29BD">
        <w:t xml:space="preserve"> </w:t>
      </w:r>
      <w:r w:rsidR="00CB29BD">
        <w:rPr>
          <w:noProof/>
        </w:rPr>
        <w:t>10</w:t>
      </w:r>
      <w:r w:rsidR="00CB29BD">
        <w:t>.4</w:t>
      </w:r>
      <w:r w:rsidR="004F2330">
        <w:fldChar w:fldCharType="end"/>
      </w:r>
      <w:r w:rsidRPr="00AE46CF">
        <w:t xml:space="preserve"> je patrná posloupnost populační vlny</w:t>
      </w:r>
      <w:r>
        <w:t xml:space="preserve"> dětí a mladistvých v následujících 20 letech</w:t>
      </w:r>
      <w:r w:rsidRPr="00AE46CF">
        <w:t xml:space="preserve">. Zatímco počet nejmladších dětí do 4 let věku </w:t>
      </w:r>
      <w:r>
        <w:t xml:space="preserve">pozvolna klesá </w:t>
      </w:r>
      <w:r w:rsidRPr="00AE46CF">
        <w:t>a do roku 20</w:t>
      </w:r>
      <w:r>
        <w:t>36</w:t>
      </w:r>
      <w:r w:rsidRPr="00AE46CF">
        <w:t xml:space="preserve"> bude v této věkové skupině </w:t>
      </w:r>
      <w:r>
        <w:t xml:space="preserve">přibližně </w:t>
      </w:r>
      <w:r w:rsidRPr="00AE46CF">
        <w:t xml:space="preserve">o </w:t>
      </w:r>
      <w:r>
        <w:t>4</w:t>
      </w:r>
      <w:r w:rsidRPr="00AE46CF">
        <w:t xml:space="preserve"> </w:t>
      </w:r>
      <w:r>
        <w:t>5</w:t>
      </w:r>
      <w:r w:rsidRPr="00AE46CF">
        <w:t xml:space="preserve">00 dětí méně než dnes, počet dětí ve věku 5 – 9 let </w:t>
      </w:r>
      <w:r>
        <w:t xml:space="preserve">by měl dle odhadů </w:t>
      </w:r>
      <w:r>
        <w:lastRenderedPageBreak/>
        <w:t xml:space="preserve">kulminovat </w:t>
      </w:r>
      <w:r w:rsidRPr="00AE46CF">
        <w:t>v roce 201</w:t>
      </w:r>
      <w:r>
        <w:t>7</w:t>
      </w:r>
      <w:r w:rsidRPr="00AE46CF">
        <w:t xml:space="preserve"> a </w:t>
      </w:r>
      <w:r>
        <w:t xml:space="preserve">poté rovněž kontinuálně </w:t>
      </w:r>
      <w:r w:rsidRPr="00AE46CF">
        <w:t>klesat</w:t>
      </w:r>
      <w:r>
        <w:t>. Za 15 let by měl být počet dětí v této věkové kategorii přibližně o 3</w:t>
      </w:r>
      <w:r w:rsidR="00B53879">
        <w:t xml:space="preserve"> </w:t>
      </w:r>
      <w:r>
        <w:t>000 nižší a v roce 2036 dokonce zhruba o 4</w:t>
      </w:r>
      <w:r w:rsidR="00B53879">
        <w:t xml:space="preserve"> </w:t>
      </w:r>
      <w:r>
        <w:t xml:space="preserve">800 nižší než dnes. </w:t>
      </w:r>
      <w:r w:rsidRPr="00AE46CF">
        <w:t xml:space="preserve">Nárůst počtu dětí </w:t>
      </w:r>
      <w:r>
        <w:t>ve</w:t>
      </w:r>
      <w:r w:rsidRPr="00AE46CF">
        <w:t xml:space="preserve"> věkové skupin</w:t>
      </w:r>
      <w:r>
        <w:t>ě</w:t>
      </w:r>
      <w:r w:rsidRPr="00AE46CF">
        <w:t xml:space="preserve"> </w:t>
      </w:r>
      <w:r>
        <w:t>10 – 14 let kulminuje logicky o 5 let později, tj. v roce 2022, kdy bude mladistvých zhruba o 2 500 více než dnes. Poté lze opět pozorovat setrvalý pokles. Stejný vývoj následuje i v následující kategorii mladistvých od 15 do 19 let s tím rozdílem, že jejich počet bude sice do roku 2027 stoupat a pak klesat, ale za 15 i 20 let bude vyšší než nyní. V roce 2030 bude mladistvých ve věku 15</w:t>
      </w:r>
      <w:r w:rsidR="001058E2">
        <w:t xml:space="preserve"> </w:t>
      </w:r>
      <w:r>
        <w:t>-</w:t>
      </w:r>
      <w:r w:rsidR="001058E2">
        <w:t xml:space="preserve"> </w:t>
      </w:r>
      <w:r>
        <w:t>19 let o cca 2 800 více než dnes, v roce 2036 o cca 1</w:t>
      </w:r>
      <w:r w:rsidR="00B53879">
        <w:t xml:space="preserve"> </w:t>
      </w:r>
      <w:r>
        <w:t xml:space="preserve">200. </w:t>
      </w:r>
      <w:r w:rsidRPr="001058E2">
        <w:rPr>
          <w:b/>
        </w:rPr>
        <w:t>Od roku 2023 je nutné počítat s postupným</w:t>
      </w:r>
      <w:r w:rsidRPr="00AE46CF">
        <w:rPr>
          <w:b/>
        </w:rPr>
        <w:t xml:space="preserve"> úbytkem</w:t>
      </w:r>
      <w:r>
        <w:rPr>
          <w:b/>
        </w:rPr>
        <w:t xml:space="preserve"> dětí a</w:t>
      </w:r>
      <w:r w:rsidRPr="00AE46CF">
        <w:rPr>
          <w:b/>
        </w:rPr>
        <w:t xml:space="preserve"> mladistvých ve věku </w:t>
      </w:r>
      <w:r>
        <w:rPr>
          <w:b/>
        </w:rPr>
        <w:t>do</w:t>
      </w:r>
      <w:r w:rsidRPr="00AE46CF">
        <w:rPr>
          <w:b/>
        </w:rPr>
        <w:t xml:space="preserve"> 19 let</w:t>
      </w:r>
      <w:r w:rsidRPr="00AE46CF">
        <w:t xml:space="preserve">, což bude mít </w:t>
      </w:r>
      <w:r>
        <w:t>s určitým časovým posunem</w:t>
      </w:r>
      <w:r w:rsidRPr="00AE46CF">
        <w:t xml:space="preserve"> vliv na zaplněnost </w:t>
      </w:r>
      <w:r>
        <w:t xml:space="preserve">všech stupňů </w:t>
      </w:r>
      <w:r w:rsidRPr="00AE46CF">
        <w:t>škol</w:t>
      </w:r>
      <w:r>
        <w:t>.</w:t>
      </w:r>
      <w:r w:rsidRPr="00AE46CF">
        <w:t xml:space="preserve"> </w:t>
      </w:r>
    </w:p>
    <w:p w:rsidR="001058E2" w:rsidRDefault="001058E2" w:rsidP="002C40B2">
      <w:pPr>
        <w:rPr>
          <w:lang w:eastAsia="en-US"/>
        </w:rPr>
      </w:pPr>
      <w:r w:rsidRPr="001058E2">
        <w:rPr>
          <w:b/>
        </w:rPr>
        <w:t xml:space="preserve">Kontinuálně bude naopak narůstat celkový počet seniorů, zejména ve věkové kategorii nad </w:t>
      </w:r>
      <w:r>
        <w:rPr>
          <w:b/>
        </w:rPr>
        <w:t xml:space="preserve">80 let </w:t>
      </w:r>
      <w:r w:rsidRPr="001058E2">
        <w:t>(</w:t>
      </w:r>
      <w:r w:rsidR="004F2330">
        <w:fldChar w:fldCharType="begin"/>
      </w:r>
      <w:r w:rsidR="004F2330">
        <w:instrText xml:space="preserve"> REF _Ref317496279 \h  \* MERGEFORMAT </w:instrText>
      </w:r>
      <w:r w:rsidR="004F2330">
        <w:fldChar w:fldCharType="separate"/>
      </w:r>
      <w:r w:rsidR="00DA707D">
        <w:t>g</w:t>
      </w:r>
      <w:r w:rsidR="00CB29BD" w:rsidRPr="00AE46CF">
        <w:t xml:space="preserve">raf </w:t>
      </w:r>
      <w:r w:rsidR="00CB29BD">
        <w:rPr>
          <w:noProof/>
        </w:rPr>
        <w:t>10</w:t>
      </w:r>
      <w:r w:rsidR="00CB29BD">
        <w:t>.5</w:t>
      </w:r>
      <w:r w:rsidR="004F2330">
        <w:fldChar w:fldCharType="end"/>
      </w:r>
      <w:r>
        <w:t xml:space="preserve">). </w:t>
      </w:r>
      <w:r w:rsidRPr="009A0E15">
        <w:rPr>
          <w:lang w:eastAsia="en-US"/>
        </w:rPr>
        <w:t xml:space="preserve">Počet obyvatel starších 80 let vzroste do roku 2025 o </w:t>
      </w:r>
      <w:r>
        <w:rPr>
          <w:lang w:eastAsia="en-US"/>
        </w:rPr>
        <w:t>34</w:t>
      </w:r>
      <w:r w:rsidRPr="009A0E15">
        <w:rPr>
          <w:lang w:eastAsia="en-US"/>
        </w:rPr>
        <w:t xml:space="preserve"> %, což</w:t>
      </w:r>
      <w:r>
        <w:rPr>
          <w:lang w:eastAsia="en-US"/>
        </w:rPr>
        <w:t xml:space="preserve"> </w:t>
      </w:r>
      <w:r w:rsidRPr="009A0E15">
        <w:rPr>
          <w:lang w:eastAsia="en-US"/>
        </w:rPr>
        <w:t xml:space="preserve">znamená absolutní nárůst o více než </w:t>
      </w:r>
      <w:r>
        <w:rPr>
          <w:lang w:eastAsia="en-US"/>
        </w:rPr>
        <w:t>5 300</w:t>
      </w:r>
      <w:r w:rsidRPr="009A0E15">
        <w:rPr>
          <w:lang w:eastAsia="en-US"/>
        </w:rPr>
        <w:t xml:space="preserve"> seniorů ze současného počtu</w:t>
      </w:r>
      <w:r>
        <w:rPr>
          <w:lang w:eastAsia="en-US"/>
        </w:rPr>
        <w:t xml:space="preserve"> </w:t>
      </w:r>
      <w:r w:rsidRPr="009A0E15">
        <w:rPr>
          <w:lang w:eastAsia="en-US"/>
        </w:rPr>
        <w:t xml:space="preserve">menšího </w:t>
      </w:r>
      <w:r>
        <w:rPr>
          <w:lang w:eastAsia="en-US"/>
        </w:rPr>
        <w:t>10 200 (v roce 2015)</w:t>
      </w:r>
      <w:r w:rsidRPr="009A0E15">
        <w:rPr>
          <w:lang w:eastAsia="en-US"/>
        </w:rPr>
        <w:t xml:space="preserve">. Obdobný </w:t>
      </w:r>
      <w:r>
        <w:rPr>
          <w:lang w:eastAsia="en-US"/>
        </w:rPr>
        <w:t>ná</w:t>
      </w:r>
      <w:r w:rsidRPr="009A0E15">
        <w:rPr>
          <w:lang w:eastAsia="en-US"/>
        </w:rPr>
        <w:t xml:space="preserve">růst zaznamená podle </w:t>
      </w:r>
      <w:r>
        <w:rPr>
          <w:lang w:eastAsia="en-US"/>
        </w:rPr>
        <w:t xml:space="preserve">demografické </w:t>
      </w:r>
      <w:r w:rsidRPr="009A0E15">
        <w:rPr>
          <w:lang w:eastAsia="en-US"/>
        </w:rPr>
        <w:t>projekce také</w:t>
      </w:r>
      <w:r>
        <w:rPr>
          <w:lang w:eastAsia="en-US"/>
        </w:rPr>
        <w:t xml:space="preserve"> </w:t>
      </w:r>
      <w:r w:rsidRPr="009A0E15">
        <w:rPr>
          <w:lang w:eastAsia="en-US"/>
        </w:rPr>
        <w:t>věková skupina sedmdesátiletých</w:t>
      </w:r>
      <w:r>
        <w:rPr>
          <w:lang w:eastAsia="en-US"/>
        </w:rPr>
        <w:t xml:space="preserve"> (71 – 79 let)</w:t>
      </w:r>
      <w:r w:rsidRPr="009A0E15">
        <w:rPr>
          <w:lang w:eastAsia="en-US"/>
        </w:rPr>
        <w:t>. Zde naroste počet seniorů v</w:t>
      </w:r>
      <w:r>
        <w:rPr>
          <w:lang w:eastAsia="en-US"/>
        </w:rPr>
        <w:t> </w:t>
      </w:r>
      <w:r w:rsidRPr="009A0E15">
        <w:rPr>
          <w:lang w:eastAsia="en-US"/>
        </w:rPr>
        <w:t>uvedeném</w:t>
      </w:r>
      <w:r>
        <w:rPr>
          <w:lang w:eastAsia="en-US"/>
        </w:rPr>
        <w:t xml:space="preserve"> </w:t>
      </w:r>
      <w:r w:rsidRPr="009A0E15">
        <w:rPr>
          <w:lang w:eastAsia="en-US"/>
        </w:rPr>
        <w:t xml:space="preserve">období o </w:t>
      </w:r>
      <w:r>
        <w:rPr>
          <w:lang w:eastAsia="en-US"/>
        </w:rPr>
        <w:t>11 4</w:t>
      </w:r>
      <w:r w:rsidRPr="009A0E15">
        <w:rPr>
          <w:lang w:eastAsia="en-US"/>
        </w:rPr>
        <w:t xml:space="preserve">00 ze současného počtu menšího </w:t>
      </w:r>
      <w:r>
        <w:rPr>
          <w:lang w:eastAsia="en-US"/>
        </w:rPr>
        <w:t>22 453</w:t>
      </w:r>
      <w:r w:rsidRPr="009A0E15">
        <w:rPr>
          <w:lang w:eastAsia="en-US"/>
        </w:rPr>
        <w:t>.</w:t>
      </w:r>
      <w:r>
        <w:rPr>
          <w:lang w:eastAsia="en-US"/>
        </w:rPr>
        <w:t xml:space="preserve"> Počet seniorů v této věkové kategorii by měl kulminovat v roce 2027 a poté mírně klesat.</w:t>
      </w:r>
      <w:r w:rsidRPr="009A0E15">
        <w:rPr>
          <w:lang w:eastAsia="en-US"/>
        </w:rPr>
        <w:t xml:space="preserve"> Počet</w:t>
      </w:r>
      <w:r>
        <w:rPr>
          <w:lang w:eastAsia="en-US"/>
        </w:rPr>
        <w:t xml:space="preserve"> </w:t>
      </w:r>
      <w:r w:rsidRPr="009A0E15">
        <w:rPr>
          <w:lang w:eastAsia="en-US"/>
        </w:rPr>
        <w:t xml:space="preserve">obyvatel ve věku 65 – 69 let </w:t>
      </w:r>
      <w:r>
        <w:rPr>
          <w:lang w:eastAsia="en-US"/>
        </w:rPr>
        <w:t>by měl</w:t>
      </w:r>
      <w:r w:rsidRPr="009A0E15">
        <w:rPr>
          <w:lang w:eastAsia="en-US"/>
        </w:rPr>
        <w:t xml:space="preserve"> růst pouze do roku 2017, </w:t>
      </w:r>
      <w:r>
        <w:rPr>
          <w:lang w:eastAsia="en-US"/>
        </w:rPr>
        <w:t>poté</w:t>
      </w:r>
      <w:r w:rsidRPr="009A0E15">
        <w:rPr>
          <w:lang w:eastAsia="en-US"/>
        </w:rPr>
        <w:t xml:space="preserve"> dojde k pozvolnému poklesu</w:t>
      </w:r>
      <w:r>
        <w:rPr>
          <w:lang w:eastAsia="en-US"/>
        </w:rPr>
        <w:t xml:space="preserve"> a od roku 2028 opět k mírnému nárůstu</w:t>
      </w:r>
      <w:r w:rsidRPr="009A0E15">
        <w:rPr>
          <w:lang w:eastAsia="en-US"/>
        </w:rPr>
        <w:t>.</w:t>
      </w:r>
    </w:p>
    <w:p w:rsidR="00CB10CF" w:rsidRPr="004A27FC" w:rsidRDefault="00CB10CF" w:rsidP="002C40B2">
      <w:pPr>
        <w:pStyle w:val="Nadpis2"/>
      </w:pPr>
      <w:r w:rsidRPr="004A27FC">
        <w:t>Klíčové výzvy/problémy</w:t>
      </w:r>
    </w:p>
    <w:p w:rsidR="00CB10CF" w:rsidRPr="00AE46CF" w:rsidRDefault="00CB10CF" w:rsidP="002C40B2">
      <w:pPr>
        <w:rPr>
          <w:b/>
        </w:rPr>
      </w:pPr>
      <w:r>
        <w:rPr>
          <w:b/>
        </w:rPr>
        <w:t>Stárnutí populace</w:t>
      </w:r>
    </w:p>
    <w:p w:rsidR="00CB10CF" w:rsidRPr="00AE46CF" w:rsidRDefault="00CB10CF" w:rsidP="002C40B2">
      <w:pPr>
        <w:rPr>
          <w:bCs/>
        </w:rPr>
      </w:pPr>
      <w:r w:rsidRPr="00AE46CF">
        <w:rPr>
          <w:bCs/>
        </w:rPr>
        <w:t>Přes relativně příznivou věkovou strukturu populace Karlovarského kraje v porovnání se situací v ostatních regionech Č</w:t>
      </w:r>
      <w:r>
        <w:rPr>
          <w:bCs/>
        </w:rPr>
        <w:t>R</w:t>
      </w:r>
      <w:r w:rsidRPr="00AE46CF">
        <w:rPr>
          <w:bCs/>
        </w:rPr>
        <w:t xml:space="preserve"> je nutné i zde počítat s výraznými dopady procesu demografického stárnutí. Podíl obyvatel nad 65 let vzroste do roku 20</w:t>
      </w:r>
      <w:r>
        <w:rPr>
          <w:bCs/>
        </w:rPr>
        <w:t>36</w:t>
      </w:r>
      <w:r w:rsidRPr="00AE46CF">
        <w:rPr>
          <w:bCs/>
        </w:rPr>
        <w:t xml:space="preserve"> přibližně na </w:t>
      </w:r>
      <w:r>
        <w:rPr>
          <w:bCs/>
        </w:rPr>
        <w:t>čtvrtinu</w:t>
      </w:r>
      <w:r w:rsidRPr="00AE46CF">
        <w:rPr>
          <w:bCs/>
        </w:rPr>
        <w:t xml:space="preserve"> celkového počtu obyvatel kraje, přičemž největší </w:t>
      </w:r>
      <w:r>
        <w:rPr>
          <w:bCs/>
        </w:rPr>
        <w:t>ná</w:t>
      </w:r>
      <w:r w:rsidRPr="00AE46CF">
        <w:rPr>
          <w:bCs/>
        </w:rPr>
        <w:t xml:space="preserve">růst bude zaznamenán </w:t>
      </w:r>
      <w:r>
        <w:rPr>
          <w:bCs/>
        </w:rPr>
        <w:t>u</w:t>
      </w:r>
      <w:r w:rsidRPr="00AE46CF">
        <w:rPr>
          <w:bCs/>
        </w:rPr>
        <w:t> nejstarších věkových kategoriích. Lidí nad 80 let přibude do roku 202</w:t>
      </w:r>
      <w:r>
        <w:rPr>
          <w:bCs/>
        </w:rPr>
        <w:t xml:space="preserve">5 </w:t>
      </w:r>
      <w:r w:rsidRPr="00AE46CF">
        <w:rPr>
          <w:bCs/>
        </w:rPr>
        <w:t xml:space="preserve">o více než </w:t>
      </w:r>
      <w:r>
        <w:rPr>
          <w:bCs/>
        </w:rPr>
        <w:t>5 3</w:t>
      </w:r>
      <w:r w:rsidRPr="00AE46CF">
        <w:rPr>
          <w:bCs/>
        </w:rPr>
        <w:t>00</w:t>
      </w:r>
      <w:r>
        <w:rPr>
          <w:bCs/>
        </w:rPr>
        <w:t>, do roku 2030 o více než 11 000 a do roku 2036 o více než 17 500 oproti dnešku</w:t>
      </w:r>
      <w:r w:rsidRPr="00AE46CF">
        <w:rPr>
          <w:bCs/>
        </w:rPr>
        <w:t xml:space="preserve">! </w:t>
      </w:r>
    </w:p>
    <w:p w:rsidR="00CB10CF" w:rsidRPr="00AE46CF" w:rsidRDefault="00CB10CF" w:rsidP="002C40B2">
      <w:pPr>
        <w:rPr>
          <w:b/>
          <w:i/>
        </w:rPr>
      </w:pPr>
      <w:r>
        <w:rPr>
          <w:b/>
          <w:i/>
        </w:rPr>
        <w:t>Příčiny</w:t>
      </w:r>
    </w:p>
    <w:p w:rsidR="00CB10CF" w:rsidRPr="00AE46CF" w:rsidRDefault="00CB10CF" w:rsidP="002C40B2">
      <w:r w:rsidRPr="00AE46CF">
        <w:t xml:space="preserve">Celospolečenský proces demografického stárnutí je způsoben dvěma příčinami – poklesem porodnosti a nárůstem naděje dožití, přičemž je také ovlivněn nevyrovnaným populačním vývojem v minulosti. Dochází tak jednak k úbytku obyvatel mladších věkových skupin a naopak prodlužováním života starších obyvatel </w:t>
      </w:r>
      <w:r>
        <w:t xml:space="preserve">a </w:t>
      </w:r>
      <w:r w:rsidRPr="00AE46CF">
        <w:t>k nár</w:t>
      </w:r>
      <w:r>
        <w:t>ůstu podílu seniorů v populaci.</w:t>
      </w:r>
    </w:p>
    <w:p w:rsidR="00CB10CF" w:rsidRPr="00AE46CF" w:rsidRDefault="00CB10CF" w:rsidP="002C40B2">
      <w:pPr>
        <w:rPr>
          <w:b/>
          <w:i/>
        </w:rPr>
      </w:pPr>
      <w:r>
        <w:rPr>
          <w:b/>
          <w:i/>
        </w:rPr>
        <w:t>Důsledky</w:t>
      </w:r>
    </w:p>
    <w:p w:rsidR="00CB10CF" w:rsidRPr="009E4AA9" w:rsidRDefault="00CB10CF" w:rsidP="002C40B2">
      <w:pPr>
        <w:rPr>
          <w:bCs/>
        </w:rPr>
      </w:pPr>
      <w:r w:rsidRPr="009E4AA9">
        <w:t xml:space="preserve">Demografické stárnutí má za následek zvyšování počtu i podílu starších obyvatel v populaci, což s sebou může v obecné rovině přinášet rozličné sociální problémy. Nutné je se připravit na potřebu zvýšení </w:t>
      </w:r>
      <w:r w:rsidRPr="009E4AA9">
        <w:rPr>
          <w:bCs/>
        </w:rPr>
        <w:t>kapacit pečovatelských a zdravotnických služeb v kraji a dalších služeb poptávaných seniory.</w:t>
      </w:r>
    </w:p>
    <w:p w:rsidR="00CB10CF" w:rsidRDefault="00CB10CF" w:rsidP="002C40B2">
      <w:pPr>
        <w:rPr>
          <w:bCs/>
        </w:rPr>
      </w:pPr>
      <w:r w:rsidRPr="009E4AA9">
        <w:rPr>
          <w:bCs/>
        </w:rPr>
        <w:t>Ve věkových skupinách dětí a mladistvých navštěvujících mateřské, základní a střední školy budou za sebou následovat dvě vlny: (1) v současnosti již klesající počet dětí v nejmladší věkové skupině s potřebou mateřských škol a po roce 2017 i pokles dětí vstupující na 1. stupeň ZŠ. (2)</w:t>
      </w:r>
      <w:r>
        <w:rPr>
          <w:bCs/>
        </w:rPr>
        <w:t xml:space="preserve"> </w:t>
      </w:r>
      <w:r w:rsidRPr="009E4AA9">
        <w:rPr>
          <w:bCs/>
        </w:rPr>
        <w:t xml:space="preserve">Počet děti vstupujících na 2. stupeň základní školy </w:t>
      </w:r>
      <w:r>
        <w:rPr>
          <w:bCs/>
        </w:rPr>
        <w:t xml:space="preserve">a střední školy </w:t>
      </w:r>
      <w:r w:rsidRPr="009E4AA9">
        <w:rPr>
          <w:bCs/>
        </w:rPr>
        <w:t xml:space="preserve">se bude ještě několik let zvyšovat a tato vlna </w:t>
      </w:r>
      <w:r>
        <w:rPr>
          <w:bCs/>
        </w:rPr>
        <w:lastRenderedPageBreak/>
        <w:t xml:space="preserve">bude postupně přecházet na </w:t>
      </w:r>
      <w:r w:rsidRPr="009E4AA9">
        <w:rPr>
          <w:bCs/>
        </w:rPr>
        <w:t>střední školy. Od roku 2023 se bude počet dětí ve všech věkových skupinách postupně snižovat, se zpožděním vždy v následující věkové skupině.</w:t>
      </w:r>
      <w:r>
        <w:rPr>
          <w:bCs/>
        </w:rPr>
        <w:t xml:space="preserve"> </w:t>
      </w:r>
    </w:p>
    <w:p w:rsidR="00CB10CF" w:rsidRPr="00AE46CF" w:rsidRDefault="00CB10CF" w:rsidP="002C40B2">
      <w:pPr>
        <w:rPr>
          <w:b/>
        </w:rPr>
      </w:pPr>
      <w:r w:rsidRPr="00AE46CF">
        <w:rPr>
          <w:b/>
        </w:rPr>
        <w:t>Rozdílná migrační atraktivita Karlovarského kraje pr</w:t>
      </w:r>
      <w:r>
        <w:rPr>
          <w:b/>
        </w:rPr>
        <w:t>o české obyvatelstvo a cizince</w:t>
      </w:r>
    </w:p>
    <w:p w:rsidR="00CB10CF" w:rsidRPr="00AE46CF" w:rsidRDefault="00CB10CF" w:rsidP="002C40B2">
      <w:pPr>
        <w:rPr>
          <w:iCs/>
        </w:rPr>
      </w:pPr>
      <w:r w:rsidRPr="009E4AA9">
        <w:t>Karlovarský kraj je dlouhodobě migračně a</w:t>
      </w:r>
      <w:r w:rsidRPr="009E4AA9">
        <w:rPr>
          <w:iCs/>
        </w:rPr>
        <w:t>traktivní pro cizince, zejména Rusy a Asiaty, a méně atraktivní pro Čechy. Zatímco zahraniční migrací kraj dlouhodobě obyvatele získává, vnitřní migrací obyvatelstvo ztrácí.</w:t>
      </w:r>
      <w:r w:rsidRPr="00AE46CF">
        <w:rPr>
          <w:iCs/>
        </w:rPr>
        <w:t xml:space="preserve"> </w:t>
      </w:r>
    </w:p>
    <w:p w:rsidR="00CB10CF" w:rsidRPr="00AE46CF" w:rsidRDefault="00CB10CF" w:rsidP="002C40B2">
      <w:pPr>
        <w:rPr>
          <w:b/>
          <w:i/>
        </w:rPr>
      </w:pPr>
      <w:r>
        <w:rPr>
          <w:b/>
          <w:i/>
        </w:rPr>
        <w:t>Příčiny</w:t>
      </w:r>
    </w:p>
    <w:p w:rsidR="00CB10CF" w:rsidRPr="00AE46CF" w:rsidRDefault="00CB10CF" w:rsidP="002C40B2">
      <w:r w:rsidRPr="00AE46CF">
        <w:t>Důvodem stálého přílivu zahraničních migrantů právě do Karlovarského kraje je již v současnosti vysoký počet zde žijících cizinců, kteří vytváří dobrý příklad integrace do většinové společnosti. Noví imigranti často následují svoji rodinu či známé a stěhují se snáze do prostředí, kde jim může jejich menšina pomoci. Příčinu úbytků obyvatelstva české národnosti lze vidět v omezených možnostech pracovního uplatnění v Karlovarském kraji, kdy většina migrantů odchází do z tohoto pohledu atraktivnějších regionů Prahy a Plzně.</w:t>
      </w:r>
    </w:p>
    <w:p w:rsidR="00CB10CF" w:rsidRPr="00AE46CF" w:rsidRDefault="00CB10CF" w:rsidP="002C40B2">
      <w:pPr>
        <w:rPr>
          <w:b/>
          <w:i/>
        </w:rPr>
      </w:pPr>
      <w:r>
        <w:rPr>
          <w:b/>
          <w:i/>
        </w:rPr>
        <w:t>Důsledky</w:t>
      </w:r>
    </w:p>
    <w:p w:rsidR="00CB10CF" w:rsidRPr="00AE46CF" w:rsidRDefault="00CB10CF" w:rsidP="002C40B2">
      <w:r w:rsidRPr="00AE46CF">
        <w:rPr>
          <w:iCs/>
        </w:rPr>
        <w:t xml:space="preserve">Důsledky dlouhodobých migračních trendů jsou dvojího druhu. V první řadě stále rostoucí počet cizinců v kraji ovlivňuje sociální situaci </w:t>
      </w:r>
      <w:r w:rsidR="00B53879">
        <w:rPr>
          <w:iCs/>
        </w:rPr>
        <w:t xml:space="preserve">v </w:t>
      </w:r>
      <w:r w:rsidRPr="00AE46CF">
        <w:rPr>
          <w:iCs/>
        </w:rPr>
        <w:t>region</w:t>
      </w:r>
      <w:r w:rsidR="00B53879">
        <w:rPr>
          <w:iCs/>
        </w:rPr>
        <w:t>u</w:t>
      </w:r>
      <w:r w:rsidRPr="00AE46CF">
        <w:rPr>
          <w:iCs/>
        </w:rPr>
        <w:t xml:space="preserve"> a při vysoké územní koncentraci může způsobovat rozličné problémy (jazyková bariéra, tvorba ghett apod.</w:t>
      </w:r>
      <w:r>
        <w:rPr>
          <w:iCs/>
        </w:rPr>
        <w:t>,</w:t>
      </w:r>
      <w:r w:rsidRPr="00AE46CF">
        <w:rPr>
          <w:iCs/>
        </w:rPr>
        <w:t xml:space="preserve"> včetně sociální deprivace místního obyvatelstva). V druhém případě odchod zejména vzdělanějších a kvalifikovanějších pracovních sil ovlivní negativně již tak nízkou vzdělanost</w:t>
      </w:r>
      <w:r w:rsidR="00B53879">
        <w:rPr>
          <w:iCs/>
        </w:rPr>
        <w:t>ní úroveň</w:t>
      </w:r>
      <w:r w:rsidRPr="00AE46CF">
        <w:rPr>
          <w:iCs/>
        </w:rPr>
        <w:t xml:space="preserve"> obyvatel </w:t>
      </w:r>
      <w:r w:rsidR="00507713">
        <w:rPr>
          <w:iCs/>
        </w:rPr>
        <w:t>KK, přičemž</w:t>
      </w:r>
      <w:r w:rsidRPr="00AE46CF">
        <w:rPr>
          <w:iCs/>
        </w:rPr>
        <w:t xml:space="preserve"> nedostatečně kvalifikovaná</w:t>
      </w:r>
      <w:r w:rsidR="00507713">
        <w:rPr>
          <w:iCs/>
        </w:rPr>
        <w:t xml:space="preserve"> pracovní</w:t>
      </w:r>
      <w:r w:rsidRPr="00AE46CF">
        <w:rPr>
          <w:iCs/>
        </w:rPr>
        <w:t xml:space="preserve"> síla může mít za následek nízkou investiční aktivitu v kraji.</w:t>
      </w:r>
    </w:p>
    <w:p w:rsidR="00CB10CF" w:rsidRPr="004A27FC" w:rsidRDefault="00CB10CF" w:rsidP="002C40B2">
      <w:pPr>
        <w:pStyle w:val="Nadpis3"/>
        <w:spacing w:line="276" w:lineRule="auto"/>
      </w:pPr>
      <w:r w:rsidRPr="004A27FC">
        <w:t>Literatura:</w:t>
      </w:r>
    </w:p>
    <w:p w:rsidR="00C967B8" w:rsidRPr="00C967B8" w:rsidRDefault="00C967B8" w:rsidP="00DA3F4B">
      <w:pPr>
        <w:jc w:val="left"/>
      </w:pPr>
      <w:r w:rsidRPr="00C967B8">
        <w:t xml:space="preserve">ČSÚ. </w:t>
      </w:r>
      <w:r w:rsidR="002F684C" w:rsidRPr="002F684C">
        <w:rPr>
          <w:i/>
        </w:rPr>
        <w:t>Demografická ročenka ČR – 2014</w:t>
      </w:r>
      <w:r w:rsidRPr="00C967B8">
        <w:t xml:space="preserve"> </w:t>
      </w:r>
      <w:r w:rsidRPr="00C967B8">
        <w:rPr>
          <w:color w:val="000000"/>
        </w:rPr>
        <w:t>[online]</w:t>
      </w:r>
      <w:r w:rsidRPr="00C967B8">
        <w:t xml:space="preserve">. 2015. Dostupné z: </w:t>
      </w:r>
      <w:hyperlink r:id="rId107" w:history="1">
        <w:r w:rsidRPr="00C967B8">
          <w:rPr>
            <w:rStyle w:val="Hypertextovodkaz"/>
          </w:rPr>
          <w:t>https://www.czso.cz/csu/czso/demograficka-rocenka-ceske-republiky-2014</w:t>
        </w:r>
      </w:hyperlink>
      <w:r w:rsidRPr="00C967B8">
        <w:t>.</w:t>
      </w:r>
    </w:p>
    <w:p w:rsidR="00C967B8" w:rsidRPr="00C967B8" w:rsidRDefault="00C967B8" w:rsidP="00DA3F4B">
      <w:pPr>
        <w:jc w:val="left"/>
      </w:pPr>
      <w:r w:rsidRPr="00C967B8">
        <w:t xml:space="preserve">ČSÚ. </w:t>
      </w:r>
      <w:r w:rsidR="002F684C" w:rsidRPr="002F684C">
        <w:rPr>
          <w:i/>
        </w:rPr>
        <w:t>Demografická ročenka krajů - 2006 až 2015</w:t>
      </w:r>
      <w:r w:rsidRPr="00C967B8">
        <w:t xml:space="preserve"> </w:t>
      </w:r>
      <w:r w:rsidRPr="00C967B8">
        <w:rPr>
          <w:color w:val="000000"/>
        </w:rPr>
        <w:t>[online]</w:t>
      </w:r>
      <w:r w:rsidRPr="00C967B8">
        <w:t xml:space="preserve">. 2016. Dostupné z: </w:t>
      </w:r>
      <w:hyperlink r:id="rId108" w:history="1">
        <w:r w:rsidRPr="00C967B8">
          <w:rPr>
            <w:rStyle w:val="Hypertextovodkaz"/>
          </w:rPr>
          <w:t>https://www.czso.cz/csu/czso/demograficka-rocenka-kraju-2006-az-2015</w:t>
        </w:r>
      </w:hyperlink>
      <w:r w:rsidRPr="00C967B8">
        <w:t>.</w:t>
      </w:r>
    </w:p>
    <w:p w:rsidR="00C967B8" w:rsidRDefault="00C967B8" w:rsidP="00DA3F4B">
      <w:pPr>
        <w:jc w:val="left"/>
      </w:pPr>
      <w:r w:rsidRPr="00C967B8">
        <w:t xml:space="preserve">ČSÚ. </w:t>
      </w:r>
      <w:r w:rsidR="002F684C" w:rsidRPr="002F684C">
        <w:rPr>
          <w:i/>
        </w:rPr>
        <w:t>Projekce obyvatelstva v krajích a oblastech ČR do roku 2065</w:t>
      </w:r>
      <w:r w:rsidRPr="00C967B8">
        <w:t xml:space="preserve"> </w:t>
      </w:r>
      <w:r w:rsidRPr="00C967B8">
        <w:rPr>
          <w:color w:val="000000"/>
        </w:rPr>
        <w:t>[online]</w:t>
      </w:r>
      <w:r w:rsidRPr="00C967B8">
        <w:t xml:space="preserve">. 2010. Dostupné z: </w:t>
      </w:r>
      <w:hyperlink r:id="rId109" w:history="1">
        <w:r w:rsidRPr="00C967B8">
          <w:rPr>
            <w:rStyle w:val="Hypertextovodkaz"/>
          </w:rPr>
          <w:t>https://www.czso.cz/csu/czso/projekce-obyvatelstva-v-krajich-a-oblastech-cr-do-roku-2065-n-d4vpepwgwt</w:t>
        </w:r>
      </w:hyperlink>
      <w:r w:rsidRPr="00C967B8">
        <w:t>.</w:t>
      </w:r>
    </w:p>
    <w:p w:rsidR="00C967B8" w:rsidRPr="00C967B8" w:rsidRDefault="00C967B8" w:rsidP="00DA3F4B">
      <w:pPr>
        <w:jc w:val="left"/>
      </w:pPr>
      <w:r w:rsidRPr="00C967B8">
        <w:t xml:space="preserve">ČSÚ. </w:t>
      </w:r>
      <w:r w:rsidRPr="00C967B8">
        <w:rPr>
          <w:i/>
        </w:rPr>
        <w:t>Stav a pohyb obyvatelstva v ČR - 1. pololetí 2016</w:t>
      </w:r>
      <w:r w:rsidRPr="00C967B8">
        <w:t xml:space="preserve"> </w:t>
      </w:r>
      <w:r w:rsidRPr="00C967B8">
        <w:rPr>
          <w:color w:val="000000"/>
        </w:rPr>
        <w:t>[online]</w:t>
      </w:r>
      <w:r w:rsidRPr="00C967B8">
        <w:t xml:space="preserve">. 2016. Dostupné z: </w:t>
      </w:r>
      <w:hyperlink r:id="rId110" w:history="1">
        <w:r w:rsidRPr="00C967B8">
          <w:rPr>
            <w:rStyle w:val="Hypertextovodkaz"/>
          </w:rPr>
          <w:t>https://www.czso.cz/csu/czso/stav-a-pohyb-obyvatelstva-v-cr-1-pololeti-2016</w:t>
        </w:r>
      </w:hyperlink>
      <w:r w:rsidRPr="00C967B8">
        <w:t>.</w:t>
      </w:r>
    </w:p>
    <w:p w:rsidR="00C967B8" w:rsidRPr="00C967B8" w:rsidRDefault="00C967B8" w:rsidP="00DA3F4B">
      <w:pPr>
        <w:jc w:val="left"/>
      </w:pPr>
      <w:r w:rsidRPr="00C967B8">
        <w:t xml:space="preserve">ČSÚ. </w:t>
      </w:r>
      <w:r w:rsidR="002F684C" w:rsidRPr="002F684C">
        <w:rPr>
          <w:i/>
        </w:rPr>
        <w:t>Věkové složení obyvatelstva – 2015</w:t>
      </w:r>
      <w:r w:rsidRPr="00C967B8">
        <w:t xml:space="preserve"> </w:t>
      </w:r>
      <w:r w:rsidRPr="00C967B8">
        <w:rPr>
          <w:color w:val="000000"/>
        </w:rPr>
        <w:t>[online]</w:t>
      </w:r>
      <w:r w:rsidRPr="00C967B8">
        <w:t xml:space="preserve">. 2016. Dostupné z: </w:t>
      </w:r>
      <w:hyperlink r:id="rId111" w:history="1">
        <w:r w:rsidRPr="00C967B8">
          <w:rPr>
            <w:rStyle w:val="Hypertextovodkaz"/>
          </w:rPr>
          <w:t>https://www.czso.cz/csu/czso/vekove-slozeni-obyvatelstva</w:t>
        </w:r>
      </w:hyperlink>
      <w:r w:rsidRPr="00C967B8">
        <w:t>.</w:t>
      </w:r>
    </w:p>
    <w:p w:rsidR="00C967B8" w:rsidRPr="00C967B8" w:rsidRDefault="00C967B8" w:rsidP="00DA3F4B">
      <w:pPr>
        <w:jc w:val="left"/>
      </w:pPr>
      <w:r w:rsidRPr="00C967B8">
        <w:t xml:space="preserve">ČSÚ. </w:t>
      </w:r>
      <w:r w:rsidR="002F684C" w:rsidRPr="002F684C">
        <w:rPr>
          <w:i/>
        </w:rPr>
        <w:t>Základní tendence demografického, sociálního a ekonomického vývoje Karlovarského kraje – 2015</w:t>
      </w:r>
      <w:r w:rsidRPr="00C967B8">
        <w:t xml:space="preserve"> </w:t>
      </w:r>
      <w:r w:rsidRPr="00C967B8">
        <w:rPr>
          <w:color w:val="000000"/>
        </w:rPr>
        <w:t>[online]</w:t>
      </w:r>
      <w:r w:rsidRPr="00C967B8">
        <w:t xml:space="preserve">. 2016. Dostupné z: </w:t>
      </w:r>
      <w:hyperlink r:id="rId112" w:history="1">
        <w:r w:rsidRPr="00C967B8">
          <w:rPr>
            <w:rStyle w:val="Hypertextovodkaz"/>
          </w:rPr>
          <w:t>https://www.czso.cz/csu/czso/zakladni-tendence-demografickeho-socialniho-a-ekonomickeho-vyvoje-moravskoslezskeho-kraje-2015</w:t>
        </w:r>
      </w:hyperlink>
      <w:r w:rsidRPr="00C967B8">
        <w:t>.</w:t>
      </w:r>
    </w:p>
    <w:p w:rsidR="00CB10CF" w:rsidRDefault="00CB10CF" w:rsidP="002C40B2">
      <w:r w:rsidRPr="00AE46CF">
        <w:br w:type="page"/>
      </w:r>
    </w:p>
    <w:p w:rsidR="00005545" w:rsidRPr="005C0C3A" w:rsidRDefault="00BB135B" w:rsidP="00094A5B">
      <w:pPr>
        <w:pStyle w:val="Nadpis1"/>
      </w:pPr>
      <w:bookmarkStart w:id="274" w:name="_Toc321405934"/>
      <w:r>
        <w:lastRenderedPageBreak/>
        <w:t xml:space="preserve"> </w:t>
      </w:r>
      <w:bookmarkStart w:id="275" w:name="_Toc488233396"/>
      <w:r w:rsidR="00B174B8" w:rsidRPr="005C0C3A">
        <w:t>Školství a vzdělanost</w:t>
      </w:r>
      <w:bookmarkEnd w:id="275"/>
    </w:p>
    <w:bookmarkEnd w:id="274"/>
    <w:p w:rsidR="00B174B8" w:rsidRPr="00AE46CF" w:rsidRDefault="00B174B8" w:rsidP="002C40B2">
      <w:pPr>
        <w:rPr>
          <w:bCs/>
        </w:rPr>
      </w:pPr>
      <w:r w:rsidRPr="00AE46CF">
        <w:t>Cílem této podkapitoly je analyzovat systém školství v </w:t>
      </w:r>
      <w:r w:rsidR="001A5B25">
        <w:t>KK</w:t>
      </w:r>
      <w:r>
        <w:t>,</w:t>
      </w:r>
      <w:r w:rsidRPr="00AE46CF">
        <w:t xml:space="preserve"> zejména z pohledu jeho vlivu na kvalitu lidských zdrojů potřebných pro trh práce a kvalitu života obyvatel. Základním ukazatelem kvality lidských zdrojů je vzdělanostní úroveň</w:t>
      </w:r>
      <w:r w:rsidR="001A5B25">
        <w:t xml:space="preserve"> obyvatelstva</w:t>
      </w:r>
      <w:r>
        <w:t>.</w:t>
      </w:r>
      <w:r w:rsidRPr="00AE46CF">
        <w:t xml:space="preserve"> Zejména střední a vyšší odborné školství by mělo zajišťovat kvalifikovan</w:t>
      </w:r>
      <w:r>
        <w:t>ou</w:t>
      </w:r>
      <w:r w:rsidRPr="00AE46CF">
        <w:t xml:space="preserve"> pracovní síl</w:t>
      </w:r>
      <w:r>
        <w:t>u</w:t>
      </w:r>
      <w:r w:rsidRPr="00AE46CF">
        <w:t xml:space="preserve"> </w:t>
      </w:r>
      <w:r>
        <w:t>a p</w:t>
      </w:r>
      <w:r w:rsidRPr="00AE46CF">
        <w:t>optávka po pracovní síle určitého zaměření by měla mít vliv na strukturu nabízených studijních oborů</w:t>
      </w:r>
      <w:r w:rsidRPr="00A442D9">
        <w:t xml:space="preserve"> </w:t>
      </w:r>
      <w:r w:rsidRPr="00AE46CF">
        <w:t xml:space="preserve">v regionu, aby nedocházelo k vysoké nezaměstnanosti. Z pohledu potřeb obyvatel </w:t>
      </w:r>
      <w:r w:rsidR="001A5B25">
        <w:t>KK</w:t>
      </w:r>
      <w:r w:rsidRPr="00AE46CF">
        <w:t xml:space="preserve"> je kromě kvality škol důležitá zejména dostupnost jednotlivých úrovní vzdělávací soustavy. V souvislosti s demografickými změnami ovlivňujícími počty předškolních dětí a školáků je potřeba zhodnotit současný stav sítě škol z pohledu budoucích potřeb. </w:t>
      </w:r>
      <w:r w:rsidRPr="00335B87">
        <w:t>Ačkoliv je kraj zřizovatelem většiny středních škol a některých základních škol,</w:t>
      </w:r>
      <w:r w:rsidRPr="007929EE">
        <w:t xml:space="preserve"> je ukázán i vývoj počtu a naplněnosti všech základních a mateřských škol jako nezbytných prvků celého systému.</w:t>
      </w:r>
      <w:r w:rsidRPr="00AE46CF">
        <w:t xml:space="preserve"> </w:t>
      </w:r>
      <w:r>
        <w:t>Informace v této</w:t>
      </w:r>
      <w:r w:rsidRPr="00AE46CF">
        <w:t xml:space="preserve"> podkapitole vycházejí částečně z dokumentů Krajského úřadu Karlovarského kraje, kterými jsou </w:t>
      </w:r>
      <w:r w:rsidRPr="00485A52">
        <w:rPr>
          <w:bCs/>
          <w:i/>
        </w:rPr>
        <w:t>Dlouhodobý záměr vzdělávání a rozvoje vzdělávací soustavy Karlovarského kraje 2016 – 2020</w:t>
      </w:r>
      <w:r>
        <w:rPr>
          <w:bCs/>
        </w:rPr>
        <w:t xml:space="preserve"> a</w:t>
      </w:r>
      <w:r w:rsidRPr="001977C9">
        <w:rPr>
          <w:bCs/>
        </w:rPr>
        <w:t xml:space="preserve"> </w:t>
      </w:r>
      <w:r w:rsidRPr="00485A52">
        <w:rPr>
          <w:bCs/>
          <w:i/>
        </w:rPr>
        <w:t>Analýza zaměstnanosti Karlovarského kraje</w:t>
      </w:r>
      <w:r w:rsidRPr="001977C9">
        <w:rPr>
          <w:bCs/>
        </w:rPr>
        <w:t xml:space="preserve"> z roku 2013</w:t>
      </w:r>
      <w:r>
        <w:rPr>
          <w:bCs/>
        </w:rPr>
        <w:t>, a dále z d</w:t>
      </w:r>
      <w:r>
        <w:t>otazníkového šetření</w:t>
      </w:r>
      <w:r w:rsidRPr="00AE46CF">
        <w:t xml:space="preserve"> </w:t>
      </w:r>
      <w:r>
        <w:t xml:space="preserve">Krajské hospodářské komory Karlovarského kraje mezi zaměstnavateli </w:t>
      </w:r>
      <w:r w:rsidRPr="00485A52">
        <w:rPr>
          <w:i/>
        </w:rPr>
        <w:t>Podpora technického vzdělávání v Karlovarském kraji</w:t>
      </w:r>
      <w:r>
        <w:t xml:space="preserve"> z března 2015. </w:t>
      </w:r>
    </w:p>
    <w:p w:rsidR="00B174B8" w:rsidRPr="00AE46CF" w:rsidRDefault="00B174B8" w:rsidP="002C40B2">
      <w:pPr>
        <w:rPr>
          <w:i/>
          <w:iCs/>
        </w:rPr>
      </w:pPr>
      <w:r w:rsidRPr="00AE46CF">
        <w:rPr>
          <w:i/>
          <w:iCs/>
        </w:rPr>
        <w:t>Otázky:</w:t>
      </w:r>
    </w:p>
    <w:p w:rsidR="00B174B8" w:rsidRPr="00614EA0" w:rsidRDefault="00B174B8" w:rsidP="002C40B2">
      <w:pPr>
        <w:pStyle w:val="Odstavecseseznamem"/>
        <w:numPr>
          <w:ilvl w:val="0"/>
          <w:numId w:val="11"/>
        </w:numPr>
        <w:rPr>
          <w:i/>
          <w:iCs/>
        </w:rPr>
      </w:pPr>
      <w:r w:rsidRPr="00614EA0">
        <w:rPr>
          <w:i/>
          <w:iCs/>
        </w:rPr>
        <w:t xml:space="preserve">Jaká je vzdělanostní úroveň obyvatelstva Karlovarského kraje ve srovnání s ostatními kraji a jaké to má důsledky pro hospodářský rozvoj regionu (situace na trhu práce, znalostně náročná odvětví apod.)? </w:t>
      </w:r>
    </w:p>
    <w:p w:rsidR="00B174B8" w:rsidRPr="00614EA0" w:rsidRDefault="00B174B8" w:rsidP="002C40B2">
      <w:pPr>
        <w:pStyle w:val="Odstavecseseznamem"/>
        <w:numPr>
          <w:ilvl w:val="0"/>
          <w:numId w:val="11"/>
        </w:numPr>
        <w:rPr>
          <w:i/>
          <w:iCs/>
        </w:rPr>
      </w:pPr>
      <w:r w:rsidRPr="00614EA0">
        <w:rPr>
          <w:bCs/>
          <w:i/>
        </w:rPr>
        <w:t xml:space="preserve">Jaká je dostupnost mateřských, základních a středních škol v Karlovarském kraji z pohledu územních potřeb a naplněnosti? Jaké lze očekávat </w:t>
      </w:r>
      <w:r w:rsidRPr="00614EA0">
        <w:rPr>
          <w:i/>
        </w:rPr>
        <w:t xml:space="preserve">budoucí vytížení škol a školských zařízení </w:t>
      </w:r>
      <w:r w:rsidRPr="00614EA0">
        <w:rPr>
          <w:bCs/>
          <w:i/>
        </w:rPr>
        <w:t>ve vztahu k  demografickému vývoji?</w:t>
      </w:r>
    </w:p>
    <w:p w:rsidR="00B174B8" w:rsidRPr="00614EA0" w:rsidRDefault="00B174B8" w:rsidP="002C40B2">
      <w:pPr>
        <w:pStyle w:val="Odstavecseseznamem"/>
        <w:numPr>
          <w:ilvl w:val="0"/>
          <w:numId w:val="11"/>
        </w:numPr>
        <w:rPr>
          <w:i/>
          <w:iCs/>
        </w:rPr>
      </w:pPr>
      <w:r w:rsidRPr="00614EA0">
        <w:rPr>
          <w:i/>
          <w:iCs/>
        </w:rPr>
        <w:t xml:space="preserve">Jaká je struktura a kvalita středního a vyššího školství v Karlovarském kraji? </w:t>
      </w:r>
      <w:r w:rsidRPr="00614EA0">
        <w:rPr>
          <w:i/>
        </w:rPr>
        <w:t>Absolventi jakých škol jsou nejvíce ohroženi nezaměstnaností?</w:t>
      </w:r>
    </w:p>
    <w:p w:rsidR="00614EA0" w:rsidRPr="00AE46CF" w:rsidRDefault="00614EA0" w:rsidP="002C40B2">
      <w:r w:rsidRPr="00DB2411">
        <w:t>Karlovarský kraj patří v rámci Č</w:t>
      </w:r>
      <w:r>
        <w:t>R</w:t>
      </w:r>
      <w:r w:rsidRPr="00DB2411">
        <w:t xml:space="preserve"> k regionům s </w:t>
      </w:r>
      <w:r w:rsidRPr="00614EA0">
        <w:rPr>
          <w:b/>
        </w:rPr>
        <w:t>nejnižší úrovní vzdělanosti</w:t>
      </w:r>
      <w:r w:rsidRPr="00DB2411">
        <w:t xml:space="preserve"> obyvatel (</w:t>
      </w:r>
      <w:r>
        <w:t xml:space="preserve">viz </w:t>
      </w:r>
      <w:r w:rsidR="004F2330">
        <w:fldChar w:fldCharType="begin"/>
      </w:r>
      <w:r w:rsidR="004F2330">
        <w:instrText xml:space="preserve"> REF _Ref468869539 \h  \* MERGEFORMAT </w:instrText>
      </w:r>
      <w:r w:rsidR="004F2330">
        <w:fldChar w:fldCharType="separate"/>
      </w:r>
      <w:r w:rsidR="00EB0944">
        <w:t>t</w:t>
      </w:r>
      <w:r w:rsidR="00CB29BD">
        <w:t xml:space="preserve">abulka </w:t>
      </w:r>
      <w:r w:rsidR="00CB29BD">
        <w:rPr>
          <w:noProof/>
        </w:rPr>
        <w:t>11</w:t>
      </w:r>
      <w:r w:rsidR="00CB29BD">
        <w:t>.1</w:t>
      </w:r>
      <w:r w:rsidR="004F2330">
        <w:fldChar w:fldCharType="end"/>
      </w:r>
      <w:r>
        <w:t xml:space="preserve">) – </w:t>
      </w:r>
      <w:r w:rsidRPr="00614EA0">
        <w:rPr>
          <w:b/>
        </w:rPr>
        <w:t>je zde nejvyšší podíl obyvatel starších 15 let pouze se základním vzděláním (20 %) a nejnižší podíl vysokoškoláků (10,4 %)</w:t>
      </w:r>
      <w:r w:rsidRPr="00DB2411">
        <w:t>. Tato situace se logicky odráží v </w:t>
      </w:r>
      <w:r w:rsidRPr="00614EA0">
        <w:t>nepříznivé profesní struktuře zaměstnanosti,</w:t>
      </w:r>
      <w:r w:rsidRPr="00DB2411">
        <w:t xml:space="preserve"> kde kraj vykazuje podprůměrný podíl v náročnějších a lépe honorovaných pozicích</w:t>
      </w:r>
      <w:r>
        <w:t>,</w:t>
      </w:r>
      <w:r w:rsidRPr="00DB2411">
        <w:t xml:space="preserve"> jako jsou řídící pracovníci, odborníci, techničtí pracovníci a kvalifikovaní řemeslníci, a naopak nadprůměrný podíl pracovníků bez kvalifikace u obsluhy strojů a zařízení či provozních pracovníků ve službách a obchodě. </w:t>
      </w:r>
    </w:p>
    <w:p w:rsidR="00614EA0" w:rsidRDefault="00614EA0" w:rsidP="002C40B2">
      <w:pPr>
        <w:spacing w:after="160"/>
        <w:jc w:val="left"/>
        <w:rPr>
          <w:i/>
          <w:iCs/>
        </w:rPr>
      </w:pPr>
      <w:r>
        <w:rPr>
          <w:i/>
          <w:iCs/>
        </w:rPr>
        <w:br w:type="page"/>
      </w:r>
    </w:p>
    <w:p w:rsidR="00B174B8" w:rsidRPr="00AE46CF" w:rsidRDefault="00614EA0" w:rsidP="000B3B9C">
      <w:pPr>
        <w:pStyle w:val="Titulek"/>
      </w:pPr>
      <w:bookmarkStart w:id="276" w:name="_Ref468869539"/>
      <w:bookmarkStart w:id="277" w:name="_Ref310523248"/>
      <w:bookmarkStart w:id="278" w:name="_Toc321406056"/>
      <w:bookmarkStart w:id="279" w:name="_Toc488233500"/>
      <w:r>
        <w:lastRenderedPageBreak/>
        <w:t xml:space="preserve">Tabulka </w:t>
      </w:r>
      <w:r w:rsidR="008965FE">
        <w:fldChar w:fldCharType="begin"/>
      </w:r>
      <w:r w:rsidR="00B33DFE">
        <w:instrText xml:space="preserve"> STYLEREF 1 \s </w:instrText>
      </w:r>
      <w:r w:rsidR="008965FE">
        <w:fldChar w:fldCharType="separate"/>
      </w:r>
      <w:r w:rsidR="00CB29BD">
        <w:t>11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276"/>
      <w:r w:rsidR="00B174B8" w:rsidRPr="00AE46CF">
        <w:t>: Srovnání krajů dle vzdělanostní struktury populace v roce 201</w:t>
      </w:r>
      <w:r w:rsidR="00FC0162">
        <w:t>5</w:t>
      </w:r>
      <w:r w:rsidR="00B174B8" w:rsidRPr="00AE46CF">
        <w:t xml:space="preserve"> </w:t>
      </w:r>
      <w:bookmarkEnd w:id="277"/>
      <w:bookmarkEnd w:id="278"/>
      <w:r w:rsidR="00B174B8">
        <w:t>(podíl v %)</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453"/>
        <w:gridCol w:w="2034"/>
        <w:gridCol w:w="2367"/>
        <w:gridCol w:w="1549"/>
      </w:tblGrid>
      <w:tr w:rsidR="00B174B8" w:rsidRPr="001F383C" w:rsidTr="00614EA0">
        <w:trPr>
          <w:trHeight w:val="326"/>
        </w:trPr>
        <w:tc>
          <w:tcPr>
            <w:tcW w:w="1015" w:type="pct"/>
            <w:vMerge w:val="restart"/>
            <w:noWrap/>
          </w:tcPr>
          <w:p w:rsidR="00B174B8" w:rsidRPr="001F383C" w:rsidRDefault="00614EA0" w:rsidP="002C40B2">
            <w:pPr>
              <w:pStyle w:val="Table"/>
              <w:spacing w:after="0"/>
              <w:jc w:val="left"/>
              <w:rPr>
                <w:rFonts w:asciiTheme="minorHAnsi" w:hAnsiTheme="minorHAnsi" w:cs="Calibri"/>
                <w:b/>
                <w:sz w:val="20"/>
              </w:rPr>
            </w:pPr>
            <w:r w:rsidRPr="001F383C">
              <w:rPr>
                <w:rFonts w:asciiTheme="minorHAnsi" w:hAnsiTheme="minorHAnsi" w:cs="Calibri"/>
                <w:b/>
                <w:bCs/>
                <w:sz w:val="20"/>
              </w:rPr>
              <w:t>ČR, k</w:t>
            </w:r>
            <w:r w:rsidR="00B174B8" w:rsidRPr="001F383C">
              <w:rPr>
                <w:rFonts w:asciiTheme="minorHAnsi" w:hAnsiTheme="minorHAnsi" w:cs="Calibri"/>
                <w:b/>
                <w:bCs/>
                <w:sz w:val="20"/>
              </w:rPr>
              <w:t>raj</w:t>
            </w:r>
          </w:p>
        </w:tc>
        <w:tc>
          <w:tcPr>
            <w:tcW w:w="3985" w:type="pct"/>
            <w:gridSpan w:val="4"/>
            <w:noWrap/>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 xml:space="preserve">vzdělání (% z obyvatel ve věku 15 let a více) </w:t>
            </w:r>
          </w:p>
        </w:tc>
      </w:tr>
      <w:tr w:rsidR="00B174B8" w:rsidRPr="001F383C" w:rsidTr="00614EA0">
        <w:trPr>
          <w:trHeight w:val="273"/>
        </w:trPr>
        <w:tc>
          <w:tcPr>
            <w:tcW w:w="1015" w:type="pct"/>
            <w:vMerge/>
            <w:noWrap/>
          </w:tcPr>
          <w:p w:rsidR="00B174B8" w:rsidRPr="001F383C" w:rsidRDefault="00B174B8" w:rsidP="002C40B2">
            <w:pPr>
              <w:pStyle w:val="Table"/>
              <w:spacing w:after="0"/>
              <w:jc w:val="center"/>
              <w:rPr>
                <w:rFonts w:asciiTheme="minorHAnsi" w:hAnsiTheme="minorHAnsi" w:cs="Calibri"/>
                <w:b/>
                <w:bCs/>
                <w:sz w:val="20"/>
              </w:rPr>
            </w:pPr>
          </w:p>
        </w:tc>
        <w:tc>
          <w:tcPr>
            <w:tcW w:w="782" w:type="pct"/>
            <w:noWrap/>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základní</w:t>
            </w:r>
          </w:p>
        </w:tc>
        <w:tc>
          <w:tcPr>
            <w:tcW w:w="1095" w:type="pct"/>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střední bez maturity</w:t>
            </w:r>
          </w:p>
        </w:tc>
        <w:tc>
          <w:tcPr>
            <w:tcW w:w="1274" w:type="pct"/>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střední s maturitou</w:t>
            </w:r>
          </w:p>
        </w:tc>
        <w:tc>
          <w:tcPr>
            <w:tcW w:w="835" w:type="pct"/>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vysokoškolské</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Praha</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8,1</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18,5</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40,6</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32,7</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Středočeský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12,6</w:t>
            </w:r>
          </w:p>
        </w:tc>
        <w:tc>
          <w:tcPr>
            <w:tcW w:w="1095" w:type="pct"/>
            <w:noWrap/>
            <w:vAlign w:val="center"/>
          </w:tcPr>
          <w:p w:rsidR="00B174B8" w:rsidRPr="001F383C" w:rsidRDefault="00B174B8" w:rsidP="002C40B2">
            <w:pPr>
              <w:spacing w:after="0"/>
              <w:ind w:left="-637" w:firstLine="637"/>
              <w:jc w:val="center"/>
              <w:rPr>
                <w:rFonts w:asciiTheme="minorHAnsi" w:hAnsiTheme="minorHAnsi"/>
                <w:sz w:val="20"/>
                <w:szCs w:val="20"/>
              </w:rPr>
            </w:pPr>
            <w:r w:rsidRPr="001F383C">
              <w:rPr>
                <w:rFonts w:asciiTheme="minorHAnsi" w:hAnsiTheme="minorHAnsi"/>
                <w:sz w:val="20"/>
                <w:szCs w:val="20"/>
              </w:rPr>
              <w:t>35,2</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34,9</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17,1</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Jihočeský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14,3</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37,0</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33,5</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15,0</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Plzeňský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13,9</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36,5</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34,2</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15,4</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b/>
                <w:bCs/>
                <w:sz w:val="20"/>
              </w:rPr>
            </w:pPr>
            <w:r w:rsidRPr="001F383C">
              <w:rPr>
                <w:rFonts w:asciiTheme="minorHAnsi" w:hAnsiTheme="minorHAnsi" w:cs="Calibri"/>
                <w:b/>
                <w:bCs/>
                <w:sz w:val="20"/>
              </w:rPr>
              <w:t xml:space="preserve">Karlovarský </w:t>
            </w:r>
          </w:p>
        </w:tc>
        <w:tc>
          <w:tcPr>
            <w:tcW w:w="782" w:type="pct"/>
            <w:noWrap/>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20,0</w:t>
            </w:r>
          </w:p>
        </w:tc>
        <w:tc>
          <w:tcPr>
            <w:tcW w:w="1095" w:type="pct"/>
            <w:noWrap/>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37,7</w:t>
            </w:r>
          </w:p>
        </w:tc>
        <w:tc>
          <w:tcPr>
            <w:tcW w:w="1274" w:type="pct"/>
            <w:noWrap/>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31,5</w:t>
            </w:r>
          </w:p>
        </w:tc>
        <w:tc>
          <w:tcPr>
            <w:tcW w:w="835" w:type="pct"/>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10,4</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Ústecký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19,7</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37,0</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31,6</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11,4</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Liberecký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16,3</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37,9</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32,3</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13,3</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Královéhradecký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13,7</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36,7</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34,7</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14,8</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Pardubický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13,6</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38,0</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32,9</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15,3</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Vysočina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14,0</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40,4</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31,6</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13,9</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Jihomoravský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12,6</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30,9</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34,5</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21,8</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Olomoucký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14,2</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38,1</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31,6</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15,8</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Zlínský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14,6</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38,3</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30,9</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15,9</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sz w:val="20"/>
              </w:rPr>
            </w:pPr>
            <w:r w:rsidRPr="001F383C">
              <w:rPr>
                <w:rFonts w:asciiTheme="minorHAnsi" w:hAnsiTheme="minorHAnsi" w:cs="Calibri"/>
                <w:sz w:val="20"/>
              </w:rPr>
              <w:t xml:space="preserve">Moravskoslezský </w:t>
            </w:r>
          </w:p>
        </w:tc>
        <w:tc>
          <w:tcPr>
            <w:tcW w:w="782"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17,0</w:t>
            </w:r>
          </w:p>
        </w:tc>
        <w:tc>
          <w:tcPr>
            <w:tcW w:w="1095"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35,8</w:t>
            </w:r>
          </w:p>
        </w:tc>
        <w:tc>
          <w:tcPr>
            <w:tcW w:w="1274" w:type="pct"/>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31,8</w:t>
            </w:r>
          </w:p>
        </w:tc>
        <w:tc>
          <w:tcPr>
            <w:tcW w:w="835" w:type="pct"/>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15,3</w:t>
            </w:r>
          </w:p>
        </w:tc>
      </w:tr>
      <w:tr w:rsidR="00B174B8" w:rsidRPr="001F383C" w:rsidTr="00614EA0">
        <w:trPr>
          <w:trHeight w:val="263"/>
        </w:trPr>
        <w:tc>
          <w:tcPr>
            <w:tcW w:w="1015" w:type="pct"/>
            <w:noWrap/>
            <w:vAlign w:val="center"/>
          </w:tcPr>
          <w:p w:rsidR="00B174B8" w:rsidRPr="001F383C" w:rsidRDefault="00B174B8" w:rsidP="002C40B2">
            <w:pPr>
              <w:pStyle w:val="Table"/>
              <w:spacing w:after="0"/>
              <w:jc w:val="left"/>
              <w:rPr>
                <w:rFonts w:asciiTheme="minorHAnsi" w:hAnsiTheme="minorHAnsi" w:cs="Calibri"/>
                <w:b/>
                <w:bCs/>
                <w:sz w:val="20"/>
              </w:rPr>
            </w:pPr>
            <w:r w:rsidRPr="001F383C">
              <w:rPr>
                <w:rFonts w:asciiTheme="minorHAnsi" w:hAnsiTheme="minorHAnsi" w:cs="Calibri"/>
                <w:b/>
                <w:bCs/>
                <w:sz w:val="20"/>
              </w:rPr>
              <w:t>ČR</w:t>
            </w:r>
          </w:p>
        </w:tc>
        <w:tc>
          <w:tcPr>
            <w:tcW w:w="782" w:type="pct"/>
            <w:noWrap/>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14,0</w:t>
            </w:r>
          </w:p>
        </w:tc>
        <w:tc>
          <w:tcPr>
            <w:tcW w:w="1095" w:type="pct"/>
            <w:noWrap/>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34,1</w:t>
            </w:r>
          </w:p>
        </w:tc>
        <w:tc>
          <w:tcPr>
            <w:tcW w:w="1274" w:type="pct"/>
            <w:noWrap/>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33,9</w:t>
            </w:r>
          </w:p>
        </w:tc>
        <w:tc>
          <w:tcPr>
            <w:tcW w:w="835" w:type="pct"/>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17,8</w:t>
            </w:r>
          </w:p>
        </w:tc>
      </w:tr>
    </w:tbl>
    <w:p w:rsidR="00B174B8" w:rsidRDefault="00B174B8" w:rsidP="002C40B2">
      <w:pPr>
        <w:pStyle w:val="poznzdroj"/>
        <w:spacing w:line="276" w:lineRule="auto"/>
        <w:rPr>
          <w:rStyle w:val="Zdraznnjemn"/>
          <w:rFonts w:ascii="Calibri" w:hAnsi="Calibri"/>
          <w:i/>
        </w:rPr>
      </w:pPr>
      <w:r w:rsidRPr="00614EA0">
        <w:rPr>
          <w:rStyle w:val="Zdraznnjemn"/>
          <w:rFonts w:ascii="Calibri" w:hAnsi="Calibri"/>
          <w:i/>
        </w:rPr>
        <w:t>Zdroj: ČSÚ – Zaměstnanost a nezaměstnanost v ČR podle výsledků výběrového šetření pracovních sil - roční průměry – rok 2015</w:t>
      </w:r>
    </w:p>
    <w:p w:rsidR="00B174B8" w:rsidRPr="00AE46CF" w:rsidRDefault="00B174B8" w:rsidP="002C40B2">
      <w:r w:rsidRPr="00AE46CF">
        <w:t xml:space="preserve">Na nepříznivou situaci kraje v úrovni vzdělanosti obyvatel reagují strategické dokumenty zaměřené na oblast školství (nejpodrobněji </w:t>
      </w:r>
      <w:r w:rsidRPr="00485A52">
        <w:rPr>
          <w:bCs/>
          <w:i/>
        </w:rPr>
        <w:t>Dlouhodobý záměr vzdělávání a rozvoje vzdělávací soustavy Karlovarského kraje 2016 - 2020</w:t>
      </w:r>
      <w:r w:rsidRPr="00AE46CF">
        <w:t xml:space="preserve">) stanovením cílů, které by měly významně ovlivnit kvalitu vzdělávání a zejména zlepšit vzdělanostní strukturu obyvatel kraje. </w:t>
      </w:r>
      <w:r w:rsidRPr="00075B57">
        <w:t>Nový způsob vzdělávání</w:t>
      </w:r>
      <w:r w:rsidRPr="00AE46CF">
        <w:t xml:space="preserve"> by měl přispět k získání vysoké míry uplatnitelnosti absolventů škol na trhu práce tak, aby mohli úspěšně napomáhat zavádění inovací a ekonomickému růstu. Problémy, které odhalila </w:t>
      </w:r>
      <w:r>
        <w:t>a</w:t>
      </w:r>
      <w:r w:rsidRPr="00010816">
        <w:t>nalýza současného stavu vzdělávací soustavy v kraji</w:t>
      </w:r>
      <w:r w:rsidRPr="00AE46CF">
        <w:t>, souvisí totiž s </w:t>
      </w:r>
      <w:r w:rsidRPr="001977C9">
        <w:t>pasivní rolí vzdělávací soustavy ve vztahu k ekonomickému a společenskému kontextu kraje.</w:t>
      </w:r>
      <w:r w:rsidRPr="00AE46CF">
        <w:t xml:space="preserve"> Školství reaguje na současnou poptávku, </w:t>
      </w:r>
      <w:r>
        <w:t>nicméně o</w:t>
      </w:r>
      <w:r w:rsidRPr="00AE46CF">
        <w:t>ptimální by samozřejmě bylo, aby kraj jako zřizovatel středních škol znal požadavky trhu práce v dostatečném časovém předstihu tak, aby mohl nastavit adekvátní vzdělávací nabídku.</w:t>
      </w:r>
    </w:p>
    <w:p w:rsidR="00B174B8" w:rsidRDefault="00B174B8" w:rsidP="002C40B2">
      <w:r w:rsidRPr="00AE46CF">
        <w:t>Karlovarský kraj vykonává činnosti zejména v oblasti středního a vyššího odborného vzdělávání, dále má na starosti vzdělávání dětí, žáků a studentů se zdravotním postižením a znevýhodněním a jazykové, základní umělecké a zájmové vzdělávání. Ve školním roce 20</w:t>
      </w:r>
      <w:r>
        <w:t>15</w:t>
      </w:r>
      <w:r w:rsidRPr="00AE46CF">
        <w:t>/</w:t>
      </w:r>
      <w:r w:rsidRPr="001977C9">
        <w:t>16 kraj zřizoval dvě mateřské školy, čtyři základní školy, 27 středních škol a čtyři vyšší odborné školy.</w:t>
      </w:r>
      <w:r w:rsidRPr="00AE46CF">
        <w:t xml:space="preserve"> Kromě krajem zřizovaných škol a školských zařízení fungují na území Karlovarského kraje školy a školská zařízení zřizované </w:t>
      </w:r>
      <w:r w:rsidRPr="00075B57">
        <w:t>obcemi, svazkem obcí, soukromými subjekty, Ministerstvem školství, mládeže a tělovýchovy a církví. I když</w:t>
      </w:r>
      <w:r w:rsidRPr="00AE46CF">
        <w:t xml:space="preserve"> to jsou právě obce, které zřizují naprostou většinu základních a mateřských škol v</w:t>
      </w:r>
      <w:r>
        <w:t> </w:t>
      </w:r>
      <w:r w:rsidRPr="00AE46CF">
        <w:t xml:space="preserve">kraji z důvodu povinnosti zajistit podmínky pro plnění povinné školní docházky a podmínky pro předškolní vzdělávání v posledním roce před zahájením povinné školní docházky dětí s místem trvalého pobytu na svém území, je potřeba se i těmto stupňům vzdělávací soustavy věnovat z pohledu budoucích potřeb v krajské perspektivě. </w:t>
      </w:r>
    </w:p>
    <w:p w:rsidR="00B174B8" w:rsidRPr="008A5617" w:rsidRDefault="00B174B8" w:rsidP="002C40B2">
      <w:pPr>
        <w:pStyle w:val="Nadpis2"/>
      </w:pPr>
      <w:bookmarkStart w:id="280" w:name="_Toc310436070"/>
      <w:r w:rsidRPr="008A5617">
        <w:lastRenderedPageBreak/>
        <w:t>Mateřské školy</w:t>
      </w:r>
      <w:bookmarkEnd w:id="280"/>
      <w:r w:rsidRPr="008A5617">
        <w:t xml:space="preserve"> </w:t>
      </w:r>
    </w:p>
    <w:p w:rsidR="00B174B8" w:rsidRPr="000F0078" w:rsidRDefault="00B174B8" w:rsidP="002C40B2">
      <w:pPr>
        <w:rPr>
          <w:highlight w:val="green"/>
        </w:rPr>
      </w:pPr>
      <w:r w:rsidRPr="001977C9">
        <w:t>V Karlovarském kraji fungovalo k 30. 9. 2015 celkem 123 mateřských škol, které jsou v naprosté většině zřizovány obcemi.</w:t>
      </w:r>
      <w:r>
        <w:t xml:space="preserve"> </w:t>
      </w:r>
      <w:r w:rsidRPr="001977C9">
        <w:t>Z územního hlediska jsou mateřské školy rozloženy rovnoměrně do všech okresů Karlovarského kraje. Celkové kapacity mateřských škol jsou využity na 89,29 %, přičemž u 39,67 % je jejich kapacita naplněna.</w:t>
      </w:r>
    </w:p>
    <w:p w:rsidR="00B174B8" w:rsidRDefault="00B174B8" w:rsidP="002C40B2">
      <w:r w:rsidRPr="00C53D3F">
        <w:t xml:space="preserve">V období do roku 2015 byla v oblasti předškolního vzdělávání uplatňována zejména metodická podpora při zajištění maximální účasti dětí v předškolním vzdělávání a v oblasti péče o děti se speciálními vzdělávacími potřebami. Výraznou byla hlavně péče logopedická a péče v oblasti přípravy dětí na zahájení povinné školní docházky. V uplynulém pětiletém období nebylo nutné v našem kraji řešit nedostatečné kapacity mateřských škol, avšak v některých větších městech k určitým problémům v důsledku zvýšeného zájmu o předškolní vzdělávání přece jen docházelo. </w:t>
      </w:r>
      <w:r>
        <w:t>V</w:t>
      </w:r>
      <w:r w:rsidRPr="00C53D3F">
        <w:t xml:space="preserve"> některých případech tento stav </w:t>
      </w:r>
      <w:r>
        <w:t xml:space="preserve">mohlo </w:t>
      </w:r>
      <w:r w:rsidRPr="00C53D3F">
        <w:t>způsob</w:t>
      </w:r>
      <w:r>
        <w:t>it</w:t>
      </w:r>
      <w:r w:rsidRPr="00C53D3F">
        <w:t xml:space="preserve"> zvýšení počtu tříletých dětí a dále větší zájem rodičů o přijetí dětí mladších tří let k předškolnímu vzdělávání.</w:t>
      </w:r>
    </w:p>
    <w:p w:rsidR="00B174B8" w:rsidRDefault="008A5617" w:rsidP="000B3B9C">
      <w:pPr>
        <w:pStyle w:val="Titulek"/>
      </w:pPr>
      <w:bookmarkStart w:id="281" w:name="_Toc310604031"/>
      <w:bookmarkStart w:id="282" w:name="_Toc310604097"/>
      <w:bookmarkStart w:id="283" w:name="_Toc321406403"/>
      <w:bookmarkStart w:id="284" w:name="_Toc488234369"/>
      <w:r>
        <w:t xml:space="preserve">Graf </w:t>
      </w:r>
      <w:r w:rsidR="008965FE">
        <w:fldChar w:fldCharType="begin"/>
      </w:r>
      <w:r w:rsidR="00FD378B">
        <w:instrText xml:space="preserve"> STYLEREF 1 \s </w:instrText>
      </w:r>
      <w:r w:rsidR="008965FE">
        <w:fldChar w:fldCharType="separate"/>
      </w:r>
      <w:r w:rsidR="00CB29BD">
        <w:t>11</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r w:rsidR="00B174B8" w:rsidRPr="00AE46CF">
        <w:t xml:space="preserve">: Vývoj počtu škol a dětí/žáků v Karlovarském kraji ve </w:t>
      </w:r>
      <w:r w:rsidR="00B174B8">
        <w:t>školním roce</w:t>
      </w:r>
      <w:r w:rsidR="00B174B8" w:rsidRPr="00AE46CF">
        <w:t xml:space="preserve"> 20</w:t>
      </w:r>
      <w:r w:rsidR="00B174B8">
        <w:t>10</w:t>
      </w:r>
      <w:r w:rsidR="00B174B8" w:rsidRPr="00AE46CF">
        <w:t>/</w:t>
      </w:r>
      <w:r w:rsidR="00B174B8">
        <w:t>11</w:t>
      </w:r>
      <w:r w:rsidR="00B174B8" w:rsidRPr="00AE46CF">
        <w:t xml:space="preserve"> – 201</w:t>
      </w:r>
      <w:r w:rsidR="00B174B8">
        <w:t>4</w:t>
      </w:r>
      <w:r w:rsidR="00B174B8" w:rsidRPr="00AE46CF">
        <w:t>/1</w:t>
      </w:r>
      <w:bookmarkEnd w:id="281"/>
      <w:bookmarkEnd w:id="282"/>
      <w:bookmarkEnd w:id="283"/>
      <w:r w:rsidR="00B174B8">
        <w:t>5</w:t>
      </w:r>
      <w:bookmarkEnd w:id="284"/>
    </w:p>
    <w:p w:rsidR="00CA3903" w:rsidRDefault="00CA3903" w:rsidP="002C40B2">
      <w:pPr>
        <w:rPr>
          <w:rStyle w:val="Zdraznnjemn"/>
        </w:rPr>
      </w:pPr>
      <w:r>
        <w:rPr>
          <w:rStyle w:val="Zdraznnjemn"/>
          <w:noProof/>
        </w:rPr>
        <w:drawing>
          <wp:inline distT="0" distB="0" distL="0" distR="0">
            <wp:extent cx="5781040" cy="2990215"/>
            <wp:effectExtent l="0" t="0" r="0" b="63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81040" cy="2990215"/>
                    </a:xfrm>
                    <a:prstGeom prst="rect">
                      <a:avLst/>
                    </a:prstGeom>
                    <a:noFill/>
                  </pic:spPr>
                </pic:pic>
              </a:graphicData>
            </a:graphic>
          </wp:inline>
        </w:drawing>
      </w:r>
    </w:p>
    <w:p w:rsidR="00B174B8" w:rsidRPr="008A5617" w:rsidRDefault="00B174B8" w:rsidP="002C40B2">
      <w:pPr>
        <w:pStyle w:val="Zdroj"/>
        <w:spacing w:line="276" w:lineRule="auto"/>
        <w:rPr>
          <w:rStyle w:val="Zdraznnjemn"/>
        </w:rPr>
      </w:pPr>
      <w:r w:rsidRPr="008A5617">
        <w:rPr>
          <w:rStyle w:val="Zdraznnjemn"/>
        </w:rPr>
        <w:t xml:space="preserve">Poznámka: Uvedeny jsou údaje za všechny resorty a za všechny formy a druhy studia včetně škol pro žáky se speciálními vzdělávacími potřebami. </w:t>
      </w:r>
    </w:p>
    <w:p w:rsidR="00B174B8" w:rsidRPr="008A5617" w:rsidRDefault="00B174B8" w:rsidP="002C40B2">
      <w:pPr>
        <w:pStyle w:val="Zdroj"/>
        <w:spacing w:line="276" w:lineRule="auto"/>
        <w:rPr>
          <w:rStyle w:val="Zdraznnjemn"/>
        </w:rPr>
      </w:pPr>
      <w:r w:rsidRPr="008A5617">
        <w:rPr>
          <w:rStyle w:val="Zdraznnjemn"/>
        </w:rPr>
        <w:t xml:space="preserve">Zdroj: ČSÚ </w:t>
      </w:r>
    </w:p>
    <w:p w:rsidR="00B174B8" w:rsidRDefault="00B174B8" w:rsidP="002C40B2">
      <w:bookmarkStart w:id="285" w:name="_Toc310436071"/>
      <w:r w:rsidRPr="00C53D3F">
        <w:t>Vzhledem k tomu, že dle statistických prognóz by měl počet tříletých dětí v následujících 5 letech stále mírně klesat, lze předpokládat, že kapacity mateřských škol v kraji budou dostačující. Faktem však je, že konkrétní stavy počtu dětí docházejících do mateřských škol se mohou v jednotlivých obcích a zejména ve větších městech měnit. Je odpovědností zřizovatelů MŠ, aby byl na základě včasných průzkumů demografického vývoje případný nárůst počtu dětí dané věkové kohorty zaznamenán a byla přijata opatření k zajištění počtu míst v mateřských školách. Zejména s ohledem na zákonnou povinnost posledního ročníku předškolního vzdělávání</w:t>
      </w:r>
      <w:r>
        <w:t xml:space="preserve"> od roku 2017.</w:t>
      </w:r>
      <w:r w:rsidRPr="00C53D3F">
        <w:t xml:space="preserve"> Ve městech a obcích s vyšším podílem dětí ze sociálně znevýhodněného prostředí lze dostatkem kapacit eliminovat problémy, které děti z tohoto prostředí provázejí, a zvýšit jejich šance na úspěšnost ve vzdělávání. </w:t>
      </w:r>
      <w:r w:rsidRPr="00C53D3F">
        <w:lastRenderedPageBreak/>
        <w:t xml:space="preserve">Předškolní vzdělávání má pro zlepšení vzdělávání mimořádný význam zejména při vstupu do základního vzdělávání a je důležité pro osobnostní vývoj dětí a případné vyrovnání nerovnoměrností v jejich vývoji při vstupu do základní školy. </w:t>
      </w:r>
    </w:p>
    <w:p w:rsidR="00B174B8" w:rsidRPr="000F0078" w:rsidRDefault="00B174B8" w:rsidP="002C40B2">
      <w:pPr>
        <w:rPr>
          <w:highlight w:val="green"/>
        </w:rPr>
      </w:pPr>
      <w:r w:rsidRPr="00C53D3F">
        <w:t>V mateřských školách se vzdělává již deset let přibližně 2,5 % dětí se speciálními potřebami</w:t>
      </w:r>
      <w:r>
        <w:t xml:space="preserve"> </w:t>
      </w:r>
      <w:r w:rsidRPr="00C53D3F">
        <w:t>formou individuální integrace a kolem 2 % dětí je zařazeno do speciálních tříd. Tyto hodnoty mají snižující se tendenci. Naopak značně narůstající tendenci má vývoj počtu dětí cizinců</w:t>
      </w:r>
      <w:r>
        <w:t xml:space="preserve">. Zatímco podíl dětí cizinců </w:t>
      </w:r>
      <w:r>
        <w:br/>
      </w:r>
      <w:r w:rsidRPr="00C53D3F">
        <w:t xml:space="preserve">v mateřských školách </w:t>
      </w:r>
      <w:r>
        <w:t>činil</w:t>
      </w:r>
      <w:r w:rsidRPr="00C53D3F">
        <w:t xml:space="preserve"> v roce 2011 2,8 %, </w:t>
      </w:r>
      <w:r>
        <w:t xml:space="preserve">dosáhl </w:t>
      </w:r>
      <w:r w:rsidRPr="00C53D3F">
        <w:t>v roce 2014 téměř 4 %.</w:t>
      </w:r>
    </w:p>
    <w:p w:rsidR="00B174B8" w:rsidRPr="007F0667" w:rsidRDefault="00B174B8" w:rsidP="002C40B2">
      <w:pPr>
        <w:pStyle w:val="Nadpis2"/>
      </w:pPr>
      <w:r w:rsidRPr="007F0667">
        <w:t>Základní školy</w:t>
      </w:r>
      <w:bookmarkEnd w:id="285"/>
      <w:r w:rsidRPr="007F0667">
        <w:t xml:space="preserve"> </w:t>
      </w:r>
    </w:p>
    <w:p w:rsidR="00B174B8" w:rsidRPr="00C53D3F" w:rsidRDefault="00B174B8" w:rsidP="002C40B2">
      <w:bookmarkStart w:id="286" w:name="_Toc310436072"/>
      <w:r w:rsidRPr="00C53D3F">
        <w:t>V Karlovarském kraji působilo k 30. 9. 2015 celkem 110 základních škol, které byly v naprosté většině zřizovány obcemi. Nejvíce základních škol se nachází v okrese Karlovy Vary. Základní školy jsou umístěny ve větším počtu zejména v obcích s rozšířenou působností. Celkové kapacity základních škol jsou využity na 60,25 %.</w:t>
      </w:r>
    </w:p>
    <w:p w:rsidR="00B174B8" w:rsidRPr="00C53D3F" w:rsidRDefault="00B174B8" w:rsidP="002C40B2">
      <w:r w:rsidRPr="00C53D3F">
        <w:t>Výrazná péče a podpora je zaměřena především na posílení kariérového poradenství v procesu volby vzdělávací dráhy žáků. Obdobně výrazná podpora je věnována polytechnickému vzdělávání s cílem posílit zájem žáků o technické obory a spolupráci základních škol se středními zejména v této oblasti. Od roku 2012 má vývoj počtu dětí zahajujících povinnou školní docházku stoupající tendenci až na cca 3500 dětí</w:t>
      </w:r>
      <w:r>
        <w:t>. Podle demografické predikce by však mělo po</w:t>
      </w:r>
      <w:r w:rsidRPr="00C53D3F">
        <w:t xml:space="preserve"> roce 201</w:t>
      </w:r>
      <w:r>
        <w:t xml:space="preserve">8 </w:t>
      </w:r>
      <w:r w:rsidRPr="00C53D3F">
        <w:t>dojít ke snižování této věkové kohorty</w:t>
      </w:r>
      <w:r>
        <w:t>.</w:t>
      </w:r>
    </w:p>
    <w:p w:rsidR="00B174B8" w:rsidRDefault="00B174B8" w:rsidP="002C40B2">
      <w:r w:rsidRPr="00C53D3F">
        <w:t xml:space="preserve">V roce 2015 byly kapacity základních škol dostačující, jen v některých lokalitách a zejména ve větších městech je naplněnost 90 % i vyšší. Stav kapacit základních škol budou muset zřizovatelé pozorně monitorovat a přijmout včas případná opatření k zajištění přijetí všech dětí, které začnou plnit povinnou školní docházku. Nevyřešeným problémem, který výrazně ovlivňuje kvalitu vzdělávání, zůstává odchod žáků do různých výběrových škol a neoptimální je zejména přetrvávající vysoký podíl žáků, kteří pokračují v plnění povinné školní docházky v 8 a 6letých gymnáziích. Ani přes opatření cílená ke snížení počtu tříd, do nichž budou žáci přijímáni (aby se podíl počtu žáků odcházejících do víceletých gymnázií snížil na 5 – 10 %, jak deklaroval </w:t>
      </w:r>
      <w:r>
        <w:t>dlouhodobý záměr</w:t>
      </w:r>
      <w:r w:rsidRPr="00C53D3F">
        <w:t xml:space="preserve"> ČR</w:t>
      </w:r>
      <w:r>
        <w:t>)</w:t>
      </w:r>
      <w:r w:rsidRPr="00C53D3F">
        <w:t>, nebylo potřebného stavu dosaženo. Nezbytná je</w:t>
      </w:r>
      <w:r>
        <w:t xml:space="preserve"> pak</w:t>
      </w:r>
      <w:r w:rsidRPr="00C53D3F">
        <w:t xml:space="preserve"> podpora spolupráce škol a dalších organizací při rozvoji a začleňování dětí ohrožených předčasným odchodem ze vzdělávání.</w:t>
      </w:r>
    </w:p>
    <w:p w:rsidR="00B174B8" w:rsidRDefault="00B174B8" w:rsidP="002C40B2">
      <w:r>
        <w:t xml:space="preserve">V rámci plánovacího období Evropské unie 2014 – 2020 jsou pro území obcí s rozšířenou působností zpracovávány </w:t>
      </w:r>
      <w:r w:rsidRPr="00485A52">
        <w:rPr>
          <w:i/>
        </w:rPr>
        <w:t>Místní akční plány</w:t>
      </w:r>
      <w:r>
        <w:t>. Jejich cílem je analýza daného území a určení priorit, kter</w:t>
      </w:r>
      <w:r w:rsidR="00212310">
        <w:t>é</w:t>
      </w:r>
      <w:r>
        <w:t xml:space="preserve"> mají být v tomto území řešen</w:t>
      </w:r>
      <w:r w:rsidR="00212310">
        <w:t>y</w:t>
      </w:r>
      <w:r>
        <w:t xml:space="preserve"> v oblasti vzdělávání. </w:t>
      </w:r>
      <w:r w:rsidRPr="00F65FDF">
        <w:t xml:space="preserve">Implementace definovaných priorit bude zajišťována z Operačního programu Výzkum, vývoj a vzdělávání </w:t>
      </w:r>
      <w:r>
        <w:t xml:space="preserve">(OPVVV) </w:t>
      </w:r>
      <w:r w:rsidRPr="00F65FDF">
        <w:t>a z Integrovaného regionálního operačního programu</w:t>
      </w:r>
      <w:r w:rsidR="007F0667">
        <w:t xml:space="preserve"> (I</w:t>
      </w:r>
      <w:r>
        <w:t>ROP)</w:t>
      </w:r>
      <w:r w:rsidRPr="00F65FDF">
        <w:t>.</w:t>
      </w:r>
    </w:p>
    <w:p w:rsidR="00B174B8" w:rsidRPr="001F383C" w:rsidRDefault="00B174B8" w:rsidP="002C40B2">
      <w:pPr>
        <w:pStyle w:val="Nadpis2"/>
      </w:pPr>
      <w:r w:rsidRPr="001F383C">
        <w:t>Střední a vyšší odborné školy</w:t>
      </w:r>
      <w:bookmarkEnd w:id="286"/>
      <w:r w:rsidRPr="001F383C">
        <w:t xml:space="preserve"> </w:t>
      </w:r>
    </w:p>
    <w:p w:rsidR="00B174B8" w:rsidRDefault="00B174B8" w:rsidP="002C40B2">
      <w:pPr>
        <w:spacing w:before="120" w:after="120"/>
      </w:pPr>
      <w:r w:rsidRPr="00AE46CF">
        <w:t xml:space="preserve">V Karlovarském kraji působilo </w:t>
      </w:r>
      <w:r>
        <w:t xml:space="preserve">k 30. 9. 2015 </w:t>
      </w:r>
      <w:r w:rsidRPr="00AE46CF">
        <w:t xml:space="preserve">celkem </w:t>
      </w:r>
      <w:r>
        <w:t>37</w:t>
      </w:r>
      <w:r w:rsidRPr="00AE46CF">
        <w:t xml:space="preserve"> středních škol, z toho </w:t>
      </w:r>
      <w:r>
        <w:t xml:space="preserve">27 </w:t>
      </w:r>
      <w:r w:rsidRPr="00AE46CF">
        <w:t xml:space="preserve">zřizoval Karlovarský kraj. </w:t>
      </w:r>
      <w:r>
        <w:t>P</w:t>
      </w:r>
      <w:r w:rsidRPr="00AE46CF">
        <w:t xml:space="preserve">očet žáků středních škol </w:t>
      </w:r>
      <w:r>
        <w:t>řadu let klesá.</w:t>
      </w:r>
      <w:r w:rsidRPr="00AE46CF">
        <w:t xml:space="preserve"> </w:t>
      </w:r>
      <w:r>
        <w:t>Dle údajů z výkazů k 30. 9. 2015</w:t>
      </w:r>
      <w:r w:rsidRPr="00AE46CF">
        <w:t xml:space="preserve"> se ve středních školách v Karlovarském kraji vzdělávalo celkem 1</w:t>
      </w:r>
      <w:r>
        <w:t>0</w:t>
      </w:r>
      <w:r w:rsidRPr="00AE46CF">
        <w:t> </w:t>
      </w:r>
      <w:r>
        <w:t>988</w:t>
      </w:r>
      <w:r w:rsidRPr="00AE46CF">
        <w:t xml:space="preserve"> žáků, což je o </w:t>
      </w:r>
      <w:r>
        <w:t>281</w:t>
      </w:r>
      <w:r w:rsidRPr="00AE46CF">
        <w:t xml:space="preserve"> (</w:t>
      </w:r>
      <w:r>
        <w:t>2,5</w:t>
      </w:r>
      <w:r w:rsidRPr="00AE46CF">
        <w:t xml:space="preserve"> %) méně než o rok </w:t>
      </w:r>
      <w:r w:rsidRPr="0053726C">
        <w:t>dříve.</w:t>
      </w:r>
      <w:r w:rsidRPr="00AE46CF">
        <w:t xml:space="preserve"> </w:t>
      </w:r>
      <w:r>
        <w:t xml:space="preserve">Dle demografické projekce můžeme nicméně očekávat mírné zvyšování počtu mladistvých ve věkové </w:t>
      </w:r>
      <w:r>
        <w:lastRenderedPageBreak/>
        <w:t>kohortě 15 – 19 let, a to</w:t>
      </w:r>
      <w:r w:rsidRPr="00DC22BF">
        <w:t xml:space="preserve"> </w:t>
      </w:r>
      <w:r>
        <w:t xml:space="preserve">až do roku 2027. Poté by měl jejich počet klesat, ale stále by měl být vyšší než nyní (viz kapitola </w:t>
      </w:r>
      <w:r w:rsidR="001F383C">
        <w:t xml:space="preserve">10. </w:t>
      </w:r>
      <w:r>
        <w:t>Demografický vývoj).</w:t>
      </w:r>
    </w:p>
    <w:p w:rsidR="00B174B8" w:rsidRPr="00AE46CF" w:rsidRDefault="00B174B8" w:rsidP="002C40B2">
      <w:pPr>
        <w:spacing w:before="120" w:after="120"/>
      </w:pPr>
      <w:r>
        <w:t>92,4</w:t>
      </w:r>
      <w:r w:rsidRPr="00AE46CF">
        <w:t xml:space="preserve"> % žáků </w:t>
      </w:r>
      <w:r>
        <w:t>se vzdělává ve</w:t>
      </w:r>
      <w:r w:rsidRPr="00AE46CF">
        <w:t> středních škol</w:t>
      </w:r>
      <w:r>
        <w:t>ách</w:t>
      </w:r>
      <w:r w:rsidRPr="00AE46CF">
        <w:t xml:space="preserve"> zřizovaných Karlovarským krajem</w:t>
      </w:r>
      <w:r>
        <w:t>. Ú</w:t>
      </w:r>
      <w:r w:rsidRPr="00AE46CF">
        <w:t>daje o struktuře žáků a dalších charakteristikách středních škol v Karlovarském kraji i </w:t>
      </w:r>
      <w:r>
        <w:t xml:space="preserve">v </w:t>
      </w:r>
      <w:r w:rsidRPr="00AE46CF">
        <w:t>jednotlivých okresech pro školní rok 20</w:t>
      </w:r>
      <w:r>
        <w:t>15</w:t>
      </w:r>
      <w:r w:rsidRPr="00AE46CF">
        <w:t>/1</w:t>
      </w:r>
      <w:r>
        <w:t>6</w:t>
      </w:r>
      <w:r w:rsidRPr="00AE46CF">
        <w:t xml:space="preserve"> udává </w:t>
      </w:r>
      <w:r w:rsidR="004F2330">
        <w:fldChar w:fldCharType="begin"/>
      </w:r>
      <w:r w:rsidR="004F2330">
        <w:instrText xml:space="preserve"> REF _Ref310515914 \h  \* MERGEFORMAT </w:instrText>
      </w:r>
      <w:r w:rsidR="004F2330">
        <w:fldChar w:fldCharType="separate"/>
      </w:r>
      <w:r w:rsidR="00EB0944">
        <w:t>t</w:t>
      </w:r>
      <w:r w:rsidR="00CB29BD" w:rsidRPr="00AE46CF">
        <w:t xml:space="preserve">abulka </w:t>
      </w:r>
      <w:r w:rsidR="00CB29BD">
        <w:rPr>
          <w:noProof/>
        </w:rPr>
        <w:t>11</w:t>
      </w:r>
      <w:r w:rsidR="00CB29BD">
        <w:t>.2</w:t>
      </w:r>
      <w:r w:rsidR="004F2330">
        <w:fldChar w:fldCharType="end"/>
      </w:r>
      <w:r w:rsidRPr="00AE46CF">
        <w:t>. Kromě středních škol působí v Karlovarském kraji také čtyři vyšší odborné školy, které zabezpečují vzdělávání v oborech zdravotnických, cestovního ruchu, sociální pedagogiky</w:t>
      </w:r>
      <w:r w:rsidR="00F42210">
        <w:t xml:space="preserve"> </w:t>
      </w:r>
      <w:r w:rsidRPr="00AE46CF">
        <w:t xml:space="preserve">a sociální práce. </w:t>
      </w:r>
    </w:p>
    <w:p w:rsidR="00B174B8" w:rsidRPr="00AE46CF" w:rsidRDefault="00B174B8" w:rsidP="000B3B9C">
      <w:pPr>
        <w:pStyle w:val="Titulek"/>
      </w:pPr>
      <w:bookmarkStart w:id="287" w:name="_Ref310515914"/>
      <w:bookmarkStart w:id="288" w:name="_Ref310523349"/>
      <w:bookmarkStart w:id="289" w:name="_Toc321406057"/>
      <w:bookmarkStart w:id="290" w:name="_Toc488233501"/>
      <w:r w:rsidRPr="00AE46CF">
        <w:t xml:space="preserve">Tabulka </w:t>
      </w:r>
      <w:r w:rsidR="008965FE">
        <w:fldChar w:fldCharType="begin"/>
      </w:r>
      <w:r w:rsidR="00B33DFE">
        <w:instrText xml:space="preserve"> STYLEREF 1 \s </w:instrText>
      </w:r>
      <w:r w:rsidR="008965FE">
        <w:fldChar w:fldCharType="separate"/>
      </w:r>
      <w:r w:rsidR="00CB29BD">
        <w:t>11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287"/>
      <w:r w:rsidRPr="00AE46CF">
        <w:t>: Střední školy v Karlovarském kraji – žáci (</w:t>
      </w:r>
      <w:r w:rsidR="001F383C">
        <w:t xml:space="preserve">stav </w:t>
      </w:r>
      <w:r w:rsidRPr="00AE46CF">
        <w:t>k 30. 9. 20</w:t>
      </w:r>
      <w:r>
        <w:t>15</w:t>
      </w:r>
      <w:r w:rsidRPr="00AE46CF">
        <w:t>)</w:t>
      </w:r>
      <w:bookmarkEnd w:id="288"/>
      <w:bookmarkEnd w:id="289"/>
      <w:bookmarkEnd w:id="290"/>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
        <w:gridCol w:w="2725"/>
        <w:gridCol w:w="1701"/>
        <w:gridCol w:w="850"/>
        <w:gridCol w:w="932"/>
        <w:gridCol w:w="911"/>
        <w:gridCol w:w="1211"/>
      </w:tblGrid>
      <w:tr w:rsidR="00B174B8" w:rsidRPr="001F383C" w:rsidTr="001F383C">
        <w:trPr>
          <w:trHeight w:val="306"/>
        </w:trPr>
        <w:tc>
          <w:tcPr>
            <w:tcW w:w="5382" w:type="dxa"/>
            <w:gridSpan w:val="3"/>
            <w:noWrap/>
          </w:tcPr>
          <w:p w:rsidR="00B174B8" w:rsidRPr="001F383C" w:rsidRDefault="00B174B8" w:rsidP="002C40B2">
            <w:pPr>
              <w:pStyle w:val="Table"/>
              <w:spacing w:after="0"/>
              <w:jc w:val="left"/>
              <w:rPr>
                <w:rFonts w:asciiTheme="minorHAnsi" w:hAnsiTheme="minorHAnsi" w:cs="Calibri"/>
                <w:b/>
                <w:bCs/>
                <w:sz w:val="20"/>
              </w:rPr>
            </w:pPr>
            <w:r w:rsidRPr="001F383C">
              <w:rPr>
                <w:rFonts w:asciiTheme="minorHAnsi" w:hAnsiTheme="minorHAnsi" w:cs="Calibri"/>
                <w:b/>
                <w:bCs/>
                <w:sz w:val="20"/>
              </w:rPr>
              <w:t>Střední školy</w:t>
            </w:r>
          </w:p>
        </w:tc>
        <w:tc>
          <w:tcPr>
            <w:tcW w:w="850" w:type="dxa"/>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Cheb</w:t>
            </w:r>
          </w:p>
        </w:tc>
        <w:tc>
          <w:tcPr>
            <w:tcW w:w="932" w:type="dxa"/>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Karlovy Vary</w:t>
            </w:r>
          </w:p>
        </w:tc>
        <w:tc>
          <w:tcPr>
            <w:tcW w:w="911" w:type="dxa"/>
          </w:tcPr>
          <w:p w:rsidR="00B174B8" w:rsidRPr="001F383C" w:rsidRDefault="00B174B8" w:rsidP="002C40B2">
            <w:pPr>
              <w:pStyle w:val="Table"/>
              <w:spacing w:after="0"/>
              <w:jc w:val="center"/>
              <w:rPr>
                <w:rFonts w:asciiTheme="minorHAnsi" w:hAnsiTheme="minorHAnsi" w:cs="Calibri"/>
                <w:b/>
                <w:bCs/>
                <w:sz w:val="20"/>
              </w:rPr>
            </w:pPr>
            <w:r w:rsidRPr="001F383C">
              <w:rPr>
                <w:rFonts w:asciiTheme="minorHAnsi" w:hAnsiTheme="minorHAnsi" w:cs="Calibri"/>
                <w:b/>
                <w:bCs/>
                <w:sz w:val="20"/>
              </w:rPr>
              <w:t>Sokolov</w:t>
            </w:r>
          </w:p>
        </w:tc>
        <w:tc>
          <w:tcPr>
            <w:tcW w:w="1211" w:type="dxa"/>
          </w:tcPr>
          <w:p w:rsidR="00B174B8" w:rsidRPr="001F383C" w:rsidRDefault="001F383C" w:rsidP="002C40B2">
            <w:pPr>
              <w:pStyle w:val="Table"/>
              <w:spacing w:after="0"/>
              <w:jc w:val="center"/>
              <w:rPr>
                <w:rFonts w:asciiTheme="minorHAnsi" w:hAnsiTheme="minorHAnsi" w:cs="Calibri"/>
                <w:b/>
                <w:bCs/>
                <w:sz w:val="20"/>
              </w:rPr>
            </w:pPr>
            <w:r>
              <w:rPr>
                <w:rFonts w:asciiTheme="minorHAnsi" w:hAnsiTheme="minorHAnsi" w:cs="Calibri"/>
                <w:b/>
                <w:bCs/>
                <w:sz w:val="20"/>
              </w:rPr>
              <w:t>KK</w:t>
            </w:r>
            <w:r w:rsidR="00B174B8" w:rsidRPr="001F383C">
              <w:rPr>
                <w:rFonts w:asciiTheme="minorHAnsi" w:hAnsiTheme="minorHAnsi" w:cs="Calibri"/>
                <w:b/>
                <w:bCs/>
                <w:sz w:val="20"/>
              </w:rPr>
              <w:t xml:space="preserve"> celkem</w:t>
            </w:r>
          </w:p>
        </w:tc>
      </w:tr>
      <w:tr w:rsidR="00B174B8" w:rsidRPr="001F383C" w:rsidTr="001F383C">
        <w:trPr>
          <w:trHeight w:val="299"/>
        </w:trPr>
        <w:tc>
          <w:tcPr>
            <w:tcW w:w="956" w:type="dxa"/>
            <w:vMerge w:val="restart"/>
            <w:noWrap/>
            <w:vAlign w:val="center"/>
          </w:tcPr>
          <w:p w:rsidR="00B174B8" w:rsidRPr="001F383C" w:rsidRDefault="00B174B8" w:rsidP="002C40B2">
            <w:pPr>
              <w:spacing w:after="0"/>
              <w:rPr>
                <w:rFonts w:asciiTheme="minorHAnsi" w:hAnsiTheme="minorHAnsi"/>
                <w:sz w:val="20"/>
                <w:szCs w:val="20"/>
              </w:rPr>
            </w:pPr>
            <w:r w:rsidRPr="001F383C">
              <w:rPr>
                <w:rFonts w:asciiTheme="minorHAnsi" w:hAnsiTheme="minorHAnsi"/>
                <w:sz w:val="20"/>
                <w:szCs w:val="20"/>
              </w:rPr>
              <w:t>Denní forma</w:t>
            </w:r>
          </w:p>
        </w:tc>
        <w:tc>
          <w:tcPr>
            <w:tcW w:w="4426" w:type="dxa"/>
            <w:gridSpan w:val="2"/>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Střední vzdělávání (bez maturity) </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10</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10</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0</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20</w:t>
            </w:r>
          </w:p>
        </w:tc>
      </w:tr>
      <w:tr w:rsidR="00B174B8" w:rsidRPr="001F383C" w:rsidTr="001F383C">
        <w:trPr>
          <w:trHeight w:val="300"/>
        </w:trPr>
        <w:tc>
          <w:tcPr>
            <w:tcW w:w="956" w:type="dxa"/>
            <w:vMerge/>
            <w:noWrap/>
            <w:vAlign w:val="center"/>
          </w:tcPr>
          <w:p w:rsidR="00B174B8" w:rsidRPr="001F383C" w:rsidRDefault="00B174B8" w:rsidP="002C40B2">
            <w:pPr>
              <w:spacing w:after="0"/>
              <w:rPr>
                <w:rFonts w:asciiTheme="minorHAnsi" w:hAnsiTheme="minorHAnsi"/>
                <w:sz w:val="20"/>
                <w:szCs w:val="20"/>
              </w:rPr>
            </w:pPr>
          </w:p>
        </w:tc>
        <w:tc>
          <w:tcPr>
            <w:tcW w:w="4426" w:type="dxa"/>
            <w:gridSpan w:val="2"/>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Střední vzdělávání s výučním listem </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725</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1146</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981</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2852</w:t>
            </w:r>
          </w:p>
        </w:tc>
      </w:tr>
      <w:tr w:rsidR="00B174B8" w:rsidRPr="001F383C" w:rsidTr="001F383C">
        <w:trPr>
          <w:trHeight w:val="300"/>
        </w:trPr>
        <w:tc>
          <w:tcPr>
            <w:tcW w:w="956" w:type="dxa"/>
            <w:vMerge/>
            <w:noWrap/>
            <w:vAlign w:val="center"/>
          </w:tcPr>
          <w:p w:rsidR="00B174B8" w:rsidRPr="001F383C" w:rsidRDefault="00B174B8" w:rsidP="002C40B2">
            <w:pPr>
              <w:spacing w:after="0"/>
              <w:rPr>
                <w:rFonts w:asciiTheme="minorHAnsi" w:hAnsiTheme="minorHAnsi"/>
                <w:sz w:val="20"/>
                <w:szCs w:val="20"/>
              </w:rPr>
            </w:pPr>
          </w:p>
        </w:tc>
        <w:tc>
          <w:tcPr>
            <w:tcW w:w="2725" w:type="dxa"/>
            <w:vMerge w:val="restart"/>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Střední vzdělávání s maturitní zkouškou </w:t>
            </w:r>
          </w:p>
        </w:tc>
        <w:tc>
          <w:tcPr>
            <w:tcW w:w="1701" w:type="dxa"/>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čtyřleté</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979</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3086</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970</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5035</w:t>
            </w:r>
          </w:p>
        </w:tc>
      </w:tr>
      <w:tr w:rsidR="00B174B8" w:rsidRPr="001F383C" w:rsidTr="001F383C">
        <w:trPr>
          <w:trHeight w:val="300"/>
        </w:trPr>
        <w:tc>
          <w:tcPr>
            <w:tcW w:w="956" w:type="dxa"/>
            <w:vMerge/>
            <w:noWrap/>
            <w:vAlign w:val="center"/>
          </w:tcPr>
          <w:p w:rsidR="00B174B8" w:rsidRPr="001F383C" w:rsidRDefault="00B174B8" w:rsidP="002C40B2">
            <w:pPr>
              <w:spacing w:after="0"/>
              <w:rPr>
                <w:rFonts w:asciiTheme="minorHAnsi" w:hAnsiTheme="minorHAnsi"/>
                <w:sz w:val="20"/>
                <w:szCs w:val="20"/>
              </w:rPr>
            </w:pPr>
          </w:p>
        </w:tc>
        <w:tc>
          <w:tcPr>
            <w:tcW w:w="2725" w:type="dxa"/>
            <w:vMerge/>
            <w:noWrap/>
            <w:vAlign w:val="center"/>
          </w:tcPr>
          <w:p w:rsidR="00B174B8" w:rsidRPr="001F383C" w:rsidRDefault="00B174B8" w:rsidP="002C40B2">
            <w:pPr>
              <w:spacing w:after="0"/>
              <w:jc w:val="left"/>
              <w:rPr>
                <w:rFonts w:asciiTheme="minorHAnsi" w:hAnsiTheme="minorHAnsi"/>
                <w:sz w:val="20"/>
                <w:szCs w:val="20"/>
              </w:rPr>
            </w:pPr>
          </w:p>
        </w:tc>
        <w:tc>
          <w:tcPr>
            <w:tcW w:w="1701" w:type="dxa"/>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nižší gymnázium</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1038</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924</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546</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2508</w:t>
            </w:r>
          </w:p>
        </w:tc>
      </w:tr>
      <w:tr w:rsidR="00B174B8" w:rsidRPr="001F383C" w:rsidTr="001F383C">
        <w:trPr>
          <w:trHeight w:val="300"/>
        </w:trPr>
        <w:tc>
          <w:tcPr>
            <w:tcW w:w="956" w:type="dxa"/>
            <w:vMerge/>
            <w:noWrap/>
            <w:vAlign w:val="center"/>
          </w:tcPr>
          <w:p w:rsidR="00B174B8" w:rsidRPr="001F383C" w:rsidRDefault="00B174B8" w:rsidP="002C40B2">
            <w:pPr>
              <w:spacing w:after="0"/>
              <w:rPr>
                <w:rFonts w:asciiTheme="minorHAnsi" w:hAnsiTheme="minorHAnsi"/>
                <w:sz w:val="20"/>
                <w:szCs w:val="20"/>
              </w:rPr>
            </w:pPr>
          </w:p>
        </w:tc>
        <w:tc>
          <w:tcPr>
            <w:tcW w:w="4426" w:type="dxa"/>
            <w:gridSpan w:val="2"/>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Celkem </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2752</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5202</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2444</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10415</w:t>
            </w:r>
          </w:p>
        </w:tc>
      </w:tr>
      <w:tr w:rsidR="00B174B8" w:rsidRPr="001F383C" w:rsidTr="001F383C">
        <w:trPr>
          <w:trHeight w:val="300"/>
        </w:trPr>
        <w:tc>
          <w:tcPr>
            <w:tcW w:w="956" w:type="dxa"/>
            <w:vMerge w:val="restart"/>
            <w:noWrap/>
            <w:vAlign w:val="center"/>
          </w:tcPr>
          <w:p w:rsidR="00B174B8" w:rsidRPr="001F383C" w:rsidRDefault="00B174B8" w:rsidP="002C40B2">
            <w:pPr>
              <w:spacing w:after="0"/>
              <w:rPr>
                <w:rFonts w:asciiTheme="minorHAnsi" w:hAnsiTheme="minorHAnsi"/>
                <w:sz w:val="20"/>
                <w:szCs w:val="20"/>
              </w:rPr>
            </w:pPr>
            <w:r w:rsidRPr="001F383C">
              <w:rPr>
                <w:rFonts w:asciiTheme="minorHAnsi" w:hAnsiTheme="minorHAnsi"/>
                <w:sz w:val="20"/>
                <w:szCs w:val="20"/>
              </w:rPr>
              <w:t>Ostatní formy</w:t>
            </w:r>
          </w:p>
        </w:tc>
        <w:tc>
          <w:tcPr>
            <w:tcW w:w="4426" w:type="dxa"/>
            <w:gridSpan w:val="2"/>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Střední vzdělávání (bez maturity) </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0</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0</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0</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0</w:t>
            </w:r>
          </w:p>
        </w:tc>
      </w:tr>
      <w:tr w:rsidR="00B174B8" w:rsidRPr="001F383C" w:rsidTr="001F383C">
        <w:trPr>
          <w:trHeight w:val="300"/>
        </w:trPr>
        <w:tc>
          <w:tcPr>
            <w:tcW w:w="956" w:type="dxa"/>
            <w:vMerge/>
            <w:noWrap/>
            <w:vAlign w:val="center"/>
          </w:tcPr>
          <w:p w:rsidR="00B174B8" w:rsidRPr="001F383C" w:rsidRDefault="00B174B8" w:rsidP="002C40B2">
            <w:pPr>
              <w:spacing w:after="0"/>
              <w:rPr>
                <w:rFonts w:asciiTheme="minorHAnsi" w:hAnsiTheme="minorHAnsi"/>
                <w:sz w:val="20"/>
                <w:szCs w:val="20"/>
              </w:rPr>
            </w:pPr>
          </w:p>
        </w:tc>
        <w:tc>
          <w:tcPr>
            <w:tcW w:w="4426" w:type="dxa"/>
            <w:gridSpan w:val="2"/>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Střední vzdělávání s výučním listem </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0</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25</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0</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25</w:t>
            </w:r>
          </w:p>
        </w:tc>
      </w:tr>
      <w:tr w:rsidR="00B174B8" w:rsidRPr="001F383C" w:rsidTr="001F383C">
        <w:trPr>
          <w:trHeight w:val="299"/>
        </w:trPr>
        <w:tc>
          <w:tcPr>
            <w:tcW w:w="956" w:type="dxa"/>
            <w:vMerge/>
            <w:noWrap/>
            <w:vAlign w:val="center"/>
          </w:tcPr>
          <w:p w:rsidR="00B174B8" w:rsidRPr="001F383C" w:rsidRDefault="00B174B8" w:rsidP="002C40B2">
            <w:pPr>
              <w:spacing w:after="0"/>
              <w:rPr>
                <w:rFonts w:asciiTheme="minorHAnsi" w:hAnsiTheme="minorHAnsi"/>
                <w:sz w:val="20"/>
                <w:szCs w:val="20"/>
              </w:rPr>
            </w:pPr>
          </w:p>
        </w:tc>
        <w:tc>
          <w:tcPr>
            <w:tcW w:w="4426" w:type="dxa"/>
            <w:gridSpan w:val="2"/>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Střední vzdělávání s maturitní zkouškou </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53</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103</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24</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180</w:t>
            </w:r>
          </w:p>
        </w:tc>
      </w:tr>
      <w:tr w:rsidR="00B174B8" w:rsidRPr="001F383C" w:rsidTr="001F383C">
        <w:trPr>
          <w:trHeight w:val="372"/>
        </w:trPr>
        <w:tc>
          <w:tcPr>
            <w:tcW w:w="956" w:type="dxa"/>
            <w:noWrap/>
            <w:vAlign w:val="center"/>
          </w:tcPr>
          <w:p w:rsidR="00B174B8" w:rsidRPr="001F383C" w:rsidRDefault="00B174B8" w:rsidP="002C40B2">
            <w:pPr>
              <w:spacing w:after="0"/>
              <w:rPr>
                <w:rFonts w:asciiTheme="minorHAnsi" w:hAnsiTheme="minorHAnsi"/>
                <w:sz w:val="20"/>
                <w:szCs w:val="20"/>
              </w:rPr>
            </w:pPr>
            <w:r w:rsidRPr="001F383C">
              <w:rPr>
                <w:rFonts w:asciiTheme="minorHAnsi" w:hAnsiTheme="minorHAnsi"/>
                <w:sz w:val="20"/>
                <w:szCs w:val="20"/>
              </w:rPr>
              <w:t>Denní</w:t>
            </w:r>
          </w:p>
        </w:tc>
        <w:tc>
          <w:tcPr>
            <w:tcW w:w="4426" w:type="dxa"/>
            <w:gridSpan w:val="2"/>
            <w:vMerge w:val="restart"/>
            <w:noWrap/>
            <w:vAlign w:val="center"/>
          </w:tcPr>
          <w:p w:rsidR="00B174B8" w:rsidRPr="001F383C" w:rsidRDefault="00B174B8" w:rsidP="002C40B2">
            <w:pPr>
              <w:spacing w:after="0"/>
              <w:jc w:val="left"/>
              <w:rPr>
                <w:rFonts w:asciiTheme="minorHAnsi" w:hAnsiTheme="minorHAnsi"/>
                <w:sz w:val="20"/>
                <w:szCs w:val="20"/>
              </w:rPr>
            </w:pPr>
            <w:r w:rsidRPr="001F383C">
              <w:rPr>
                <w:rFonts w:asciiTheme="minorHAnsi" w:hAnsiTheme="minorHAnsi"/>
                <w:sz w:val="20"/>
                <w:szCs w:val="20"/>
              </w:rPr>
              <w:t>Nástavbové studium (pro absolventy středního vzdělání s výučním listem v příbuzném oboru vzdělání) </w:t>
            </w: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57</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99</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62</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218</w:t>
            </w:r>
          </w:p>
        </w:tc>
      </w:tr>
      <w:tr w:rsidR="00B174B8" w:rsidRPr="001F383C" w:rsidTr="001F383C">
        <w:trPr>
          <w:trHeight w:val="300"/>
        </w:trPr>
        <w:tc>
          <w:tcPr>
            <w:tcW w:w="956" w:type="dxa"/>
            <w:noWrap/>
            <w:vAlign w:val="center"/>
          </w:tcPr>
          <w:p w:rsidR="00B174B8" w:rsidRPr="001F383C" w:rsidRDefault="00B174B8" w:rsidP="002C40B2">
            <w:pPr>
              <w:spacing w:after="0"/>
              <w:rPr>
                <w:rFonts w:asciiTheme="minorHAnsi" w:hAnsiTheme="minorHAnsi"/>
                <w:sz w:val="20"/>
                <w:szCs w:val="20"/>
              </w:rPr>
            </w:pPr>
            <w:r w:rsidRPr="001F383C">
              <w:rPr>
                <w:rFonts w:asciiTheme="minorHAnsi" w:hAnsiTheme="minorHAnsi"/>
                <w:sz w:val="20"/>
                <w:szCs w:val="20"/>
              </w:rPr>
              <w:t>Ostatní</w:t>
            </w:r>
          </w:p>
        </w:tc>
        <w:tc>
          <w:tcPr>
            <w:tcW w:w="4426" w:type="dxa"/>
            <w:gridSpan w:val="2"/>
            <w:vMerge/>
            <w:vAlign w:val="center"/>
          </w:tcPr>
          <w:p w:rsidR="00B174B8" w:rsidRPr="001F383C" w:rsidRDefault="00B174B8" w:rsidP="002C40B2">
            <w:pPr>
              <w:spacing w:after="0"/>
              <w:rPr>
                <w:rFonts w:asciiTheme="minorHAnsi" w:hAnsiTheme="minorHAnsi"/>
                <w:sz w:val="20"/>
                <w:szCs w:val="20"/>
              </w:rPr>
            </w:pPr>
          </w:p>
        </w:tc>
        <w:tc>
          <w:tcPr>
            <w:tcW w:w="850" w:type="dxa"/>
            <w:noWrap/>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4</w:t>
            </w:r>
          </w:p>
        </w:tc>
        <w:tc>
          <w:tcPr>
            <w:tcW w:w="932"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55</w:t>
            </w:r>
          </w:p>
        </w:tc>
        <w:tc>
          <w:tcPr>
            <w:tcW w:w="911" w:type="dxa"/>
            <w:vAlign w:val="center"/>
          </w:tcPr>
          <w:p w:rsidR="00B174B8" w:rsidRPr="001F383C" w:rsidRDefault="00B174B8" w:rsidP="002C40B2">
            <w:pPr>
              <w:spacing w:after="0"/>
              <w:jc w:val="center"/>
              <w:rPr>
                <w:rFonts w:asciiTheme="minorHAnsi" w:hAnsiTheme="minorHAnsi"/>
                <w:sz w:val="20"/>
                <w:szCs w:val="20"/>
              </w:rPr>
            </w:pPr>
            <w:r w:rsidRPr="001F383C">
              <w:rPr>
                <w:rFonts w:asciiTheme="minorHAnsi" w:hAnsiTheme="minorHAnsi"/>
                <w:sz w:val="20"/>
                <w:szCs w:val="20"/>
              </w:rPr>
              <w:t>91</w:t>
            </w:r>
          </w:p>
        </w:tc>
        <w:tc>
          <w:tcPr>
            <w:tcW w:w="1211" w:type="dxa"/>
            <w:vAlign w:val="center"/>
          </w:tcPr>
          <w:p w:rsidR="00B174B8" w:rsidRPr="001F383C" w:rsidRDefault="00B174B8" w:rsidP="002C40B2">
            <w:pPr>
              <w:spacing w:after="0"/>
              <w:jc w:val="center"/>
              <w:rPr>
                <w:rFonts w:asciiTheme="minorHAnsi" w:hAnsiTheme="minorHAnsi"/>
                <w:b/>
                <w:sz w:val="20"/>
                <w:szCs w:val="20"/>
              </w:rPr>
            </w:pPr>
            <w:r w:rsidRPr="001F383C">
              <w:rPr>
                <w:rFonts w:asciiTheme="minorHAnsi" w:hAnsiTheme="minorHAnsi"/>
                <w:b/>
                <w:sz w:val="20"/>
                <w:szCs w:val="20"/>
              </w:rPr>
              <w:t>150</w:t>
            </w:r>
          </w:p>
        </w:tc>
      </w:tr>
    </w:tbl>
    <w:p w:rsidR="00B174B8" w:rsidRPr="001F383C" w:rsidRDefault="00B174B8" w:rsidP="002C40B2">
      <w:pPr>
        <w:pStyle w:val="Zdroj"/>
        <w:spacing w:before="120" w:line="276" w:lineRule="auto"/>
        <w:rPr>
          <w:rStyle w:val="Zdraznnjemn"/>
        </w:rPr>
      </w:pPr>
      <w:r w:rsidRPr="001F383C">
        <w:rPr>
          <w:rStyle w:val="Zdraznnjemn"/>
        </w:rPr>
        <w:t xml:space="preserve">Poznámka: Uvedené údaje se týkají všech středních škol na území Karlovarského kraje bez ohledu na zřizovatele. </w:t>
      </w:r>
    </w:p>
    <w:p w:rsidR="00B174B8" w:rsidRPr="001F383C" w:rsidRDefault="00B174B8" w:rsidP="002C40B2">
      <w:pPr>
        <w:pStyle w:val="Zdroj"/>
        <w:spacing w:before="120" w:line="276" w:lineRule="auto"/>
        <w:rPr>
          <w:rStyle w:val="Zdraznnjemn"/>
        </w:rPr>
      </w:pPr>
      <w:r w:rsidRPr="001F383C">
        <w:rPr>
          <w:rStyle w:val="Zdraznnjemn"/>
        </w:rPr>
        <w:t>Zdroj: Úst</w:t>
      </w:r>
      <w:r w:rsidR="001F383C">
        <w:rPr>
          <w:rStyle w:val="Zdraznnjemn"/>
        </w:rPr>
        <w:t>av pro informace ve vzdělávání</w:t>
      </w:r>
    </w:p>
    <w:p w:rsidR="00B174B8" w:rsidRPr="00AE46CF" w:rsidRDefault="00B174B8" w:rsidP="002C40B2">
      <w:r w:rsidRPr="00AE46CF">
        <w:t xml:space="preserve">Úbytek počtu žáků středních škol, jejich nízká naplněnost a roztříštěnost oborů vedla k optimalizaci středních škol a školských zařízení zřizovaných Karlovarským krajem, která proběhla z největší části v roce 2006. </w:t>
      </w:r>
      <w:r>
        <w:t>Pro stabilizaci školství v Karlovarském kraji by bylo potřebné provést ještě další úpravu počtu středních škol. Tento krok je však zatím obtížně realizovatelný s ohledem na dostupnost škol pro žáky (zejména ze sociálně slabých rodin) a politickou vůli.</w:t>
      </w:r>
      <w:r w:rsidRPr="00AE46CF">
        <w:t xml:space="preserve"> </w:t>
      </w:r>
    </w:p>
    <w:p w:rsidR="00B174B8" w:rsidRPr="0018660E" w:rsidRDefault="00B174B8" w:rsidP="00DA3F4B">
      <w:r w:rsidRPr="00D14439">
        <w:rPr>
          <w:b/>
        </w:rPr>
        <w:t>Hlavním záměrem kraje je</w:t>
      </w:r>
      <w:r w:rsidRPr="00AE46CF">
        <w:t xml:space="preserve"> </w:t>
      </w:r>
      <w:r w:rsidRPr="0018660E">
        <w:rPr>
          <w:b/>
        </w:rPr>
        <w:t xml:space="preserve">stabilizace a případné úpravy </w:t>
      </w:r>
      <w:r w:rsidRPr="00AE46CF">
        <w:rPr>
          <w:b/>
        </w:rPr>
        <w:t>oborové struktury středoškolské vzdělávací nabídky s cílem zvýšit efektivitu a kvalitu vzdělávání a jeho relevanci vůči potřebám trhu práce</w:t>
      </w:r>
      <w:r>
        <w:rPr>
          <w:b/>
        </w:rPr>
        <w:t>.</w:t>
      </w:r>
      <w:r w:rsidRPr="00AE46CF">
        <w:rPr>
          <w:b/>
        </w:rPr>
        <w:t xml:space="preserve"> </w:t>
      </w:r>
      <w:r w:rsidRPr="00AE46CF">
        <w:t>Vzdělávací nabídka by měla korespondovat s potřebami zaměstnavatelů a firmy by měly spolu s krajem a středními školami vyvíjet tlak na absolventy základních škol a jejich rodiče s cílem vzdělávat žáky v oborech uplatnitelných na trhu práce, avšak s perspektivou vysoké míry flexibility jejich absolventů. Smyslem přizpůsobování nabídky škol trhu práce není vyhovět konkrétním a dílčím požadavkům zaměstnavatelů, ale nabídnout co nejmodernější vzdělávání v oborech/odvětvích, v nichž působí firmy v Karlovarském kraji.</w:t>
      </w:r>
      <w:r>
        <w:t xml:space="preserve"> Prostředkem naplnění tohoto cíle jsou realizovaná opatření, mezi která patří </w:t>
      </w:r>
      <w:r>
        <w:rPr>
          <w:b/>
        </w:rPr>
        <w:t>zavedení přijímacích zkoušek ve všech maturitních oborech vzdělání (kromě uměleckých oborů)</w:t>
      </w:r>
      <w:r>
        <w:t xml:space="preserve"> a </w:t>
      </w:r>
      <w:r>
        <w:rPr>
          <w:b/>
        </w:rPr>
        <w:t>zavedení prospěchových a motivačních stipendií pro žáky ve vybraných oborech vzdělání.</w:t>
      </w:r>
      <w:r>
        <w:t xml:space="preserve"> Mezi podpořenými obory jsou zejména technické obory, ale také např. obory pekař, řezník, zdravotnický asistent či uměleckořemeslná stavba hudebních nástrojů. </w:t>
      </w:r>
    </w:p>
    <w:p w:rsidR="00B174B8" w:rsidRDefault="00B174B8" w:rsidP="002C40B2">
      <w:r w:rsidRPr="00AE46CF">
        <w:t>Kvalitu a strukturu středních škol v Karlovarském kraji je možné hodnotit nepřímo skrze míru nezaměstnanosti jejich absolventů, která</w:t>
      </w:r>
      <w:r w:rsidRPr="00AE46CF">
        <w:rPr>
          <w:bCs/>
          <w:color w:val="000000"/>
        </w:rPr>
        <w:t xml:space="preserve"> vyjadřuje, kolik procent absolventů dané kategorie vzdělání </w:t>
      </w:r>
      <w:r w:rsidRPr="00AE46CF">
        <w:rPr>
          <w:bCs/>
          <w:color w:val="000000"/>
        </w:rPr>
        <w:lastRenderedPageBreak/>
        <w:t>či skupiny oborů zůstane bez zaměstnání</w:t>
      </w:r>
      <w:r w:rsidRPr="00AE46CF">
        <w:t>. Míra nezaměstnanosti čerstvých absolventů středních škol a vyšších odborných škol činila v dubnu 201</w:t>
      </w:r>
      <w:r>
        <w:t>5</w:t>
      </w:r>
      <w:r w:rsidRPr="00AE46CF">
        <w:t xml:space="preserve"> v Č</w:t>
      </w:r>
      <w:r>
        <w:t>R</w:t>
      </w:r>
      <w:r w:rsidRPr="00AE46CF">
        <w:t xml:space="preserve"> </w:t>
      </w:r>
      <w:r>
        <w:t>9</w:t>
      </w:r>
      <w:r w:rsidRPr="00AE46CF">
        <w:t>,</w:t>
      </w:r>
      <w:r>
        <w:t>5</w:t>
      </w:r>
      <w:r w:rsidRPr="00AE46CF">
        <w:t xml:space="preserve"> %, přičemž ji charakterizují výrazné regionální rozdíly (viz</w:t>
      </w:r>
      <w:r w:rsidR="00D14439">
        <w:t xml:space="preserve"> </w:t>
      </w:r>
      <w:r w:rsidR="004F2330">
        <w:fldChar w:fldCharType="begin"/>
      </w:r>
      <w:r w:rsidR="004F2330">
        <w:instrText xml:space="preserve"> REF _Ref468872041 \h  \* MERGEFORMAT </w:instrText>
      </w:r>
      <w:r w:rsidR="004F2330">
        <w:fldChar w:fldCharType="separate"/>
      </w:r>
      <w:r w:rsidR="00EB0944">
        <w:t>t</w:t>
      </w:r>
      <w:r w:rsidR="00CB29BD">
        <w:t xml:space="preserve">abulka </w:t>
      </w:r>
      <w:r w:rsidR="00CB29BD">
        <w:rPr>
          <w:noProof/>
        </w:rPr>
        <w:t>11</w:t>
      </w:r>
      <w:r w:rsidR="00CB29BD">
        <w:t>.3</w:t>
      </w:r>
      <w:r w:rsidR="004F2330">
        <w:fldChar w:fldCharType="end"/>
      </w:r>
      <w:r w:rsidRPr="00AE46CF">
        <w:t xml:space="preserve">). </w:t>
      </w:r>
    </w:p>
    <w:p w:rsidR="00B174B8" w:rsidRDefault="00D14439" w:rsidP="000B3B9C">
      <w:pPr>
        <w:pStyle w:val="Titulek"/>
      </w:pPr>
      <w:bookmarkStart w:id="291" w:name="_Ref468872041"/>
      <w:bookmarkStart w:id="292" w:name="_Toc488233502"/>
      <w:r>
        <w:t xml:space="preserve">Tabulka </w:t>
      </w:r>
      <w:r w:rsidR="008965FE">
        <w:fldChar w:fldCharType="begin"/>
      </w:r>
      <w:r w:rsidR="00B33DFE">
        <w:instrText xml:space="preserve"> STYLEREF 1 \s </w:instrText>
      </w:r>
      <w:r w:rsidR="008965FE">
        <w:fldChar w:fldCharType="separate"/>
      </w:r>
      <w:r w:rsidR="00CB29BD">
        <w:t>11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291"/>
      <w:r w:rsidR="00B174B8">
        <w:t>: Míra nezaměstnanosti čerstvých absolventů v letech 2013 – 2015 (v %)</w:t>
      </w:r>
      <w:bookmarkEnd w:id="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1971"/>
        <w:gridCol w:w="1971"/>
        <w:gridCol w:w="2248"/>
      </w:tblGrid>
      <w:tr w:rsidR="00B174B8" w:rsidRPr="00AE46CF" w:rsidTr="00D14439">
        <w:trPr>
          <w:trHeight w:val="273"/>
        </w:trPr>
        <w:tc>
          <w:tcPr>
            <w:tcW w:w="1668" w:type="pct"/>
            <w:vMerge w:val="restart"/>
            <w:noWrap/>
          </w:tcPr>
          <w:p w:rsidR="00B174B8" w:rsidRPr="00D14439" w:rsidRDefault="00D14439" w:rsidP="002C40B2">
            <w:pPr>
              <w:pStyle w:val="Table"/>
              <w:spacing w:after="0"/>
              <w:jc w:val="left"/>
              <w:rPr>
                <w:rFonts w:ascii="Calibri" w:hAnsi="Calibri" w:cs="Calibri"/>
                <w:b/>
                <w:sz w:val="20"/>
              </w:rPr>
            </w:pPr>
            <w:r>
              <w:rPr>
                <w:rFonts w:ascii="Calibri" w:hAnsi="Calibri" w:cs="Calibri"/>
                <w:b/>
                <w:bCs/>
                <w:sz w:val="20"/>
              </w:rPr>
              <w:t>ČR, k</w:t>
            </w:r>
            <w:r w:rsidR="00B174B8" w:rsidRPr="00D14439">
              <w:rPr>
                <w:rFonts w:ascii="Calibri" w:hAnsi="Calibri" w:cs="Calibri"/>
                <w:b/>
                <w:bCs/>
                <w:sz w:val="20"/>
              </w:rPr>
              <w:t>raj</w:t>
            </w:r>
          </w:p>
        </w:tc>
        <w:tc>
          <w:tcPr>
            <w:tcW w:w="3332" w:type="pct"/>
            <w:gridSpan w:val="3"/>
          </w:tcPr>
          <w:p w:rsidR="00B174B8" w:rsidRPr="00D14439" w:rsidRDefault="00B174B8" w:rsidP="002C40B2">
            <w:pPr>
              <w:pStyle w:val="Table"/>
              <w:spacing w:after="0"/>
              <w:jc w:val="center"/>
              <w:rPr>
                <w:rFonts w:ascii="Calibri" w:hAnsi="Calibri" w:cs="Calibri"/>
                <w:b/>
                <w:bCs/>
                <w:sz w:val="20"/>
              </w:rPr>
            </w:pPr>
            <w:r w:rsidRPr="00D14439">
              <w:rPr>
                <w:rFonts w:ascii="Calibri" w:hAnsi="Calibri" w:cs="Calibri"/>
                <w:b/>
                <w:bCs/>
                <w:sz w:val="20"/>
              </w:rPr>
              <w:t>míra nezaměstnanosti absolventů</w:t>
            </w:r>
          </w:p>
        </w:tc>
      </w:tr>
      <w:tr w:rsidR="00B174B8" w:rsidRPr="00AE46CF" w:rsidTr="00D14439">
        <w:trPr>
          <w:trHeight w:val="262"/>
        </w:trPr>
        <w:tc>
          <w:tcPr>
            <w:tcW w:w="1668" w:type="pct"/>
            <w:vMerge/>
            <w:noWrap/>
          </w:tcPr>
          <w:p w:rsidR="00B174B8" w:rsidRPr="00D14439" w:rsidRDefault="00B174B8" w:rsidP="002C40B2">
            <w:pPr>
              <w:pStyle w:val="Table"/>
              <w:spacing w:after="0"/>
              <w:jc w:val="center"/>
              <w:rPr>
                <w:rFonts w:ascii="Calibri" w:hAnsi="Calibri" w:cs="Calibri"/>
                <w:b/>
                <w:bCs/>
                <w:sz w:val="20"/>
              </w:rPr>
            </w:pPr>
          </w:p>
        </w:tc>
        <w:tc>
          <w:tcPr>
            <w:tcW w:w="1061" w:type="pct"/>
          </w:tcPr>
          <w:p w:rsidR="00B174B8" w:rsidRPr="00D14439" w:rsidRDefault="00B174B8" w:rsidP="002C40B2">
            <w:pPr>
              <w:pStyle w:val="Table"/>
              <w:spacing w:after="0"/>
              <w:jc w:val="center"/>
              <w:rPr>
                <w:rFonts w:ascii="Calibri" w:hAnsi="Calibri" w:cs="Calibri"/>
                <w:b/>
                <w:bCs/>
                <w:sz w:val="20"/>
              </w:rPr>
            </w:pPr>
            <w:r w:rsidRPr="00D14439">
              <w:rPr>
                <w:rFonts w:ascii="Calibri" w:hAnsi="Calibri" w:cs="Calibri"/>
                <w:b/>
                <w:bCs/>
                <w:sz w:val="20"/>
              </w:rPr>
              <w:t>2013</w:t>
            </w:r>
          </w:p>
        </w:tc>
        <w:tc>
          <w:tcPr>
            <w:tcW w:w="1061" w:type="pct"/>
          </w:tcPr>
          <w:p w:rsidR="00B174B8" w:rsidRPr="00D14439" w:rsidRDefault="00B174B8" w:rsidP="002C40B2">
            <w:pPr>
              <w:pStyle w:val="Table"/>
              <w:spacing w:after="0"/>
              <w:jc w:val="center"/>
              <w:rPr>
                <w:rFonts w:ascii="Calibri" w:hAnsi="Calibri" w:cs="Calibri"/>
                <w:b/>
                <w:bCs/>
                <w:sz w:val="20"/>
              </w:rPr>
            </w:pPr>
            <w:r w:rsidRPr="00D14439">
              <w:rPr>
                <w:rFonts w:ascii="Calibri" w:hAnsi="Calibri" w:cs="Calibri"/>
                <w:b/>
                <w:bCs/>
                <w:sz w:val="20"/>
              </w:rPr>
              <w:t>2014</w:t>
            </w:r>
          </w:p>
        </w:tc>
        <w:tc>
          <w:tcPr>
            <w:tcW w:w="1210" w:type="pct"/>
          </w:tcPr>
          <w:p w:rsidR="00B174B8" w:rsidRPr="00D14439" w:rsidRDefault="00B174B8" w:rsidP="002C40B2">
            <w:pPr>
              <w:pStyle w:val="Table"/>
              <w:spacing w:after="0"/>
              <w:jc w:val="center"/>
              <w:rPr>
                <w:rFonts w:ascii="Calibri" w:hAnsi="Calibri" w:cs="Calibri"/>
                <w:b/>
                <w:bCs/>
                <w:sz w:val="20"/>
              </w:rPr>
            </w:pPr>
            <w:r w:rsidRPr="00D14439">
              <w:rPr>
                <w:rFonts w:ascii="Calibri" w:hAnsi="Calibri" w:cs="Calibri"/>
                <w:b/>
                <w:bCs/>
                <w:sz w:val="20"/>
              </w:rPr>
              <w:t>2015</w:t>
            </w:r>
          </w:p>
        </w:tc>
      </w:tr>
      <w:tr w:rsidR="00B174B8" w:rsidRPr="00AE46CF" w:rsidTr="00B174B8">
        <w:trPr>
          <w:trHeight w:val="263"/>
        </w:trPr>
        <w:tc>
          <w:tcPr>
            <w:tcW w:w="1668" w:type="pct"/>
            <w:noWrap/>
            <w:vAlign w:val="center"/>
          </w:tcPr>
          <w:p w:rsidR="00B174B8" w:rsidRPr="00D14439" w:rsidRDefault="00B174B8" w:rsidP="002C40B2">
            <w:pPr>
              <w:pStyle w:val="Table"/>
              <w:spacing w:after="0"/>
              <w:jc w:val="left"/>
              <w:rPr>
                <w:rFonts w:ascii="Calibri" w:hAnsi="Calibri" w:cs="Calibri"/>
                <w:sz w:val="20"/>
              </w:rPr>
            </w:pPr>
            <w:r w:rsidRPr="00D14439">
              <w:rPr>
                <w:rFonts w:ascii="Calibri" w:hAnsi="Calibri" w:cs="Calibri"/>
                <w:sz w:val="20"/>
              </w:rPr>
              <w:t>Praha</w:t>
            </w:r>
          </w:p>
        </w:tc>
        <w:tc>
          <w:tcPr>
            <w:tcW w:w="1061" w:type="pct"/>
            <w:vAlign w:val="center"/>
          </w:tcPr>
          <w:p w:rsidR="00B174B8" w:rsidRPr="00D14439" w:rsidRDefault="00B174B8" w:rsidP="002C40B2">
            <w:pPr>
              <w:spacing w:after="0"/>
              <w:jc w:val="center"/>
              <w:rPr>
                <w:sz w:val="20"/>
                <w:szCs w:val="20"/>
              </w:rPr>
            </w:pPr>
            <w:r w:rsidRPr="00D14439">
              <w:rPr>
                <w:sz w:val="20"/>
                <w:szCs w:val="20"/>
              </w:rPr>
              <w:t>6,9</w:t>
            </w:r>
          </w:p>
        </w:tc>
        <w:tc>
          <w:tcPr>
            <w:tcW w:w="1061" w:type="pct"/>
            <w:vAlign w:val="center"/>
          </w:tcPr>
          <w:p w:rsidR="00B174B8" w:rsidRPr="00D14439" w:rsidRDefault="00B174B8" w:rsidP="002C40B2">
            <w:pPr>
              <w:spacing w:after="0"/>
              <w:jc w:val="center"/>
              <w:rPr>
                <w:sz w:val="20"/>
                <w:szCs w:val="20"/>
              </w:rPr>
            </w:pPr>
            <w:r w:rsidRPr="00D14439">
              <w:rPr>
                <w:sz w:val="20"/>
                <w:szCs w:val="20"/>
              </w:rPr>
              <w:t>5,3</w:t>
            </w:r>
          </w:p>
        </w:tc>
        <w:tc>
          <w:tcPr>
            <w:tcW w:w="1210" w:type="pct"/>
            <w:vAlign w:val="center"/>
          </w:tcPr>
          <w:p w:rsidR="00B174B8" w:rsidRPr="00D14439" w:rsidRDefault="00B174B8" w:rsidP="002C40B2">
            <w:pPr>
              <w:spacing w:after="0"/>
              <w:jc w:val="center"/>
              <w:rPr>
                <w:sz w:val="20"/>
                <w:szCs w:val="20"/>
              </w:rPr>
            </w:pPr>
            <w:r w:rsidRPr="00D14439">
              <w:rPr>
                <w:sz w:val="20"/>
                <w:szCs w:val="20"/>
              </w:rPr>
              <w:t>7,5</w:t>
            </w:r>
          </w:p>
        </w:tc>
      </w:tr>
      <w:tr w:rsidR="00B174B8" w:rsidRPr="00AE46CF" w:rsidTr="00B174B8">
        <w:trPr>
          <w:trHeight w:val="263"/>
        </w:trPr>
        <w:tc>
          <w:tcPr>
            <w:tcW w:w="1668" w:type="pct"/>
            <w:noWrap/>
            <w:vAlign w:val="center"/>
          </w:tcPr>
          <w:p w:rsidR="00B174B8" w:rsidRPr="00D14439" w:rsidRDefault="00B174B8" w:rsidP="002C40B2">
            <w:pPr>
              <w:pStyle w:val="Table"/>
              <w:spacing w:after="0"/>
              <w:jc w:val="left"/>
              <w:rPr>
                <w:rFonts w:ascii="Calibri" w:hAnsi="Calibri" w:cs="Calibri"/>
                <w:sz w:val="20"/>
              </w:rPr>
            </w:pPr>
            <w:r w:rsidRPr="00D14439">
              <w:rPr>
                <w:rFonts w:ascii="Calibri" w:hAnsi="Calibri" w:cs="Calibri"/>
                <w:sz w:val="20"/>
              </w:rPr>
              <w:t xml:space="preserve">Středočeský </w:t>
            </w:r>
          </w:p>
        </w:tc>
        <w:tc>
          <w:tcPr>
            <w:tcW w:w="1061" w:type="pct"/>
            <w:vAlign w:val="center"/>
          </w:tcPr>
          <w:p w:rsidR="00B174B8" w:rsidRPr="00D14439" w:rsidRDefault="00B174B8" w:rsidP="002C40B2">
            <w:pPr>
              <w:spacing w:after="0"/>
              <w:jc w:val="center"/>
              <w:rPr>
                <w:sz w:val="20"/>
                <w:szCs w:val="20"/>
              </w:rPr>
            </w:pPr>
            <w:r w:rsidRPr="00D14439">
              <w:rPr>
                <w:sz w:val="20"/>
                <w:szCs w:val="20"/>
              </w:rPr>
              <w:t>14,2</w:t>
            </w:r>
          </w:p>
        </w:tc>
        <w:tc>
          <w:tcPr>
            <w:tcW w:w="1061" w:type="pct"/>
            <w:vAlign w:val="center"/>
          </w:tcPr>
          <w:p w:rsidR="00B174B8" w:rsidRPr="00D14439" w:rsidRDefault="00B174B8" w:rsidP="002C40B2">
            <w:pPr>
              <w:spacing w:after="0"/>
              <w:jc w:val="center"/>
              <w:rPr>
                <w:sz w:val="20"/>
                <w:szCs w:val="20"/>
              </w:rPr>
            </w:pPr>
            <w:r w:rsidRPr="00D14439">
              <w:rPr>
                <w:sz w:val="20"/>
                <w:szCs w:val="20"/>
              </w:rPr>
              <w:t>11,6</w:t>
            </w:r>
          </w:p>
        </w:tc>
        <w:tc>
          <w:tcPr>
            <w:tcW w:w="1210" w:type="pct"/>
            <w:vAlign w:val="center"/>
          </w:tcPr>
          <w:p w:rsidR="00B174B8" w:rsidRPr="00D14439" w:rsidRDefault="00B174B8" w:rsidP="002C40B2">
            <w:pPr>
              <w:spacing w:after="0"/>
              <w:jc w:val="center"/>
              <w:rPr>
                <w:sz w:val="20"/>
                <w:szCs w:val="20"/>
              </w:rPr>
            </w:pPr>
            <w:r w:rsidRPr="00D14439">
              <w:rPr>
                <w:sz w:val="20"/>
                <w:szCs w:val="20"/>
              </w:rPr>
              <w:t>9,0</w:t>
            </w:r>
          </w:p>
        </w:tc>
      </w:tr>
      <w:tr w:rsidR="00B174B8" w:rsidRPr="00AE46CF" w:rsidTr="00B174B8">
        <w:trPr>
          <w:trHeight w:val="263"/>
        </w:trPr>
        <w:tc>
          <w:tcPr>
            <w:tcW w:w="1668" w:type="pct"/>
            <w:noWrap/>
            <w:vAlign w:val="center"/>
          </w:tcPr>
          <w:p w:rsidR="00B174B8" w:rsidRPr="00D14439" w:rsidRDefault="00B174B8" w:rsidP="002C40B2">
            <w:pPr>
              <w:pStyle w:val="Table"/>
              <w:spacing w:after="0"/>
              <w:jc w:val="left"/>
              <w:rPr>
                <w:rFonts w:ascii="Calibri" w:hAnsi="Calibri" w:cs="Calibri"/>
                <w:sz w:val="20"/>
              </w:rPr>
            </w:pPr>
            <w:r w:rsidRPr="00D14439">
              <w:rPr>
                <w:rFonts w:ascii="Calibri" w:hAnsi="Calibri" w:cs="Calibri"/>
                <w:sz w:val="20"/>
              </w:rPr>
              <w:t xml:space="preserve">Jihočeský </w:t>
            </w:r>
          </w:p>
        </w:tc>
        <w:tc>
          <w:tcPr>
            <w:tcW w:w="1061" w:type="pct"/>
            <w:vAlign w:val="center"/>
          </w:tcPr>
          <w:p w:rsidR="00B174B8" w:rsidRPr="00D14439" w:rsidRDefault="00B174B8" w:rsidP="002C40B2">
            <w:pPr>
              <w:spacing w:after="0"/>
              <w:jc w:val="center"/>
              <w:rPr>
                <w:sz w:val="20"/>
                <w:szCs w:val="20"/>
              </w:rPr>
            </w:pPr>
            <w:r w:rsidRPr="00D14439">
              <w:rPr>
                <w:sz w:val="20"/>
                <w:szCs w:val="20"/>
              </w:rPr>
              <w:t>13,8</w:t>
            </w:r>
          </w:p>
        </w:tc>
        <w:tc>
          <w:tcPr>
            <w:tcW w:w="1061" w:type="pct"/>
            <w:vAlign w:val="center"/>
          </w:tcPr>
          <w:p w:rsidR="00B174B8" w:rsidRPr="00D14439" w:rsidRDefault="00B174B8" w:rsidP="002C40B2">
            <w:pPr>
              <w:spacing w:after="0"/>
              <w:jc w:val="center"/>
              <w:rPr>
                <w:sz w:val="20"/>
                <w:szCs w:val="20"/>
              </w:rPr>
            </w:pPr>
            <w:r w:rsidRPr="00D14439">
              <w:rPr>
                <w:sz w:val="20"/>
                <w:szCs w:val="20"/>
              </w:rPr>
              <w:t>11,2</w:t>
            </w:r>
          </w:p>
        </w:tc>
        <w:tc>
          <w:tcPr>
            <w:tcW w:w="1210" w:type="pct"/>
            <w:vAlign w:val="center"/>
          </w:tcPr>
          <w:p w:rsidR="00B174B8" w:rsidRPr="00D14439" w:rsidRDefault="00B174B8" w:rsidP="002C40B2">
            <w:pPr>
              <w:spacing w:after="0"/>
              <w:jc w:val="center"/>
              <w:rPr>
                <w:sz w:val="20"/>
                <w:szCs w:val="20"/>
              </w:rPr>
            </w:pPr>
            <w:r w:rsidRPr="00D14439">
              <w:rPr>
                <w:sz w:val="20"/>
                <w:szCs w:val="20"/>
              </w:rPr>
              <w:t>7,2</w:t>
            </w:r>
          </w:p>
        </w:tc>
      </w:tr>
      <w:tr w:rsidR="00B174B8" w:rsidRPr="00AE46CF" w:rsidTr="00B174B8">
        <w:trPr>
          <w:trHeight w:val="263"/>
        </w:trPr>
        <w:tc>
          <w:tcPr>
            <w:tcW w:w="1668" w:type="pct"/>
            <w:noWrap/>
            <w:vAlign w:val="center"/>
          </w:tcPr>
          <w:p w:rsidR="00B174B8" w:rsidRPr="00D14439" w:rsidRDefault="00B174B8" w:rsidP="002C40B2">
            <w:pPr>
              <w:pStyle w:val="Table"/>
              <w:spacing w:after="0"/>
              <w:jc w:val="left"/>
              <w:rPr>
                <w:rFonts w:ascii="Calibri" w:hAnsi="Calibri" w:cs="Calibri"/>
                <w:sz w:val="20"/>
              </w:rPr>
            </w:pPr>
            <w:r w:rsidRPr="00D14439">
              <w:rPr>
                <w:rFonts w:ascii="Calibri" w:hAnsi="Calibri" w:cs="Calibri"/>
                <w:sz w:val="20"/>
              </w:rPr>
              <w:t xml:space="preserve">Plzeňský </w:t>
            </w:r>
          </w:p>
        </w:tc>
        <w:tc>
          <w:tcPr>
            <w:tcW w:w="1061" w:type="pct"/>
            <w:vAlign w:val="center"/>
          </w:tcPr>
          <w:p w:rsidR="00B174B8" w:rsidRPr="00D14439" w:rsidRDefault="00B174B8" w:rsidP="002C40B2">
            <w:pPr>
              <w:spacing w:after="0"/>
              <w:jc w:val="center"/>
              <w:rPr>
                <w:sz w:val="20"/>
                <w:szCs w:val="20"/>
              </w:rPr>
            </w:pPr>
            <w:r w:rsidRPr="00D14439">
              <w:rPr>
                <w:sz w:val="20"/>
                <w:szCs w:val="20"/>
              </w:rPr>
              <w:t>13,7</w:t>
            </w:r>
          </w:p>
        </w:tc>
        <w:tc>
          <w:tcPr>
            <w:tcW w:w="1061" w:type="pct"/>
            <w:vAlign w:val="center"/>
          </w:tcPr>
          <w:p w:rsidR="00B174B8" w:rsidRPr="00D14439" w:rsidRDefault="00B174B8" w:rsidP="002C40B2">
            <w:pPr>
              <w:spacing w:after="0"/>
              <w:jc w:val="center"/>
              <w:rPr>
                <w:sz w:val="20"/>
                <w:szCs w:val="20"/>
              </w:rPr>
            </w:pPr>
            <w:r w:rsidRPr="00D14439">
              <w:rPr>
                <w:sz w:val="20"/>
                <w:szCs w:val="20"/>
              </w:rPr>
              <w:t>8,4</w:t>
            </w:r>
          </w:p>
        </w:tc>
        <w:tc>
          <w:tcPr>
            <w:tcW w:w="1210" w:type="pct"/>
            <w:vAlign w:val="center"/>
          </w:tcPr>
          <w:p w:rsidR="00B174B8" w:rsidRPr="00D14439" w:rsidRDefault="00B174B8" w:rsidP="002C40B2">
            <w:pPr>
              <w:spacing w:after="0"/>
              <w:jc w:val="center"/>
              <w:rPr>
                <w:sz w:val="20"/>
                <w:szCs w:val="20"/>
              </w:rPr>
            </w:pPr>
            <w:r w:rsidRPr="00D14439">
              <w:rPr>
                <w:sz w:val="20"/>
                <w:szCs w:val="20"/>
              </w:rPr>
              <w:t>6,4</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b/>
                <w:bCs/>
                <w:sz w:val="20"/>
              </w:rPr>
            </w:pPr>
            <w:r w:rsidRPr="00AE46CF">
              <w:rPr>
                <w:rFonts w:ascii="Calibri" w:hAnsi="Calibri" w:cs="Calibri"/>
                <w:b/>
                <w:bCs/>
                <w:sz w:val="20"/>
              </w:rPr>
              <w:t xml:space="preserve">Karlovarský </w:t>
            </w:r>
          </w:p>
        </w:tc>
        <w:tc>
          <w:tcPr>
            <w:tcW w:w="1061" w:type="pct"/>
            <w:vAlign w:val="center"/>
          </w:tcPr>
          <w:p w:rsidR="00B174B8" w:rsidRPr="00AE46CF" w:rsidRDefault="00B174B8" w:rsidP="002C40B2">
            <w:pPr>
              <w:spacing w:after="0"/>
              <w:jc w:val="center"/>
              <w:rPr>
                <w:b/>
                <w:sz w:val="20"/>
                <w:szCs w:val="20"/>
              </w:rPr>
            </w:pPr>
            <w:r>
              <w:rPr>
                <w:b/>
                <w:sz w:val="20"/>
                <w:szCs w:val="20"/>
              </w:rPr>
              <w:t>20,5</w:t>
            </w:r>
          </w:p>
        </w:tc>
        <w:tc>
          <w:tcPr>
            <w:tcW w:w="1061" w:type="pct"/>
            <w:vAlign w:val="center"/>
          </w:tcPr>
          <w:p w:rsidR="00B174B8" w:rsidRPr="00AE46CF" w:rsidRDefault="00B174B8" w:rsidP="002C40B2">
            <w:pPr>
              <w:spacing w:after="0"/>
              <w:jc w:val="center"/>
              <w:rPr>
                <w:b/>
                <w:sz w:val="20"/>
                <w:szCs w:val="20"/>
              </w:rPr>
            </w:pPr>
            <w:r>
              <w:rPr>
                <w:b/>
                <w:sz w:val="20"/>
                <w:szCs w:val="20"/>
              </w:rPr>
              <w:t>12,8</w:t>
            </w:r>
          </w:p>
        </w:tc>
        <w:tc>
          <w:tcPr>
            <w:tcW w:w="1210" w:type="pct"/>
            <w:vAlign w:val="center"/>
          </w:tcPr>
          <w:p w:rsidR="00B174B8" w:rsidRPr="00AE46CF" w:rsidRDefault="00B174B8" w:rsidP="002C40B2">
            <w:pPr>
              <w:spacing w:after="0"/>
              <w:jc w:val="center"/>
              <w:rPr>
                <w:b/>
                <w:sz w:val="20"/>
                <w:szCs w:val="20"/>
              </w:rPr>
            </w:pPr>
            <w:r>
              <w:rPr>
                <w:b/>
                <w:sz w:val="20"/>
                <w:szCs w:val="20"/>
              </w:rPr>
              <w:t>8,2</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Ústecký </w:t>
            </w:r>
          </w:p>
        </w:tc>
        <w:tc>
          <w:tcPr>
            <w:tcW w:w="1061" w:type="pct"/>
            <w:vAlign w:val="center"/>
          </w:tcPr>
          <w:p w:rsidR="00B174B8" w:rsidRPr="00AE46CF" w:rsidRDefault="00B174B8" w:rsidP="002C40B2">
            <w:pPr>
              <w:spacing w:after="0"/>
              <w:jc w:val="center"/>
              <w:rPr>
                <w:sz w:val="20"/>
                <w:szCs w:val="20"/>
              </w:rPr>
            </w:pPr>
            <w:r>
              <w:rPr>
                <w:sz w:val="20"/>
                <w:szCs w:val="20"/>
              </w:rPr>
              <w:t>24,7</w:t>
            </w:r>
          </w:p>
        </w:tc>
        <w:tc>
          <w:tcPr>
            <w:tcW w:w="1061" w:type="pct"/>
            <w:vAlign w:val="center"/>
          </w:tcPr>
          <w:p w:rsidR="00B174B8" w:rsidRPr="00AE46CF" w:rsidRDefault="00B174B8" w:rsidP="002C40B2">
            <w:pPr>
              <w:spacing w:after="0"/>
              <w:jc w:val="center"/>
              <w:rPr>
                <w:sz w:val="20"/>
                <w:szCs w:val="20"/>
              </w:rPr>
            </w:pPr>
            <w:r>
              <w:rPr>
                <w:sz w:val="20"/>
                <w:szCs w:val="20"/>
              </w:rPr>
              <w:t>15,2</w:t>
            </w:r>
          </w:p>
        </w:tc>
        <w:tc>
          <w:tcPr>
            <w:tcW w:w="1210" w:type="pct"/>
            <w:vAlign w:val="center"/>
          </w:tcPr>
          <w:p w:rsidR="00B174B8" w:rsidRPr="00AE46CF" w:rsidRDefault="00B174B8" w:rsidP="002C40B2">
            <w:pPr>
              <w:spacing w:after="0"/>
              <w:jc w:val="center"/>
              <w:rPr>
                <w:sz w:val="20"/>
                <w:szCs w:val="20"/>
              </w:rPr>
            </w:pPr>
            <w:r>
              <w:rPr>
                <w:sz w:val="20"/>
                <w:szCs w:val="20"/>
              </w:rPr>
              <w:t>11,8</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Liberecký </w:t>
            </w:r>
          </w:p>
        </w:tc>
        <w:tc>
          <w:tcPr>
            <w:tcW w:w="1061" w:type="pct"/>
            <w:vAlign w:val="center"/>
          </w:tcPr>
          <w:p w:rsidR="00B174B8" w:rsidRPr="00AE46CF" w:rsidRDefault="00B174B8" w:rsidP="002C40B2">
            <w:pPr>
              <w:spacing w:after="0"/>
              <w:jc w:val="center"/>
              <w:rPr>
                <w:sz w:val="20"/>
                <w:szCs w:val="20"/>
              </w:rPr>
            </w:pPr>
            <w:r>
              <w:rPr>
                <w:sz w:val="20"/>
                <w:szCs w:val="20"/>
              </w:rPr>
              <w:t>18,3</w:t>
            </w:r>
          </w:p>
        </w:tc>
        <w:tc>
          <w:tcPr>
            <w:tcW w:w="1061" w:type="pct"/>
            <w:vAlign w:val="center"/>
          </w:tcPr>
          <w:p w:rsidR="00B174B8" w:rsidRPr="00AE46CF" w:rsidRDefault="00B174B8" w:rsidP="002C40B2">
            <w:pPr>
              <w:spacing w:after="0"/>
              <w:jc w:val="center"/>
              <w:rPr>
                <w:sz w:val="20"/>
                <w:szCs w:val="20"/>
              </w:rPr>
            </w:pPr>
            <w:r>
              <w:rPr>
                <w:sz w:val="20"/>
                <w:szCs w:val="20"/>
              </w:rPr>
              <w:t>13,0</w:t>
            </w:r>
          </w:p>
        </w:tc>
        <w:tc>
          <w:tcPr>
            <w:tcW w:w="1210" w:type="pct"/>
            <w:vAlign w:val="center"/>
          </w:tcPr>
          <w:p w:rsidR="00B174B8" w:rsidRPr="00AE46CF" w:rsidRDefault="00B174B8" w:rsidP="002C40B2">
            <w:pPr>
              <w:spacing w:after="0"/>
              <w:jc w:val="center"/>
              <w:rPr>
                <w:sz w:val="20"/>
                <w:szCs w:val="20"/>
              </w:rPr>
            </w:pPr>
            <w:r>
              <w:rPr>
                <w:sz w:val="20"/>
                <w:szCs w:val="20"/>
              </w:rPr>
              <w:t>10,4</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Královéhradecký </w:t>
            </w:r>
          </w:p>
        </w:tc>
        <w:tc>
          <w:tcPr>
            <w:tcW w:w="1061" w:type="pct"/>
            <w:vAlign w:val="center"/>
          </w:tcPr>
          <w:p w:rsidR="00B174B8" w:rsidRPr="00AE46CF" w:rsidRDefault="00B174B8" w:rsidP="002C40B2">
            <w:pPr>
              <w:spacing w:after="0"/>
              <w:jc w:val="center"/>
              <w:rPr>
                <w:sz w:val="20"/>
                <w:szCs w:val="20"/>
              </w:rPr>
            </w:pPr>
            <w:r>
              <w:rPr>
                <w:sz w:val="20"/>
                <w:szCs w:val="20"/>
              </w:rPr>
              <w:t>13,5</w:t>
            </w:r>
          </w:p>
        </w:tc>
        <w:tc>
          <w:tcPr>
            <w:tcW w:w="1061" w:type="pct"/>
            <w:vAlign w:val="center"/>
          </w:tcPr>
          <w:p w:rsidR="00B174B8" w:rsidRPr="00AE46CF" w:rsidRDefault="00B174B8" w:rsidP="002C40B2">
            <w:pPr>
              <w:spacing w:after="0"/>
              <w:jc w:val="center"/>
              <w:rPr>
                <w:sz w:val="20"/>
                <w:szCs w:val="20"/>
              </w:rPr>
            </w:pPr>
            <w:r>
              <w:rPr>
                <w:sz w:val="20"/>
                <w:szCs w:val="20"/>
              </w:rPr>
              <w:t>8,5</w:t>
            </w:r>
          </w:p>
        </w:tc>
        <w:tc>
          <w:tcPr>
            <w:tcW w:w="1210" w:type="pct"/>
            <w:vAlign w:val="center"/>
          </w:tcPr>
          <w:p w:rsidR="00B174B8" w:rsidRPr="00AE46CF" w:rsidRDefault="00B174B8" w:rsidP="002C40B2">
            <w:pPr>
              <w:spacing w:after="0"/>
              <w:jc w:val="center"/>
              <w:rPr>
                <w:sz w:val="20"/>
                <w:szCs w:val="20"/>
              </w:rPr>
            </w:pPr>
            <w:r>
              <w:rPr>
                <w:sz w:val="20"/>
                <w:szCs w:val="20"/>
              </w:rPr>
              <w:t>8,8</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Pardubický </w:t>
            </w:r>
          </w:p>
        </w:tc>
        <w:tc>
          <w:tcPr>
            <w:tcW w:w="1061" w:type="pct"/>
            <w:vAlign w:val="center"/>
          </w:tcPr>
          <w:p w:rsidR="00B174B8" w:rsidRPr="00AE46CF" w:rsidRDefault="00B174B8" w:rsidP="002C40B2">
            <w:pPr>
              <w:spacing w:after="0"/>
              <w:jc w:val="center"/>
              <w:rPr>
                <w:sz w:val="20"/>
                <w:szCs w:val="20"/>
              </w:rPr>
            </w:pPr>
            <w:r>
              <w:rPr>
                <w:sz w:val="20"/>
                <w:szCs w:val="20"/>
              </w:rPr>
              <w:t>15,9</w:t>
            </w:r>
          </w:p>
        </w:tc>
        <w:tc>
          <w:tcPr>
            <w:tcW w:w="1061" w:type="pct"/>
            <w:vAlign w:val="center"/>
          </w:tcPr>
          <w:p w:rsidR="00B174B8" w:rsidRPr="00AE46CF" w:rsidRDefault="00B174B8" w:rsidP="002C40B2">
            <w:pPr>
              <w:spacing w:after="0"/>
              <w:jc w:val="center"/>
              <w:rPr>
                <w:sz w:val="20"/>
                <w:szCs w:val="20"/>
              </w:rPr>
            </w:pPr>
            <w:r>
              <w:rPr>
                <w:sz w:val="20"/>
                <w:szCs w:val="20"/>
              </w:rPr>
              <w:t>11,1</w:t>
            </w:r>
          </w:p>
        </w:tc>
        <w:tc>
          <w:tcPr>
            <w:tcW w:w="1210" w:type="pct"/>
            <w:vAlign w:val="center"/>
          </w:tcPr>
          <w:p w:rsidR="00B174B8" w:rsidRPr="00AE46CF" w:rsidRDefault="00B174B8" w:rsidP="002C40B2">
            <w:pPr>
              <w:spacing w:after="0"/>
              <w:jc w:val="center"/>
              <w:rPr>
                <w:sz w:val="20"/>
                <w:szCs w:val="20"/>
              </w:rPr>
            </w:pPr>
            <w:r>
              <w:rPr>
                <w:sz w:val="20"/>
                <w:szCs w:val="20"/>
              </w:rPr>
              <w:t>8,5</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Vysočina </w:t>
            </w:r>
          </w:p>
        </w:tc>
        <w:tc>
          <w:tcPr>
            <w:tcW w:w="1061" w:type="pct"/>
            <w:vAlign w:val="center"/>
          </w:tcPr>
          <w:p w:rsidR="00B174B8" w:rsidRPr="00AE46CF" w:rsidRDefault="00B174B8" w:rsidP="002C40B2">
            <w:pPr>
              <w:spacing w:after="0"/>
              <w:jc w:val="center"/>
              <w:rPr>
                <w:sz w:val="20"/>
                <w:szCs w:val="20"/>
              </w:rPr>
            </w:pPr>
            <w:r>
              <w:rPr>
                <w:sz w:val="20"/>
                <w:szCs w:val="20"/>
              </w:rPr>
              <w:t>16,8</w:t>
            </w:r>
          </w:p>
        </w:tc>
        <w:tc>
          <w:tcPr>
            <w:tcW w:w="1061" w:type="pct"/>
            <w:vAlign w:val="center"/>
          </w:tcPr>
          <w:p w:rsidR="00B174B8" w:rsidRPr="00AE46CF" w:rsidRDefault="00B174B8" w:rsidP="002C40B2">
            <w:pPr>
              <w:spacing w:after="0"/>
              <w:jc w:val="center"/>
              <w:rPr>
                <w:sz w:val="20"/>
                <w:szCs w:val="20"/>
              </w:rPr>
            </w:pPr>
            <w:r>
              <w:rPr>
                <w:sz w:val="20"/>
                <w:szCs w:val="20"/>
              </w:rPr>
              <w:t>11,7</w:t>
            </w:r>
          </w:p>
        </w:tc>
        <w:tc>
          <w:tcPr>
            <w:tcW w:w="1210" w:type="pct"/>
            <w:vAlign w:val="center"/>
          </w:tcPr>
          <w:p w:rsidR="00B174B8" w:rsidRPr="00AE46CF" w:rsidRDefault="00B174B8" w:rsidP="002C40B2">
            <w:pPr>
              <w:spacing w:after="0"/>
              <w:jc w:val="center"/>
              <w:rPr>
                <w:sz w:val="20"/>
                <w:szCs w:val="20"/>
              </w:rPr>
            </w:pPr>
            <w:r>
              <w:rPr>
                <w:sz w:val="20"/>
                <w:szCs w:val="20"/>
              </w:rPr>
              <w:t>9,3</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Jihomoravský </w:t>
            </w:r>
          </w:p>
        </w:tc>
        <w:tc>
          <w:tcPr>
            <w:tcW w:w="1061" w:type="pct"/>
            <w:vAlign w:val="center"/>
          </w:tcPr>
          <w:p w:rsidR="00B174B8" w:rsidRPr="00AE46CF" w:rsidRDefault="00B174B8" w:rsidP="002C40B2">
            <w:pPr>
              <w:spacing w:after="0"/>
              <w:jc w:val="center"/>
              <w:rPr>
                <w:sz w:val="20"/>
                <w:szCs w:val="20"/>
              </w:rPr>
            </w:pPr>
            <w:r>
              <w:rPr>
                <w:sz w:val="20"/>
                <w:szCs w:val="20"/>
              </w:rPr>
              <w:t>17,9</w:t>
            </w:r>
          </w:p>
        </w:tc>
        <w:tc>
          <w:tcPr>
            <w:tcW w:w="1061" w:type="pct"/>
            <w:vAlign w:val="center"/>
          </w:tcPr>
          <w:p w:rsidR="00B174B8" w:rsidRPr="00AE46CF" w:rsidRDefault="00B174B8" w:rsidP="002C40B2">
            <w:pPr>
              <w:spacing w:after="0"/>
              <w:jc w:val="center"/>
              <w:rPr>
                <w:sz w:val="20"/>
                <w:szCs w:val="20"/>
              </w:rPr>
            </w:pPr>
            <w:r>
              <w:rPr>
                <w:sz w:val="20"/>
                <w:szCs w:val="20"/>
              </w:rPr>
              <w:t>14,0</w:t>
            </w:r>
          </w:p>
        </w:tc>
        <w:tc>
          <w:tcPr>
            <w:tcW w:w="1210" w:type="pct"/>
            <w:vAlign w:val="center"/>
          </w:tcPr>
          <w:p w:rsidR="00B174B8" w:rsidRPr="00AE46CF" w:rsidRDefault="00B174B8" w:rsidP="002C40B2">
            <w:pPr>
              <w:spacing w:after="0"/>
              <w:jc w:val="center"/>
              <w:rPr>
                <w:sz w:val="20"/>
                <w:szCs w:val="20"/>
              </w:rPr>
            </w:pPr>
            <w:r>
              <w:rPr>
                <w:sz w:val="20"/>
                <w:szCs w:val="20"/>
              </w:rPr>
              <w:t>11,7</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Olomoucký </w:t>
            </w:r>
          </w:p>
        </w:tc>
        <w:tc>
          <w:tcPr>
            <w:tcW w:w="1061" w:type="pct"/>
            <w:vAlign w:val="center"/>
          </w:tcPr>
          <w:p w:rsidR="00B174B8" w:rsidRPr="00AE46CF" w:rsidRDefault="00B174B8" w:rsidP="002C40B2">
            <w:pPr>
              <w:spacing w:after="0"/>
              <w:jc w:val="center"/>
              <w:rPr>
                <w:sz w:val="20"/>
                <w:szCs w:val="20"/>
              </w:rPr>
            </w:pPr>
            <w:r>
              <w:rPr>
                <w:sz w:val="20"/>
                <w:szCs w:val="20"/>
              </w:rPr>
              <w:t>20,5</w:t>
            </w:r>
          </w:p>
        </w:tc>
        <w:tc>
          <w:tcPr>
            <w:tcW w:w="1061" w:type="pct"/>
            <w:vAlign w:val="center"/>
          </w:tcPr>
          <w:p w:rsidR="00B174B8" w:rsidRPr="00AE46CF" w:rsidRDefault="00B174B8" w:rsidP="002C40B2">
            <w:pPr>
              <w:spacing w:after="0"/>
              <w:jc w:val="center"/>
              <w:rPr>
                <w:sz w:val="20"/>
                <w:szCs w:val="20"/>
              </w:rPr>
            </w:pPr>
            <w:r>
              <w:rPr>
                <w:sz w:val="20"/>
                <w:szCs w:val="20"/>
              </w:rPr>
              <w:t>13,4</w:t>
            </w:r>
          </w:p>
        </w:tc>
        <w:tc>
          <w:tcPr>
            <w:tcW w:w="1210" w:type="pct"/>
            <w:vAlign w:val="center"/>
          </w:tcPr>
          <w:p w:rsidR="00B174B8" w:rsidRPr="00AE46CF" w:rsidRDefault="00B174B8" w:rsidP="002C40B2">
            <w:pPr>
              <w:spacing w:after="0"/>
              <w:jc w:val="center"/>
              <w:rPr>
                <w:sz w:val="20"/>
                <w:szCs w:val="20"/>
              </w:rPr>
            </w:pPr>
            <w:r>
              <w:rPr>
                <w:sz w:val="20"/>
                <w:szCs w:val="20"/>
              </w:rPr>
              <w:t>10,1</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Zlínský </w:t>
            </w:r>
          </w:p>
        </w:tc>
        <w:tc>
          <w:tcPr>
            <w:tcW w:w="1061" w:type="pct"/>
            <w:vAlign w:val="center"/>
          </w:tcPr>
          <w:p w:rsidR="00B174B8" w:rsidRPr="00AE46CF" w:rsidRDefault="00B174B8" w:rsidP="002C40B2">
            <w:pPr>
              <w:spacing w:after="0"/>
              <w:jc w:val="center"/>
              <w:rPr>
                <w:sz w:val="20"/>
                <w:szCs w:val="20"/>
              </w:rPr>
            </w:pPr>
            <w:r>
              <w:rPr>
                <w:sz w:val="20"/>
                <w:szCs w:val="20"/>
              </w:rPr>
              <w:t>15,5</w:t>
            </w:r>
          </w:p>
        </w:tc>
        <w:tc>
          <w:tcPr>
            <w:tcW w:w="1061" w:type="pct"/>
            <w:vAlign w:val="center"/>
          </w:tcPr>
          <w:p w:rsidR="00B174B8" w:rsidRPr="00AE46CF" w:rsidRDefault="00B174B8" w:rsidP="002C40B2">
            <w:pPr>
              <w:spacing w:after="0"/>
              <w:jc w:val="center"/>
              <w:rPr>
                <w:sz w:val="20"/>
                <w:szCs w:val="20"/>
              </w:rPr>
            </w:pPr>
            <w:r>
              <w:rPr>
                <w:sz w:val="20"/>
                <w:szCs w:val="20"/>
              </w:rPr>
              <w:t>13,2</w:t>
            </w:r>
          </w:p>
        </w:tc>
        <w:tc>
          <w:tcPr>
            <w:tcW w:w="1210" w:type="pct"/>
            <w:vAlign w:val="center"/>
          </w:tcPr>
          <w:p w:rsidR="00B174B8" w:rsidRPr="00AE46CF" w:rsidRDefault="00B174B8" w:rsidP="002C40B2">
            <w:pPr>
              <w:spacing w:after="0"/>
              <w:jc w:val="center"/>
              <w:rPr>
                <w:sz w:val="20"/>
                <w:szCs w:val="20"/>
              </w:rPr>
            </w:pPr>
            <w:r>
              <w:rPr>
                <w:sz w:val="20"/>
                <w:szCs w:val="20"/>
              </w:rPr>
              <w:t>9,7</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sz w:val="20"/>
              </w:rPr>
            </w:pPr>
            <w:r w:rsidRPr="00AE46CF">
              <w:rPr>
                <w:rFonts w:ascii="Calibri" w:hAnsi="Calibri" w:cs="Calibri"/>
                <w:sz w:val="20"/>
              </w:rPr>
              <w:t xml:space="preserve">Moravskoslezský </w:t>
            </w:r>
          </w:p>
        </w:tc>
        <w:tc>
          <w:tcPr>
            <w:tcW w:w="1061" w:type="pct"/>
            <w:vAlign w:val="center"/>
          </w:tcPr>
          <w:p w:rsidR="00B174B8" w:rsidRPr="00AE46CF" w:rsidRDefault="00B174B8" w:rsidP="002C40B2">
            <w:pPr>
              <w:spacing w:after="0"/>
              <w:jc w:val="center"/>
              <w:rPr>
                <w:sz w:val="20"/>
                <w:szCs w:val="20"/>
              </w:rPr>
            </w:pPr>
            <w:r>
              <w:rPr>
                <w:sz w:val="20"/>
                <w:szCs w:val="20"/>
              </w:rPr>
              <w:t>18,6</w:t>
            </w:r>
          </w:p>
        </w:tc>
        <w:tc>
          <w:tcPr>
            <w:tcW w:w="1061" w:type="pct"/>
            <w:vAlign w:val="center"/>
          </w:tcPr>
          <w:p w:rsidR="00B174B8" w:rsidRPr="00AE46CF" w:rsidRDefault="00B174B8" w:rsidP="002C40B2">
            <w:pPr>
              <w:spacing w:after="0"/>
              <w:jc w:val="center"/>
              <w:rPr>
                <w:sz w:val="20"/>
                <w:szCs w:val="20"/>
              </w:rPr>
            </w:pPr>
            <w:r>
              <w:rPr>
                <w:sz w:val="20"/>
                <w:szCs w:val="20"/>
              </w:rPr>
              <w:t>15,5</w:t>
            </w:r>
          </w:p>
        </w:tc>
        <w:tc>
          <w:tcPr>
            <w:tcW w:w="1210" w:type="pct"/>
            <w:vAlign w:val="center"/>
          </w:tcPr>
          <w:p w:rsidR="00B174B8" w:rsidRPr="00AE46CF" w:rsidRDefault="00B174B8" w:rsidP="002C40B2">
            <w:pPr>
              <w:spacing w:after="0"/>
              <w:jc w:val="center"/>
              <w:rPr>
                <w:sz w:val="20"/>
                <w:szCs w:val="20"/>
              </w:rPr>
            </w:pPr>
            <w:r>
              <w:rPr>
                <w:sz w:val="20"/>
                <w:szCs w:val="20"/>
              </w:rPr>
              <w:t>11,9</w:t>
            </w:r>
          </w:p>
        </w:tc>
      </w:tr>
      <w:tr w:rsidR="00B174B8" w:rsidRPr="00AE46CF" w:rsidTr="00B174B8">
        <w:trPr>
          <w:trHeight w:val="263"/>
        </w:trPr>
        <w:tc>
          <w:tcPr>
            <w:tcW w:w="1668" w:type="pct"/>
            <w:noWrap/>
            <w:vAlign w:val="center"/>
          </w:tcPr>
          <w:p w:rsidR="00B174B8" w:rsidRPr="00AE46CF" w:rsidRDefault="00B174B8" w:rsidP="002C40B2">
            <w:pPr>
              <w:pStyle w:val="Table"/>
              <w:spacing w:after="0"/>
              <w:jc w:val="left"/>
              <w:rPr>
                <w:rFonts w:ascii="Calibri" w:hAnsi="Calibri" w:cs="Calibri"/>
                <w:b/>
                <w:bCs/>
                <w:sz w:val="20"/>
              </w:rPr>
            </w:pPr>
            <w:r w:rsidRPr="00AE46CF">
              <w:rPr>
                <w:rFonts w:ascii="Calibri" w:hAnsi="Calibri" w:cs="Calibri"/>
                <w:b/>
                <w:bCs/>
                <w:sz w:val="20"/>
              </w:rPr>
              <w:t>Č</w:t>
            </w:r>
            <w:r w:rsidR="00D14439">
              <w:rPr>
                <w:rFonts w:ascii="Calibri" w:hAnsi="Calibri" w:cs="Calibri"/>
                <w:b/>
                <w:bCs/>
                <w:sz w:val="20"/>
              </w:rPr>
              <w:t>R</w:t>
            </w:r>
          </w:p>
        </w:tc>
        <w:tc>
          <w:tcPr>
            <w:tcW w:w="1061" w:type="pct"/>
            <w:vAlign w:val="center"/>
          </w:tcPr>
          <w:p w:rsidR="00B174B8" w:rsidRPr="00AE46CF" w:rsidRDefault="00B174B8" w:rsidP="002C40B2">
            <w:pPr>
              <w:spacing w:after="0"/>
              <w:jc w:val="center"/>
              <w:rPr>
                <w:b/>
                <w:sz w:val="20"/>
                <w:szCs w:val="20"/>
              </w:rPr>
            </w:pPr>
            <w:r>
              <w:rPr>
                <w:b/>
                <w:bCs/>
                <w:color w:val="000000"/>
                <w:sz w:val="20"/>
                <w:szCs w:val="20"/>
              </w:rPr>
              <w:t>16</w:t>
            </w:r>
            <w:r w:rsidRPr="00AE46CF">
              <w:rPr>
                <w:b/>
                <w:bCs/>
                <w:color w:val="000000"/>
                <w:sz w:val="20"/>
                <w:szCs w:val="20"/>
              </w:rPr>
              <w:t>,</w:t>
            </w:r>
            <w:r>
              <w:rPr>
                <w:b/>
                <w:bCs/>
                <w:color w:val="000000"/>
                <w:sz w:val="20"/>
                <w:szCs w:val="20"/>
              </w:rPr>
              <w:t>2</w:t>
            </w:r>
          </w:p>
        </w:tc>
        <w:tc>
          <w:tcPr>
            <w:tcW w:w="1061" w:type="pct"/>
            <w:vAlign w:val="center"/>
          </w:tcPr>
          <w:p w:rsidR="00B174B8" w:rsidRPr="00AE46CF" w:rsidRDefault="00B174B8" w:rsidP="002C40B2">
            <w:pPr>
              <w:spacing w:after="0"/>
              <w:jc w:val="center"/>
              <w:rPr>
                <w:b/>
                <w:sz w:val="20"/>
                <w:szCs w:val="20"/>
              </w:rPr>
            </w:pPr>
            <w:r w:rsidRPr="00AE46CF">
              <w:rPr>
                <w:b/>
                <w:bCs/>
                <w:color w:val="000000"/>
                <w:sz w:val="20"/>
                <w:szCs w:val="20"/>
              </w:rPr>
              <w:t>1</w:t>
            </w:r>
            <w:r>
              <w:rPr>
                <w:b/>
                <w:bCs/>
                <w:color w:val="000000"/>
                <w:sz w:val="20"/>
                <w:szCs w:val="20"/>
              </w:rPr>
              <w:t>1</w:t>
            </w:r>
            <w:r w:rsidRPr="00AE46CF">
              <w:rPr>
                <w:b/>
                <w:bCs/>
                <w:color w:val="000000"/>
                <w:sz w:val="20"/>
                <w:szCs w:val="20"/>
              </w:rPr>
              <w:t>,</w:t>
            </w:r>
            <w:r>
              <w:rPr>
                <w:b/>
                <w:bCs/>
                <w:color w:val="000000"/>
                <w:sz w:val="20"/>
                <w:szCs w:val="20"/>
              </w:rPr>
              <w:t>7</w:t>
            </w:r>
          </w:p>
        </w:tc>
        <w:tc>
          <w:tcPr>
            <w:tcW w:w="1210" w:type="pct"/>
            <w:vAlign w:val="center"/>
          </w:tcPr>
          <w:p w:rsidR="00B174B8" w:rsidRPr="00AE46CF" w:rsidRDefault="00B174B8" w:rsidP="002C40B2">
            <w:pPr>
              <w:spacing w:after="0"/>
              <w:jc w:val="center"/>
              <w:rPr>
                <w:b/>
                <w:bCs/>
                <w:sz w:val="20"/>
                <w:szCs w:val="20"/>
              </w:rPr>
            </w:pPr>
            <w:r>
              <w:rPr>
                <w:b/>
                <w:bCs/>
                <w:sz w:val="20"/>
                <w:szCs w:val="20"/>
              </w:rPr>
              <w:t>9</w:t>
            </w:r>
            <w:r w:rsidRPr="00AE46CF">
              <w:rPr>
                <w:b/>
                <w:bCs/>
                <w:sz w:val="20"/>
                <w:szCs w:val="20"/>
              </w:rPr>
              <w:t>,</w:t>
            </w:r>
            <w:r>
              <w:rPr>
                <w:b/>
                <w:bCs/>
                <w:sz w:val="20"/>
                <w:szCs w:val="20"/>
              </w:rPr>
              <w:t>5</w:t>
            </w:r>
          </w:p>
        </w:tc>
      </w:tr>
    </w:tbl>
    <w:p w:rsidR="00B174B8" w:rsidRPr="00AE46CF" w:rsidRDefault="00B174B8" w:rsidP="002C40B2">
      <w:pPr>
        <w:pStyle w:val="poznzdroj"/>
        <w:spacing w:after="0" w:line="276" w:lineRule="auto"/>
      </w:pPr>
      <w:r w:rsidRPr="00AE46CF">
        <w:t xml:space="preserve">Poznámka: Míra nezaměstnanosti absolventů škol v kraji je definována jako podíl počtu nezaměstnaných absolventů škol v kraji (bez ohledu na to, v kterém kraji Česka jsou evidováni na Úřadu práce) k počtu absolventů, kteří se připravovali na školách v daném kraji. Počet nezaměstnaných absolventů zahrnuje pouze „čerstvé“ absolventy středních a vyšších odborných škol, kteří ukončili studium nejvýše rok před okamžikem zjišťování, v tomto případě nejpozději v květnu předchozího roku. </w:t>
      </w:r>
    </w:p>
    <w:p w:rsidR="009E424D" w:rsidRDefault="00B174B8">
      <w:pPr>
        <w:pStyle w:val="poznzdroj"/>
        <w:spacing w:before="0" w:line="276" w:lineRule="auto"/>
        <w:rPr>
          <w:szCs w:val="20"/>
        </w:rPr>
      </w:pPr>
      <w:r w:rsidRPr="00D14439">
        <w:rPr>
          <w:szCs w:val="20"/>
        </w:rPr>
        <w:t xml:space="preserve">Zdroj: ČSÚ – Zaměstnanost a nezaměstnanost v ČR podle výsledků výběrového šetření pracovních sil 2016, </w:t>
      </w:r>
      <w:r w:rsidR="00F42210">
        <w:rPr>
          <w:szCs w:val="20"/>
        </w:rPr>
        <w:br/>
      </w:r>
      <w:r w:rsidRPr="00D14439">
        <w:rPr>
          <w:szCs w:val="20"/>
        </w:rPr>
        <w:t>NÚV – Vzděláv</w:t>
      </w:r>
      <w:r w:rsidR="00D14439">
        <w:rPr>
          <w:szCs w:val="20"/>
        </w:rPr>
        <w:t>ání a trh práce v krajích ČR,</w:t>
      </w:r>
      <w:r w:rsidRPr="00D14439">
        <w:rPr>
          <w:szCs w:val="20"/>
        </w:rPr>
        <w:t xml:space="preserve"> Nezaměstnanost absolventů středních a vyšších odborných škol v krajích ČR </w:t>
      </w:r>
    </w:p>
    <w:p w:rsidR="00B174B8" w:rsidRDefault="00B174B8" w:rsidP="002C40B2">
      <w:r>
        <w:t xml:space="preserve">V </w:t>
      </w:r>
      <w:r w:rsidRPr="00AE46CF">
        <w:t>Karlovarsk</w:t>
      </w:r>
      <w:r>
        <w:t>ém</w:t>
      </w:r>
      <w:r w:rsidRPr="00AE46CF">
        <w:t xml:space="preserve"> kraj</w:t>
      </w:r>
      <w:r>
        <w:t xml:space="preserve">i došlo od roku 2013 do roku 2015 k výraznému </w:t>
      </w:r>
      <w:r w:rsidRPr="00D14439">
        <w:rPr>
          <w:b/>
        </w:rPr>
        <w:t>poklesu míry</w:t>
      </w:r>
      <w:r w:rsidRPr="00AE46CF">
        <w:rPr>
          <w:b/>
        </w:rPr>
        <w:t xml:space="preserve"> nezaměstnanosti </w:t>
      </w:r>
      <w:r>
        <w:rPr>
          <w:b/>
        </w:rPr>
        <w:t xml:space="preserve">absolventů </w:t>
      </w:r>
      <w:r w:rsidRPr="00BC48A0">
        <w:t>(z 20,5 % na 8,2 %)</w:t>
      </w:r>
      <w:r w:rsidRPr="00AE46CF">
        <w:t xml:space="preserve">. Mezi faktory, které míru nezaměstnanosti absolventů významně ovlivňují, patří celková míra nezaměstnanosti ekonomicky aktivního obyvatelstva. Přitom většinou platí, že absolventi v krajích s nižší celkovou mírou nezaměstnanosti se uplatňují na trhu práce lépe než absolventi v krajích s vyšší nezaměstnaností. </w:t>
      </w:r>
      <w:r>
        <w:t>Vliv na pokles míry nezaměstnanosti absolventů má také již zmíněná optimalizace středních škol a stabilizace oborové struktury, která odráží potřeby trhu práce.</w:t>
      </w:r>
      <w:r w:rsidRPr="00AE46CF">
        <w:t xml:space="preserve"> </w:t>
      </w:r>
      <w:r>
        <w:t>Dalším významným faktorem je hospodářský cyklus</w:t>
      </w:r>
      <w:r w:rsidRPr="00AC07A9">
        <w:t>, kdy hospodářský</w:t>
      </w:r>
      <w:r>
        <w:t xml:space="preserve"> růst České republiky od roku 2013 výrazně snížil nezaměstnanost obyvatel vč. absolventů některých škol. </w:t>
      </w:r>
    </w:p>
    <w:p w:rsidR="00AC07A9" w:rsidRDefault="00B174B8" w:rsidP="000562C0">
      <w:r w:rsidRPr="00AE46CF">
        <w:t xml:space="preserve">Míra nezaměstnanosti absolventů je silně ovlivněna úrovní vzdělání. Obecně se ukazuje, že </w:t>
      </w:r>
      <w:r w:rsidRPr="00AE46CF">
        <w:rPr>
          <w:bCs/>
        </w:rPr>
        <w:t>čím vyššího vzdělání mladý člověk dosahuje, tím lépe se uplatňuje na trhu práce</w:t>
      </w:r>
      <w:r w:rsidRPr="00AE46CF">
        <w:t>. Vývoj míry nezaměstnanosti absolventů z hlediska vzdělanostní struktury v Karlovarském kraji v porovnání s Č</w:t>
      </w:r>
      <w:r>
        <w:t>R</w:t>
      </w:r>
      <w:r w:rsidRPr="00AE46CF">
        <w:t xml:space="preserve"> ukazuje</w:t>
      </w:r>
      <w:r w:rsidR="00DA707D">
        <w:t xml:space="preserve"> </w:t>
      </w:r>
      <w:r w:rsidR="008965FE">
        <w:fldChar w:fldCharType="begin"/>
      </w:r>
      <w:r w:rsidR="00DA707D">
        <w:instrText xml:space="preserve"> REF _Ref491864186 \h </w:instrText>
      </w:r>
      <w:r w:rsidR="008965FE">
        <w:fldChar w:fldCharType="separate"/>
      </w:r>
      <w:r w:rsidR="00DA707D">
        <w:t>g</w:t>
      </w:r>
      <w:r w:rsidR="00DA707D" w:rsidRPr="00F65FDF">
        <w:t xml:space="preserve">raf </w:t>
      </w:r>
      <w:r w:rsidR="00DA707D">
        <w:t>11.2</w:t>
      </w:r>
      <w:r w:rsidR="008965FE">
        <w:fldChar w:fldCharType="end"/>
      </w:r>
      <w:r>
        <w:t>. H</w:t>
      </w:r>
      <w:r w:rsidRPr="00AE46CF">
        <w:t>odnoty nezaměstnanosti v členění nejen podle kategorie vzdělání, ale také podle skupin oborů vzdělání</w:t>
      </w:r>
      <w:r>
        <w:t xml:space="preserve"> jsou uvedeny v </w:t>
      </w:r>
      <w:r w:rsidR="004F2330">
        <w:fldChar w:fldCharType="begin"/>
      </w:r>
      <w:r w:rsidR="004F2330">
        <w:instrText xml:space="preserve"> REF _Ref468872707 \h  \* MERGEFORMAT </w:instrText>
      </w:r>
      <w:r w:rsidR="004F2330">
        <w:fldChar w:fldCharType="separate"/>
      </w:r>
      <w:r w:rsidR="00DA707D">
        <w:t>příloze</w:t>
      </w:r>
      <w:r w:rsidR="00CB29BD" w:rsidRPr="00AE46CF">
        <w:t xml:space="preserve"> </w:t>
      </w:r>
      <w:r w:rsidR="00CB29BD">
        <w:t>5</w:t>
      </w:r>
      <w:r w:rsidR="004F2330">
        <w:fldChar w:fldCharType="end"/>
      </w:r>
      <w:r w:rsidR="00AC07A9">
        <w:t>.</w:t>
      </w:r>
      <w:bookmarkStart w:id="293" w:name="_Ref317496713"/>
      <w:bookmarkStart w:id="294" w:name="_Toc310604032"/>
      <w:bookmarkStart w:id="295" w:name="_Toc310604098"/>
      <w:bookmarkStart w:id="296" w:name="_Toc321406404"/>
    </w:p>
    <w:p w:rsidR="00B174B8" w:rsidRPr="00472777" w:rsidRDefault="00B174B8" w:rsidP="000B3B9C">
      <w:pPr>
        <w:pStyle w:val="Titulek"/>
      </w:pPr>
      <w:bookmarkStart w:id="297" w:name="_Ref491864186"/>
      <w:bookmarkStart w:id="298" w:name="_Toc488234370"/>
      <w:r w:rsidRPr="00472777">
        <w:lastRenderedPageBreak/>
        <w:t>G</w:t>
      </w:r>
      <w:r w:rsidRPr="00F65FDF">
        <w:t xml:space="preserve">raf </w:t>
      </w:r>
      <w:r w:rsidR="008965FE">
        <w:fldChar w:fldCharType="begin"/>
      </w:r>
      <w:r w:rsidR="00FD378B">
        <w:instrText xml:space="preserve"> STYLEREF 1 \s </w:instrText>
      </w:r>
      <w:r w:rsidR="008965FE">
        <w:fldChar w:fldCharType="separate"/>
      </w:r>
      <w:r w:rsidR="00CB29BD">
        <w:t>11</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bookmarkEnd w:id="293"/>
      <w:bookmarkEnd w:id="297"/>
      <w:r w:rsidRPr="00F65FDF">
        <w:t>: Míra nezaměstnanosti absolventů v Karlovarském kraji v letech 2011 až 2015 podle úrovně dosaženého vzdělání (denní studium, dubnové hodnoty)</w:t>
      </w:r>
      <w:bookmarkEnd w:id="294"/>
      <w:bookmarkEnd w:id="295"/>
      <w:bookmarkEnd w:id="296"/>
      <w:bookmarkEnd w:id="298"/>
    </w:p>
    <w:p w:rsidR="00AC07A9" w:rsidRDefault="00AC07A9" w:rsidP="002C40B2">
      <w:r>
        <w:rPr>
          <w:noProof/>
        </w:rPr>
        <w:drawing>
          <wp:inline distT="0" distB="0" distL="0" distR="0">
            <wp:extent cx="5830784" cy="3236915"/>
            <wp:effectExtent l="0" t="0" r="0" b="190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32494" cy="3237865"/>
                    </a:xfrm>
                    <a:prstGeom prst="rect">
                      <a:avLst/>
                    </a:prstGeom>
                    <a:noFill/>
                  </pic:spPr>
                </pic:pic>
              </a:graphicData>
            </a:graphic>
          </wp:inline>
        </w:drawing>
      </w:r>
    </w:p>
    <w:p w:rsidR="00B174B8" w:rsidRPr="00AE46CF" w:rsidRDefault="00B174B8" w:rsidP="002C40B2">
      <w:pPr>
        <w:pStyle w:val="poznzdroj"/>
        <w:spacing w:after="0" w:line="276" w:lineRule="auto"/>
      </w:pPr>
      <w:r w:rsidRPr="00AE46CF">
        <w:t xml:space="preserve">Poznámka: Míra nezaměstnanosti absolventů škol v kraji (viz poznámka </w:t>
      </w:r>
      <w:r w:rsidR="00AC07A9">
        <w:t>u předchozího grafu).</w:t>
      </w:r>
    </w:p>
    <w:p w:rsidR="009E424D" w:rsidRDefault="00B174B8">
      <w:pPr>
        <w:pStyle w:val="poznzdroj"/>
        <w:spacing w:before="0" w:line="276" w:lineRule="auto"/>
      </w:pPr>
      <w:r w:rsidRPr="00D14439">
        <w:t>Zdroj: NÚV – Vzdělávání a trh práce v krajích ČR, Nezaměstnanost absolventů středních a vyšší</w:t>
      </w:r>
      <w:r w:rsidR="00AC07A9">
        <w:t>ch odborných škol v krajích ČR</w:t>
      </w:r>
    </w:p>
    <w:p w:rsidR="00B174B8" w:rsidRPr="006F35ED" w:rsidRDefault="00B174B8" w:rsidP="002C40B2">
      <w:pPr>
        <w:rPr>
          <w:color w:val="000000"/>
        </w:rPr>
      </w:pPr>
      <w:r w:rsidRPr="00AE46CF">
        <w:t xml:space="preserve">Porovnáme-li míry nezaměstnanosti absolventů Karlovarského kraje podle kategorií dosaženého vzdělání, </w:t>
      </w:r>
      <w:r w:rsidRPr="00AE46CF">
        <w:rPr>
          <w:bCs/>
        </w:rPr>
        <w:t>nižší míry nezaměstnanosti v kraji vykazují absolventi s vyšší kategorií vzdělání</w:t>
      </w:r>
      <w:r w:rsidRPr="00AE46CF">
        <w:rPr>
          <w:b/>
          <w:bCs/>
        </w:rPr>
        <w:t xml:space="preserve"> </w:t>
      </w:r>
      <w:r w:rsidRPr="00AE46CF">
        <w:t xml:space="preserve">– absolventi </w:t>
      </w:r>
      <w:r>
        <w:t xml:space="preserve">gymnázií a </w:t>
      </w:r>
      <w:r w:rsidRPr="00AE46CF">
        <w:t xml:space="preserve">maturitních oborů středních odborných škol a absolventi vyšších odborných škol. </w:t>
      </w:r>
      <w:r w:rsidRPr="00AE46CF">
        <w:rPr>
          <w:color w:val="000000"/>
        </w:rPr>
        <w:t xml:space="preserve">Je to zčásti dáno i tím, že větší část těchto </w:t>
      </w:r>
      <w:r w:rsidRPr="00075B57">
        <w:t xml:space="preserve">absolventů pokračuje ve studiu. </w:t>
      </w:r>
      <w:r>
        <w:t>V</w:t>
      </w:r>
      <w:r w:rsidRPr="00075B57">
        <w:t xml:space="preserve">  roce </w:t>
      </w:r>
      <w:r>
        <w:t xml:space="preserve">2015 došlo </w:t>
      </w:r>
      <w:r w:rsidRPr="00075B57">
        <w:t>k obratu, kdy kromě absolventů vyššího</w:t>
      </w:r>
      <w:r>
        <w:rPr>
          <w:color w:val="000000"/>
        </w:rPr>
        <w:t xml:space="preserve"> odborného vzdělání a absolventů gymnázií, </w:t>
      </w:r>
      <w:r w:rsidRPr="004300C6">
        <w:rPr>
          <w:color w:val="000000"/>
        </w:rPr>
        <w:t xml:space="preserve">vykazují absolventi v Karlovarském kraji nižší míru nezaměstnanosti ve </w:t>
      </w:r>
      <w:r w:rsidRPr="004300C6">
        <w:rPr>
          <w:bCs/>
        </w:rPr>
        <w:t xml:space="preserve">srovnání s nezaměstnaností </w:t>
      </w:r>
      <w:r w:rsidRPr="004300C6">
        <w:t>absolventů v celé ČR.</w:t>
      </w:r>
      <w:r w:rsidRPr="003E2859">
        <w:rPr>
          <w:color w:val="000000"/>
        </w:rPr>
        <w:t xml:space="preserve"> </w:t>
      </w:r>
    </w:p>
    <w:p w:rsidR="00B174B8" w:rsidRDefault="00B174B8" w:rsidP="002C40B2">
      <w:r>
        <w:t>N</w:t>
      </w:r>
      <w:r w:rsidRPr="00AE46CF">
        <w:t xml:space="preserve">ezaměstnanost absolventů středních odborných učilišť a středních odborných škol s maturitou je </w:t>
      </w:r>
      <w:r>
        <w:t xml:space="preserve">přitom </w:t>
      </w:r>
      <w:r w:rsidRPr="00AE46CF">
        <w:t>v  rozporu s potřebami zaměstnavatelů</w:t>
      </w:r>
      <w:r>
        <w:t xml:space="preserve"> v kraji. Z</w:t>
      </w:r>
      <w:r>
        <w:rPr>
          <w:bCs/>
        </w:rPr>
        <w:t xml:space="preserve"> d</w:t>
      </w:r>
      <w:r>
        <w:t>otazníkového šetření</w:t>
      </w:r>
      <w:r w:rsidRPr="00AE46CF">
        <w:t xml:space="preserve"> </w:t>
      </w:r>
      <w:r w:rsidR="00AC07A9" w:rsidRPr="00AC07A9">
        <w:rPr>
          <w:i/>
        </w:rPr>
        <w:t>P</w:t>
      </w:r>
      <w:r w:rsidRPr="00AC07A9">
        <w:rPr>
          <w:i/>
        </w:rPr>
        <w:t>odpora technického vzdělávání v Karlovarském kraji</w:t>
      </w:r>
      <w:r>
        <w:t>, jež realizovala Krajská hospodářská komora Karlovarského kraje mezi zaměstnavateli v březnu 2015, totiž vyplynulo, že</w:t>
      </w:r>
      <w:r w:rsidRPr="00AE46CF">
        <w:t xml:space="preserve"> poptávají zejména tento typ absolventů. Tato skutečnost nasvědčuje tomu, že </w:t>
      </w:r>
      <w:r w:rsidRPr="00AE46CF">
        <w:rPr>
          <w:b/>
        </w:rPr>
        <w:t>odborné školy opouštějí absolventi, kteří se svojí kvalifikací obtížně uplatňují na trhu práce</w:t>
      </w:r>
      <w:r w:rsidRPr="00AE46CF">
        <w:t>. Některé firmy poukazují na špatnou kvalitu absolventů, které musí na své náklady doškolovat. Na otázku podnikatelským subjektům „Co je pro Vaši činnost (podnikání) na území Karlovarského kraje překážkou?“ se na prvním místě objevila odpověď „</w:t>
      </w:r>
      <w:r>
        <w:t>C</w:t>
      </w:r>
      <w:r w:rsidRPr="00AE46CF">
        <w:t xml:space="preserve">hybějící kvalifikovaná pracovní síla“. Při konkretizaci, o absolventy kterých učňovských oborů mají firmy největší zájem a v jakých profesích pociťují jejich největší nedostatek, skoro polovina firem uvedla, že největší nedostatek pociťují v oborech strojírenství (obráběč kovů, svářeč, zámečník, soustružník). </w:t>
      </w:r>
    </w:p>
    <w:p w:rsidR="00B174B8" w:rsidRPr="00AE46CF" w:rsidRDefault="00B174B8" w:rsidP="002C40B2">
      <w:pPr>
        <w:spacing w:before="120" w:after="120"/>
      </w:pPr>
      <w:r w:rsidRPr="00AE46CF">
        <w:t xml:space="preserve">Z pohledu budoucího uplatnění absolventů škol je důležité srovnání nabídky oborů středního odborného vzdělávání v Karlovarském kraji a struktury regionální ekonomiky podle zaměstnanosti. Vzdělávání v oborech, v nichž by absolventi velmi obtížně našli v kraji uplatnění, a naopak </w:t>
      </w:r>
      <w:r w:rsidRPr="00AE46CF">
        <w:lastRenderedPageBreak/>
        <w:t xml:space="preserve">neexistence absolventů poptávaných oborů na trhu, mohou být jednou z příčin nezaměstnanosti absolventů a obecně problémů místní ekonomiky. </w:t>
      </w:r>
      <w:r w:rsidR="004F2330">
        <w:fldChar w:fldCharType="begin"/>
      </w:r>
      <w:r w:rsidR="004F2330">
        <w:instrText xml:space="preserve"> REF _Ref317496901 \h  \* MERGEFORMAT </w:instrText>
      </w:r>
      <w:r w:rsidR="004F2330">
        <w:fldChar w:fldCharType="separate"/>
      </w:r>
      <w:r w:rsidR="00CB29BD" w:rsidRPr="00AE46CF">
        <w:t xml:space="preserve">Tabulka </w:t>
      </w:r>
      <w:r w:rsidR="00CB29BD">
        <w:rPr>
          <w:noProof/>
        </w:rPr>
        <w:t>11</w:t>
      </w:r>
      <w:r w:rsidR="00CB29BD">
        <w:t>.4</w:t>
      </w:r>
      <w:r w:rsidR="004F2330">
        <w:fldChar w:fldCharType="end"/>
      </w:r>
      <w:r w:rsidRPr="00AE46CF">
        <w:t xml:space="preserve"> znázorňuje sektorovou a odvětvovou strukturu ekonomiky Karlovarského kraje dle zaměstnanosti společně s počty a podíly absolventů příslušejících vzdělávacích oborů. </w:t>
      </w:r>
    </w:p>
    <w:p w:rsidR="00B174B8" w:rsidRPr="00AE46CF" w:rsidRDefault="00B174B8" w:rsidP="000B3B9C">
      <w:pPr>
        <w:pStyle w:val="Titulek"/>
      </w:pPr>
      <w:bookmarkStart w:id="299" w:name="_Ref317496901"/>
      <w:bookmarkStart w:id="300" w:name="_Ref310523352"/>
      <w:bookmarkStart w:id="301" w:name="_Toc321406058"/>
      <w:bookmarkStart w:id="302" w:name="_Toc488233503"/>
      <w:r w:rsidRPr="00AE46CF">
        <w:t xml:space="preserve">Tabulka </w:t>
      </w:r>
      <w:r w:rsidR="008965FE">
        <w:fldChar w:fldCharType="begin"/>
      </w:r>
      <w:r w:rsidR="00B33DFE">
        <w:instrText xml:space="preserve"> STYLEREF 1 \s </w:instrText>
      </w:r>
      <w:r w:rsidR="008965FE">
        <w:fldChar w:fldCharType="separate"/>
      </w:r>
      <w:r w:rsidR="00CB29BD">
        <w:t>11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4</w:t>
      </w:r>
      <w:r w:rsidR="004F2330">
        <w:fldChar w:fldCharType="end"/>
      </w:r>
      <w:bookmarkEnd w:id="299"/>
      <w:r w:rsidRPr="00AE46CF">
        <w:t>: Porovnání oborové struktury zaměstnanosti a středního odborného vzdělávání v Karlovarském kraji v ro</w:t>
      </w:r>
      <w:r>
        <w:t>ce</w:t>
      </w:r>
      <w:r w:rsidRPr="00AE46CF">
        <w:t xml:space="preserve"> 20</w:t>
      </w:r>
      <w:bookmarkEnd w:id="300"/>
      <w:bookmarkEnd w:id="301"/>
      <w:r>
        <w:t>15</w:t>
      </w:r>
      <w:bookmarkEnd w:id="30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6"/>
        <w:gridCol w:w="1134"/>
        <w:gridCol w:w="850"/>
        <w:gridCol w:w="993"/>
        <w:gridCol w:w="850"/>
        <w:gridCol w:w="992"/>
      </w:tblGrid>
      <w:tr w:rsidR="00B174B8" w:rsidRPr="001A798C" w:rsidTr="00CA5193">
        <w:trPr>
          <w:trHeight w:val="350"/>
        </w:trPr>
        <w:tc>
          <w:tcPr>
            <w:tcW w:w="4253" w:type="dxa"/>
            <w:gridSpan w:val="2"/>
            <w:vMerge w:val="restart"/>
          </w:tcPr>
          <w:p w:rsidR="00B174B8" w:rsidRPr="001A798C" w:rsidRDefault="00AC07A9" w:rsidP="002C40B2">
            <w:pPr>
              <w:pStyle w:val="Table"/>
              <w:spacing w:after="0"/>
              <w:jc w:val="left"/>
              <w:rPr>
                <w:rFonts w:asciiTheme="minorHAnsi" w:hAnsiTheme="minorHAnsi" w:cs="Calibri"/>
                <w:b/>
                <w:sz w:val="20"/>
              </w:rPr>
            </w:pPr>
            <w:r w:rsidRPr="001A798C">
              <w:rPr>
                <w:rFonts w:asciiTheme="minorHAnsi" w:hAnsiTheme="minorHAnsi" w:cs="Calibri"/>
                <w:b/>
                <w:bCs/>
                <w:sz w:val="20"/>
              </w:rPr>
              <w:t>S</w:t>
            </w:r>
            <w:r w:rsidR="00B174B8" w:rsidRPr="001A798C">
              <w:rPr>
                <w:rFonts w:asciiTheme="minorHAnsi" w:hAnsiTheme="minorHAnsi" w:cs="Calibri"/>
                <w:b/>
                <w:bCs/>
                <w:sz w:val="20"/>
              </w:rPr>
              <w:t>truktura</w:t>
            </w:r>
          </w:p>
        </w:tc>
        <w:tc>
          <w:tcPr>
            <w:tcW w:w="1984" w:type="dxa"/>
            <w:gridSpan w:val="2"/>
          </w:tcPr>
          <w:p w:rsidR="00B174B8" w:rsidRPr="001A798C" w:rsidRDefault="00AC07A9" w:rsidP="002C40B2">
            <w:pPr>
              <w:pStyle w:val="Table"/>
              <w:spacing w:after="0"/>
              <w:jc w:val="center"/>
              <w:rPr>
                <w:rFonts w:asciiTheme="minorHAnsi" w:hAnsiTheme="minorHAnsi" w:cs="Calibri"/>
                <w:b/>
                <w:bCs/>
                <w:sz w:val="20"/>
              </w:rPr>
            </w:pPr>
            <w:r w:rsidRPr="001A798C">
              <w:rPr>
                <w:rFonts w:asciiTheme="minorHAnsi" w:hAnsiTheme="minorHAnsi" w:cs="Calibri"/>
                <w:b/>
                <w:bCs/>
                <w:sz w:val="20"/>
              </w:rPr>
              <w:t>Z</w:t>
            </w:r>
            <w:r w:rsidR="00B174B8" w:rsidRPr="001A798C">
              <w:rPr>
                <w:rFonts w:asciiTheme="minorHAnsi" w:hAnsiTheme="minorHAnsi" w:cs="Calibri"/>
                <w:b/>
                <w:bCs/>
                <w:sz w:val="20"/>
              </w:rPr>
              <w:t>aměstnaní</w:t>
            </w:r>
          </w:p>
        </w:tc>
        <w:tc>
          <w:tcPr>
            <w:tcW w:w="2835" w:type="dxa"/>
            <w:gridSpan w:val="3"/>
          </w:tcPr>
          <w:p w:rsidR="00B174B8" w:rsidRPr="001A798C" w:rsidRDefault="00AC07A9" w:rsidP="002C40B2">
            <w:pPr>
              <w:pStyle w:val="Table"/>
              <w:spacing w:after="0"/>
              <w:jc w:val="center"/>
              <w:rPr>
                <w:rFonts w:asciiTheme="minorHAnsi" w:hAnsiTheme="minorHAnsi" w:cs="Calibri"/>
                <w:b/>
                <w:bCs/>
                <w:sz w:val="20"/>
              </w:rPr>
            </w:pPr>
            <w:r w:rsidRPr="001A798C">
              <w:rPr>
                <w:rFonts w:asciiTheme="minorHAnsi" w:hAnsiTheme="minorHAnsi" w:cs="Calibri"/>
                <w:b/>
                <w:bCs/>
                <w:sz w:val="20"/>
              </w:rPr>
              <w:t>A</w:t>
            </w:r>
            <w:r w:rsidR="00B174B8" w:rsidRPr="001A798C">
              <w:rPr>
                <w:rFonts w:asciiTheme="minorHAnsi" w:hAnsiTheme="minorHAnsi" w:cs="Calibri"/>
                <w:b/>
                <w:bCs/>
                <w:sz w:val="20"/>
              </w:rPr>
              <w:t>bsolventi SŠ a VOŠ</w:t>
            </w:r>
          </w:p>
        </w:tc>
      </w:tr>
      <w:tr w:rsidR="00B174B8" w:rsidRPr="001A798C" w:rsidTr="00CA5193">
        <w:trPr>
          <w:trHeight w:val="412"/>
        </w:trPr>
        <w:tc>
          <w:tcPr>
            <w:tcW w:w="4253" w:type="dxa"/>
            <w:gridSpan w:val="2"/>
            <w:vMerge/>
          </w:tcPr>
          <w:p w:rsidR="00B174B8" w:rsidRPr="001A798C" w:rsidRDefault="00B174B8" w:rsidP="002C40B2">
            <w:pPr>
              <w:pStyle w:val="Table"/>
              <w:spacing w:after="0"/>
              <w:jc w:val="center"/>
              <w:rPr>
                <w:rFonts w:asciiTheme="minorHAnsi" w:hAnsiTheme="minorHAnsi" w:cs="Calibri"/>
                <w:b/>
                <w:bCs/>
                <w:sz w:val="20"/>
              </w:rPr>
            </w:pPr>
          </w:p>
        </w:tc>
        <w:tc>
          <w:tcPr>
            <w:tcW w:w="1134" w:type="dxa"/>
            <w:noWrap/>
          </w:tcPr>
          <w:p w:rsidR="00B174B8" w:rsidRPr="001A798C" w:rsidRDefault="00B174B8" w:rsidP="002C40B2">
            <w:pPr>
              <w:pStyle w:val="Table"/>
              <w:spacing w:after="0"/>
              <w:jc w:val="center"/>
              <w:rPr>
                <w:rFonts w:asciiTheme="minorHAnsi" w:hAnsiTheme="minorHAnsi" w:cs="Calibri"/>
                <w:b/>
                <w:bCs/>
                <w:sz w:val="20"/>
              </w:rPr>
            </w:pPr>
            <w:r w:rsidRPr="001A798C">
              <w:rPr>
                <w:rFonts w:asciiTheme="minorHAnsi" w:hAnsiTheme="minorHAnsi" w:cs="Calibri"/>
                <w:b/>
                <w:sz w:val="20"/>
              </w:rPr>
              <w:t>tis. osob</w:t>
            </w:r>
          </w:p>
        </w:tc>
        <w:tc>
          <w:tcPr>
            <w:tcW w:w="850" w:type="dxa"/>
          </w:tcPr>
          <w:p w:rsidR="00B174B8" w:rsidRPr="001A798C" w:rsidRDefault="00B174B8" w:rsidP="002C40B2">
            <w:pPr>
              <w:pStyle w:val="Table"/>
              <w:spacing w:after="0"/>
              <w:jc w:val="center"/>
              <w:rPr>
                <w:rFonts w:asciiTheme="minorHAnsi" w:hAnsiTheme="minorHAnsi" w:cs="Calibri"/>
                <w:b/>
                <w:bCs/>
                <w:sz w:val="20"/>
              </w:rPr>
            </w:pPr>
            <w:r w:rsidRPr="001A798C">
              <w:rPr>
                <w:rFonts w:asciiTheme="minorHAnsi" w:hAnsiTheme="minorHAnsi" w:cs="Calibri"/>
                <w:b/>
                <w:sz w:val="20"/>
              </w:rPr>
              <w:t>%</w:t>
            </w:r>
          </w:p>
        </w:tc>
        <w:tc>
          <w:tcPr>
            <w:tcW w:w="993" w:type="dxa"/>
          </w:tcPr>
          <w:p w:rsidR="00B174B8" w:rsidRPr="001A798C" w:rsidRDefault="00B174B8" w:rsidP="002C40B2">
            <w:pPr>
              <w:pStyle w:val="Table"/>
              <w:spacing w:after="0"/>
              <w:jc w:val="center"/>
              <w:rPr>
                <w:rFonts w:asciiTheme="minorHAnsi" w:hAnsiTheme="minorHAnsi" w:cs="Calibri"/>
                <w:b/>
                <w:bCs/>
                <w:sz w:val="20"/>
              </w:rPr>
            </w:pPr>
            <w:r w:rsidRPr="001A798C">
              <w:rPr>
                <w:rFonts w:asciiTheme="minorHAnsi" w:hAnsiTheme="minorHAnsi" w:cs="Calibri"/>
                <w:b/>
                <w:sz w:val="20"/>
              </w:rPr>
              <w:t>obor</w:t>
            </w:r>
            <w:r w:rsidRPr="001A798C">
              <w:rPr>
                <w:rStyle w:val="Znakapoznpodarou"/>
                <w:rFonts w:asciiTheme="minorHAnsi" w:hAnsiTheme="minorHAnsi"/>
                <w:b/>
                <w:sz w:val="20"/>
              </w:rPr>
              <w:footnoteReference w:id="26"/>
            </w:r>
          </w:p>
        </w:tc>
        <w:tc>
          <w:tcPr>
            <w:tcW w:w="850" w:type="dxa"/>
          </w:tcPr>
          <w:p w:rsidR="00B174B8" w:rsidRPr="001A798C" w:rsidRDefault="00B174B8" w:rsidP="002C40B2">
            <w:pPr>
              <w:pStyle w:val="Table"/>
              <w:spacing w:after="0"/>
              <w:jc w:val="center"/>
              <w:rPr>
                <w:rFonts w:asciiTheme="minorHAnsi" w:hAnsiTheme="minorHAnsi" w:cs="Calibri"/>
                <w:b/>
                <w:bCs/>
                <w:sz w:val="20"/>
              </w:rPr>
            </w:pPr>
            <w:r w:rsidRPr="001A798C">
              <w:rPr>
                <w:rFonts w:asciiTheme="minorHAnsi" w:hAnsiTheme="minorHAnsi" w:cs="Calibri"/>
                <w:b/>
                <w:sz w:val="20"/>
              </w:rPr>
              <w:t>počet</w:t>
            </w:r>
          </w:p>
        </w:tc>
        <w:tc>
          <w:tcPr>
            <w:tcW w:w="992" w:type="dxa"/>
          </w:tcPr>
          <w:p w:rsidR="00B174B8" w:rsidRPr="001A798C" w:rsidRDefault="00B174B8" w:rsidP="002C40B2">
            <w:pPr>
              <w:pStyle w:val="Table"/>
              <w:spacing w:after="0"/>
              <w:jc w:val="center"/>
              <w:rPr>
                <w:rFonts w:asciiTheme="minorHAnsi" w:hAnsiTheme="minorHAnsi" w:cs="Calibri"/>
                <w:b/>
                <w:bCs/>
                <w:sz w:val="20"/>
              </w:rPr>
            </w:pPr>
            <w:r w:rsidRPr="001A798C">
              <w:rPr>
                <w:rFonts w:asciiTheme="minorHAnsi" w:hAnsiTheme="minorHAnsi" w:cs="Calibri"/>
                <w:b/>
                <w:sz w:val="20"/>
              </w:rPr>
              <w:t>%</w:t>
            </w:r>
          </w:p>
        </w:tc>
      </w:tr>
      <w:tr w:rsidR="00B174B8" w:rsidRPr="001A798C" w:rsidTr="00BD2174">
        <w:trPr>
          <w:trHeight w:val="311"/>
        </w:trPr>
        <w:tc>
          <w:tcPr>
            <w:tcW w:w="567" w:type="dxa"/>
            <w:vMerge w:val="restart"/>
            <w:textDirection w:val="btLr"/>
            <w:vAlign w:val="center"/>
          </w:tcPr>
          <w:p w:rsidR="00B174B8" w:rsidRPr="001A798C" w:rsidRDefault="00B174B8" w:rsidP="002C40B2">
            <w:pPr>
              <w:pStyle w:val="Table"/>
              <w:spacing w:after="0"/>
              <w:ind w:left="113" w:right="113"/>
              <w:jc w:val="center"/>
              <w:rPr>
                <w:rFonts w:asciiTheme="minorHAnsi" w:hAnsiTheme="minorHAnsi" w:cs="Calibri"/>
                <w:b/>
                <w:sz w:val="20"/>
              </w:rPr>
            </w:pPr>
            <w:r w:rsidRPr="001A798C">
              <w:rPr>
                <w:rFonts w:asciiTheme="minorHAnsi" w:hAnsiTheme="minorHAnsi" w:cs="Calibri"/>
                <w:b/>
                <w:sz w:val="20"/>
              </w:rPr>
              <w:t>podle sektorů</w:t>
            </w: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zemědělství</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2,3</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2,7</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58</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4,0</w:t>
            </w:r>
          </w:p>
        </w:tc>
      </w:tr>
      <w:tr w:rsidR="00B174B8" w:rsidRPr="001A798C" w:rsidTr="00BD2174">
        <w:trPr>
          <w:trHeight w:val="311"/>
        </w:trPr>
        <w:tc>
          <w:tcPr>
            <w:tcW w:w="567" w:type="dxa"/>
            <w:vMerge/>
            <w:vAlign w:val="center"/>
          </w:tcPr>
          <w:p w:rsidR="00B174B8" w:rsidRPr="001A798C" w:rsidRDefault="00B174B8" w:rsidP="002C40B2">
            <w:pPr>
              <w:pStyle w:val="Table"/>
              <w:spacing w:after="0"/>
              <w:jc w:val="center"/>
              <w:rPr>
                <w:rFonts w:asciiTheme="minorHAnsi" w:hAnsiTheme="minorHAnsi" w:cs="Calibri"/>
                <w:b/>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průmysl (vč. stavebnictví)</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56,3</w:t>
            </w:r>
          </w:p>
        </w:tc>
        <w:tc>
          <w:tcPr>
            <w:tcW w:w="850" w:type="dxa"/>
            <w:noWrap/>
            <w:vAlign w:val="center"/>
          </w:tcPr>
          <w:p w:rsidR="00B174B8" w:rsidRPr="001A798C" w:rsidRDefault="00B174B8" w:rsidP="002C40B2">
            <w:pPr>
              <w:spacing w:after="0"/>
              <w:ind w:left="-637" w:firstLine="637"/>
              <w:jc w:val="center"/>
              <w:rPr>
                <w:rFonts w:asciiTheme="minorHAnsi" w:hAnsiTheme="minorHAnsi"/>
                <w:sz w:val="20"/>
                <w:szCs w:val="20"/>
              </w:rPr>
            </w:pPr>
            <w:r w:rsidRPr="001A798C">
              <w:rPr>
                <w:rFonts w:asciiTheme="minorHAnsi" w:hAnsiTheme="minorHAnsi"/>
                <w:sz w:val="20"/>
                <w:szCs w:val="20"/>
              </w:rPr>
              <w:t>40,3</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338</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23,7</w:t>
            </w:r>
          </w:p>
        </w:tc>
      </w:tr>
      <w:tr w:rsidR="00B174B8" w:rsidRPr="001A798C" w:rsidTr="00BD2174">
        <w:trPr>
          <w:trHeight w:val="311"/>
        </w:trPr>
        <w:tc>
          <w:tcPr>
            <w:tcW w:w="567" w:type="dxa"/>
            <w:vMerge/>
            <w:vAlign w:val="center"/>
          </w:tcPr>
          <w:p w:rsidR="00B174B8" w:rsidRPr="001A798C" w:rsidRDefault="00B174B8" w:rsidP="002C40B2">
            <w:pPr>
              <w:pStyle w:val="Table"/>
              <w:spacing w:after="0"/>
              <w:jc w:val="center"/>
              <w:rPr>
                <w:rFonts w:asciiTheme="minorHAnsi" w:hAnsiTheme="minorHAnsi" w:cs="Calibri"/>
                <w:b/>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služby</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80,8</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57,1</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1030</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72,2</w:t>
            </w:r>
          </w:p>
        </w:tc>
      </w:tr>
      <w:tr w:rsidR="00B174B8" w:rsidRPr="001A798C" w:rsidTr="00BD2174">
        <w:trPr>
          <w:trHeight w:val="263"/>
        </w:trPr>
        <w:tc>
          <w:tcPr>
            <w:tcW w:w="567" w:type="dxa"/>
            <w:vMerge w:val="restart"/>
            <w:textDirection w:val="btLr"/>
            <w:vAlign w:val="center"/>
          </w:tcPr>
          <w:p w:rsidR="00B174B8" w:rsidRPr="001A798C" w:rsidRDefault="00B174B8" w:rsidP="002C40B2">
            <w:pPr>
              <w:pStyle w:val="Table"/>
              <w:spacing w:after="0"/>
              <w:ind w:left="113" w:right="113"/>
              <w:jc w:val="center"/>
              <w:rPr>
                <w:rFonts w:asciiTheme="minorHAnsi" w:hAnsiTheme="minorHAnsi" w:cs="Calibri"/>
                <w:b/>
                <w:sz w:val="20"/>
              </w:rPr>
            </w:pPr>
            <w:r w:rsidRPr="001A798C">
              <w:rPr>
                <w:rFonts w:asciiTheme="minorHAnsi" w:hAnsiTheme="minorHAnsi" w:cs="Calibri"/>
                <w:b/>
                <w:sz w:val="20"/>
              </w:rPr>
              <w:t>podle vybraných odvětví ekonomické činnosti</w:t>
            </w: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zemědělství, lesnictví a rybářství</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2,3</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2,7</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41</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58</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4,0</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b/>
                <w:bCs/>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b/>
                <w:bCs/>
                <w:sz w:val="20"/>
              </w:rPr>
            </w:pPr>
            <w:r w:rsidRPr="001A798C">
              <w:rPr>
                <w:rFonts w:asciiTheme="minorHAnsi" w:hAnsiTheme="minorHAnsi" w:cs="Calibri"/>
                <w:sz w:val="20"/>
              </w:rPr>
              <w:t>těžba a dobývání</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4,5</w:t>
            </w:r>
          </w:p>
        </w:tc>
        <w:tc>
          <w:tcPr>
            <w:tcW w:w="850" w:type="dxa"/>
            <w:noWrap/>
            <w:vAlign w:val="center"/>
          </w:tcPr>
          <w:p w:rsidR="00B174B8" w:rsidRPr="001A798C" w:rsidRDefault="00B174B8" w:rsidP="002C40B2">
            <w:pPr>
              <w:spacing w:after="0"/>
              <w:jc w:val="center"/>
              <w:rPr>
                <w:rFonts w:asciiTheme="minorHAnsi" w:hAnsiTheme="minorHAnsi"/>
                <w:b/>
                <w:sz w:val="20"/>
                <w:szCs w:val="20"/>
              </w:rPr>
            </w:pPr>
            <w:r w:rsidRPr="001A798C">
              <w:rPr>
                <w:rFonts w:asciiTheme="minorHAnsi" w:hAnsiTheme="minorHAnsi"/>
                <w:sz w:val="20"/>
                <w:szCs w:val="20"/>
              </w:rPr>
              <w:t>3,8</w:t>
            </w:r>
          </w:p>
        </w:tc>
        <w:tc>
          <w:tcPr>
            <w:tcW w:w="993" w:type="dxa"/>
            <w:vAlign w:val="center"/>
          </w:tcPr>
          <w:p w:rsidR="00B174B8" w:rsidRPr="001A798C" w:rsidRDefault="00B174B8" w:rsidP="002C40B2">
            <w:pPr>
              <w:spacing w:after="0"/>
              <w:jc w:val="center"/>
              <w:rPr>
                <w:rFonts w:asciiTheme="minorHAnsi" w:hAnsiTheme="minorHAnsi"/>
                <w:b/>
                <w:sz w:val="20"/>
                <w:szCs w:val="20"/>
              </w:rPr>
            </w:pPr>
            <w:r w:rsidRPr="001A798C">
              <w:rPr>
                <w:rFonts w:asciiTheme="minorHAnsi" w:hAnsiTheme="minorHAnsi"/>
                <w:sz w:val="20"/>
                <w:szCs w:val="20"/>
              </w:rPr>
              <w:t>21</w:t>
            </w:r>
          </w:p>
        </w:tc>
        <w:tc>
          <w:tcPr>
            <w:tcW w:w="850" w:type="dxa"/>
            <w:vAlign w:val="center"/>
          </w:tcPr>
          <w:p w:rsidR="00B174B8" w:rsidRPr="001A798C" w:rsidRDefault="00B174B8" w:rsidP="002C40B2">
            <w:pPr>
              <w:spacing w:after="0"/>
              <w:jc w:val="center"/>
              <w:rPr>
                <w:rFonts w:asciiTheme="minorHAnsi" w:hAnsiTheme="minorHAnsi"/>
                <w:b/>
                <w:sz w:val="20"/>
                <w:szCs w:val="20"/>
              </w:rPr>
            </w:pPr>
            <w:r w:rsidRPr="001A798C">
              <w:rPr>
                <w:rFonts w:asciiTheme="minorHAnsi" w:hAnsiTheme="minorHAnsi"/>
                <w:sz w:val="20"/>
                <w:szCs w:val="20"/>
              </w:rPr>
              <w:t>0</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0</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zpracovatelský průmysl</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36,7</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27,3</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23,26,28, 29,31,33</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276</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19,3</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stavebnictví</w:t>
            </w:r>
          </w:p>
        </w:tc>
        <w:tc>
          <w:tcPr>
            <w:tcW w:w="1134" w:type="dxa"/>
            <w:noWrap/>
            <w:vAlign w:val="bottom"/>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10,9</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6,3</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36</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62</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4,3</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velkoobchod a maloob.; opr. mot. vozidel</w:t>
            </w:r>
          </w:p>
        </w:tc>
        <w:tc>
          <w:tcPr>
            <w:tcW w:w="1134" w:type="dxa"/>
            <w:noWrap/>
            <w:vAlign w:val="bottom"/>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16,8</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9,5</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66</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12</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0,8</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doprava a skladování</w:t>
            </w:r>
          </w:p>
        </w:tc>
        <w:tc>
          <w:tcPr>
            <w:tcW w:w="1134" w:type="dxa"/>
            <w:noWrap/>
            <w:vAlign w:val="bottom"/>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8,1</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6,4</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37</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31</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2,1</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ubytování, stravování a pohostinství</w:t>
            </w:r>
          </w:p>
        </w:tc>
        <w:tc>
          <w:tcPr>
            <w:tcW w:w="1134" w:type="dxa"/>
            <w:noWrap/>
            <w:vAlign w:val="bottom"/>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11,1</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4,5</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65</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277</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19,4</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administrativní a podpůrné činnosti</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2,9</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3,5</w:t>
            </w:r>
          </w:p>
        </w:tc>
        <w:tc>
          <w:tcPr>
            <w:tcW w:w="993"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sz w:val="20"/>
                <w:szCs w:val="20"/>
              </w:rPr>
              <w:t>63,69</w:t>
            </w:r>
          </w:p>
        </w:tc>
        <w:tc>
          <w:tcPr>
            <w:tcW w:w="850"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sz w:val="20"/>
                <w:szCs w:val="20"/>
              </w:rPr>
              <w:t>198</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13,8</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informační a komunikační činnosti</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0,7</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0,7</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18</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48</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3,3</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peněžnictví a pojišťovnictví</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1,6</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1,1</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63</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111</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7,7</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profesní, vědecké a technické</w:t>
            </w:r>
          </w:p>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činnosti</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4,9</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3,4</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39</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17</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1,1</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veřejná správa a obrana; povinné</w:t>
            </w:r>
            <w:r w:rsidR="00AC07A9" w:rsidRPr="001A798C">
              <w:rPr>
                <w:rFonts w:asciiTheme="minorHAnsi" w:hAnsiTheme="minorHAnsi" w:cs="Calibri"/>
                <w:sz w:val="20"/>
              </w:rPr>
              <w:t xml:space="preserve"> </w:t>
            </w:r>
            <w:r w:rsidRPr="001A798C">
              <w:rPr>
                <w:rFonts w:asciiTheme="minorHAnsi" w:hAnsiTheme="minorHAnsi" w:cs="Calibri"/>
                <w:sz w:val="20"/>
              </w:rPr>
              <w:t>sociální zabezpečení</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9,6</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8,2</w:t>
            </w:r>
          </w:p>
        </w:tc>
        <w:tc>
          <w:tcPr>
            <w:tcW w:w="993"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sz w:val="20"/>
                <w:szCs w:val="20"/>
              </w:rPr>
              <w:t>68</w:t>
            </w:r>
          </w:p>
        </w:tc>
        <w:tc>
          <w:tcPr>
            <w:tcW w:w="850"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bCs/>
                <w:sz w:val="20"/>
                <w:szCs w:val="20"/>
              </w:rPr>
              <w:t>68</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4,7</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vzdělávání</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7,2</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6,6</w:t>
            </w:r>
          </w:p>
        </w:tc>
        <w:tc>
          <w:tcPr>
            <w:tcW w:w="993"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sz w:val="20"/>
                <w:szCs w:val="20"/>
              </w:rPr>
              <w:t>75</w:t>
            </w:r>
          </w:p>
        </w:tc>
        <w:tc>
          <w:tcPr>
            <w:tcW w:w="850"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bCs/>
                <w:sz w:val="20"/>
                <w:szCs w:val="20"/>
              </w:rPr>
              <w:t>54</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3,7</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zdravotní a sociální péče</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13,4</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8,0</w:t>
            </w:r>
          </w:p>
        </w:tc>
        <w:tc>
          <w:tcPr>
            <w:tcW w:w="993"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sz w:val="20"/>
                <w:szCs w:val="20"/>
              </w:rPr>
              <w:t>53</w:t>
            </w:r>
          </w:p>
        </w:tc>
        <w:tc>
          <w:tcPr>
            <w:tcW w:w="850" w:type="dxa"/>
            <w:vAlign w:val="center"/>
          </w:tcPr>
          <w:p w:rsidR="00B174B8" w:rsidRPr="001A798C" w:rsidRDefault="00B174B8" w:rsidP="002C40B2">
            <w:pPr>
              <w:spacing w:after="0"/>
              <w:jc w:val="center"/>
              <w:rPr>
                <w:rFonts w:asciiTheme="minorHAnsi" w:hAnsiTheme="minorHAnsi"/>
                <w:bCs/>
                <w:sz w:val="20"/>
                <w:szCs w:val="20"/>
              </w:rPr>
            </w:pPr>
            <w:r w:rsidRPr="001A798C">
              <w:rPr>
                <w:rFonts w:asciiTheme="minorHAnsi" w:hAnsiTheme="minorHAnsi"/>
                <w:bCs/>
                <w:sz w:val="20"/>
                <w:szCs w:val="20"/>
              </w:rPr>
              <w:t>70</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4,9</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kulturní, zábavní a rekreační činnosti</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2,1</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2,1</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82</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48</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3,3</w:t>
            </w:r>
          </w:p>
        </w:tc>
      </w:tr>
      <w:tr w:rsidR="00B174B8" w:rsidRPr="001A798C" w:rsidTr="00BD2174">
        <w:trPr>
          <w:trHeight w:val="263"/>
        </w:trPr>
        <w:tc>
          <w:tcPr>
            <w:tcW w:w="567" w:type="dxa"/>
            <w:vMerge/>
            <w:vAlign w:val="center"/>
          </w:tcPr>
          <w:p w:rsidR="00B174B8" w:rsidRPr="001A798C" w:rsidRDefault="00B174B8" w:rsidP="002C40B2">
            <w:pPr>
              <w:pStyle w:val="Table"/>
              <w:spacing w:after="0"/>
              <w:jc w:val="left"/>
              <w:rPr>
                <w:rFonts w:asciiTheme="minorHAnsi" w:hAnsiTheme="minorHAnsi" w:cs="Calibri"/>
                <w:sz w:val="20"/>
              </w:rPr>
            </w:pPr>
          </w:p>
        </w:tc>
        <w:tc>
          <w:tcPr>
            <w:tcW w:w="3686" w:type="dxa"/>
            <w:noWrap/>
            <w:vAlign w:val="center"/>
          </w:tcPr>
          <w:p w:rsidR="00B174B8" w:rsidRPr="001A798C" w:rsidRDefault="00B174B8" w:rsidP="002C40B2">
            <w:pPr>
              <w:pStyle w:val="Table"/>
              <w:spacing w:after="0"/>
              <w:jc w:val="left"/>
              <w:rPr>
                <w:rFonts w:asciiTheme="minorHAnsi" w:hAnsiTheme="minorHAnsi" w:cs="Calibri"/>
                <w:sz w:val="20"/>
              </w:rPr>
            </w:pPr>
            <w:r w:rsidRPr="001A798C">
              <w:rPr>
                <w:rFonts w:asciiTheme="minorHAnsi" w:hAnsiTheme="minorHAnsi" w:cs="Calibri"/>
                <w:sz w:val="20"/>
              </w:rPr>
              <w:t>ostatní činnosti</w:t>
            </w:r>
          </w:p>
        </w:tc>
        <w:tc>
          <w:tcPr>
            <w:tcW w:w="1134"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2,5</w:t>
            </w:r>
          </w:p>
        </w:tc>
        <w:tc>
          <w:tcPr>
            <w:tcW w:w="850" w:type="dxa"/>
            <w:noWrap/>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2,0</w:t>
            </w:r>
          </w:p>
        </w:tc>
        <w:tc>
          <w:tcPr>
            <w:tcW w:w="993"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64,78</w:t>
            </w:r>
          </w:p>
        </w:tc>
        <w:tc>
          <w:tcPr>
            <w:tcW w:w="850"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96</w:t>
            </w:r>
          </w:p>
        </w:tc>
        <w:tc>
          <w:tcPr>
            <w:tcW w:w="992" w:type="dxa"/>
            <w:vAlign w:val="center"/>
          </w:tcPr>
          <w:p w:rsidR="00B174B8" w:rsidRPr="001A798C" w:rsidRDefault="00B174B8" w:rsidP="002C40B2">
            <w:pPr>
              <w:spacing w:after="0"/>
              <w:jc w:val="center"/>
              <w:rPr>
                <w:rFonts w:asciiTheme="minorHAnsi" w:hAnsiTheme="minorHAnsi"/>
                <w:sz w:val="20"/>
                <w:szCs w:val="20"/>
              </w:rPr>
            </w:pPr>
            <w:r w:rsidRPr="001A798C">
              <w:rPr>
                <w:rFonts w:asciiTheme="minorHAnsi" w:hAnsiTheme="minorHAnsi"/>
                <w:sz w:val="20"/>
                <w:szCs w:val="20"/>
              </w:rPr>
              <w:t>6,7</w:t>
            </w:r>
          </w:p>
        </w:tc>
      </w:tr>
      <w:tr w:rsidR="00B174B8" w:rsidRPr="001A798C" w:rsidTr="00CA5193">
        <w:trPr>
          <w:trHeight w:val="263"/>
        </w:trPr>
        <w:tc>
          <w:tcPr>
            <w:tcW w:w="4253" w:type="dxa"/>
            <w:gridSpan w:val="2"/>
            <w:vAlign w:val="center"/>
          </w:tcPr>
          <w:p w:rsidR="00B174B8" w:rsidRPr="001A798C" w:rsidRDefault="00AC07A9" w:rsidP="002C40B2">
            <w:pPr>
              <w:pStyle w:val="Table"/>
              <w:spacing w:after="0"/>
              <w:jc w:val="left"/>
              <w:rPr>
                <w:rFonts w:asciiTheme="minorHAnsi" w:hAnsiTheme="minorHAnsi" w:cs="Calibri"/>
                <w:b/>
                <w:bCs/>
                <w:sz w:val="20"/>
              </w:rPr>
            </w:pPr>
            <w:r w:rsidRPr="001A798C">
              <w:rPr>
                <w:rFonts w:asciiTheme="minorHAnsi" w:hAnsiTheme="minorHAnsi" w:cs="Calibri"/>
                <w:b/>
                <w:bCs/>
                <w:sz w:val="20"/>
              </w:rPr>
              <w:t>C</w:t>
            </w:r>
            <w:r w:rsidR="00B174B8" w:rsidRPr="001A798C">
              <w:rPr>
                <w:rFonts w:asciiTheme="minorHAnsi" w:hAnsiTheme="minorHAnsi" w:cs="Calibri"/>
                <w:b/>
                <w:bCs/>
                <w:sz w:val="20"/>
              </w:rPr>
              <w:t>elkem</w:t>
            </w:r>
          </w:p>
        </w:tc>
        <w:tc>
          <w:tcPr>
            <w:tcW w:w="1134" w:type="dxa"/>
            <w:noWrap/>
            <w:vAlign w:val="center"/>
          </w:tcPr>
          <w:p w:rsidR="00B174B8" w:rsidRPr="001A798C" w:rsidRDefault="00B174B8" w:rsidP="002C40B2">
            <w:pPr>
              <w:spacing w:after="0"/>
              <w:jc w:val="center"/>
              <w:rPr>
                <w:rFonts w:asciiTheme="minorHAnsi" w:hAnsiTheme="minorHAnsi"/>
                <w:b/>
                <w:sz w:val="20"/>
                <w:szCs w:val="20"/>
              </w:rPr>
            </w:pPr>
            <w:r w:rsidRPr="001A798C">
              <w:rPr>
                <w:rFonts w:asciiTheme="minorHAnsi" w:hAnsiTheme="minorHAnsi"/>
                <w:b/>
                <w:bCs/>
                <w:sz w:val="20"/>
                <w:szCs w:val="20"/>
              </w:rPr>
              <w:t>141,0</w:t>
            </w:r>
          </w:p>
        </w:tc>
        <w:tc>
          <w:tcPr>
            <w:tcW w:w="850" w:type="dxa"/>
            <w:noWrap/>
            <w:vAlign w:val="center"/>
          </w:tcPr>
          <w:p w:rsidR="00B174B8" w:rsidRPr="001A798C" w:rsidRDefault="00B174B8" w:rsidP="002C40B2">
            <w:pPr>
              <w:spacing w:after="0"/>
              <w:jc w:val="center"/>
              <w:rPr>
                <w:rFonts w:asciiTheme="minorHAnsi" w:hAnsiTheme="minorHAnsi"/>
                <w:b/>
                <w:sz w:val="20"/>
                <w:szCs w:val="20"/>
              </w:rPr>
            </w:pPr>
            <w:r w:rsidRPr="001A798C">
              <w:rPr>
                <w:rFonts w:asciiTheme="minorHAnsi" w:hAnsiTheme="minorHAnsi"/>
                <w:b/>
                <w:bCs/>
                <w:sz w:val="20"/>
                <w:szCs w:val="20"/>
              </w:rPr>
              <w:t>100,0%</w:t>
            </w:r>
          </w:p>
        </w:tc>
        <w:tc>
          <w:tcPr>
            <w:tcW w:w="993" w:type="dxa"/>
            <w:vAlign w:val="center"/>
          </w:tcPr>
          <w:p w:rsidR="00B174B8" w:rsidRPr="001A798C" w:rsidRDefault="00B174B8" w:rsidP="002C40B2">
            <w:pPr>
              <w:spacing w:after="0"/>
              <w:jc w:val="center"/>
              <w:rPr>
                <w:rFonts w:asciiTheme="minorHAnsi" w:hAnsiTheme="minorHAnsi"/>
                <w:b/>
                <w:sz w:val="20"/>
                <w:szCs w:val="20"/>
              </w:rPr>
            </w:pPr>
            <w:r w:rsidRPr="001A798C">
              <w:rPr>
                <w:rFonts w:asciiTheme="minorHAnsi" w:hAnsiTheme="minorHAnsi"/>
                <w:b/>
                <w:sz w:val="20"/>
                <w:szCs w:val="20"/>
              </w:rPr>
              <w:t>-</w:t>
            </w:r>
          </w:p>
        </w:tc>
        <w:tc>
          <w:tcPr>
            <w:tcW w:w="850" w:type="dxa"/>
            <w:vAlign w:val="center"/>
          </w:tcPr>
          <w:p w:rsidR="00B174B8" w:rsidRPr="001A798C" w:rsidRDefault="00B174B8" w:rsidP="002C40B2">
            <w:pPr>
              <w:spacing w:after="0"/>
              <w:jc w:val="center"/>
              <w:rPr>
                <w:rFonts w:asciiTheme="minorHAnsi" w:hAnsiTheme="minorHAnsi"/>
                <w:b/>
                <w:sz w:val="20"/>
                <w:szCs w:val="20"/>
              </w:rPr>
            </w:pPr>
            <w:r w:rsidRPr="001A798C">
              <w:rPr>
                <w:rFonts w:asciiTheme="minorHAnsi" w:hAnsiTheme="minorHAnsi"/>
                <w:b/>
                <w:sz w:val="20"/>
                <w:szCs w:val="20"/>
              </w:rPr>
              <w:t>1426</w:t>
            </w:r>
          </w:p>
        </w:tc>
        <w:tc>
          <w:tcPr>
            <w:tcW w:w="992" w:type="dxa"/>
            <w:vAlign w:val="center"/>
          </w:tcPr>
          <w:p w:rsidR="00B174B8" w:rsidRPr="001A798C" w:rsidRDefault="00B174B8" w:rsidP="002C40B2">
            <w:pPr>
              <w:spacing w:after="0"/>
              <w:jc w:val="center"/>
              <w:rPr>
                <w:rFonts w:asciiTheme="minorHAnsi" w:hAnsiTheme="minorHAnsi"/>
                <w:b/>
                <w:bCs/>
                <w:sz w:val="20"/>
                <w:szCs w:val="20"/>
              </w:rPr>
            </w:pPr>
            <w:r w:rsidRPr="001A798C">
              <w:rPr>
                <w:rFonts w:asciiTheme="minorHAnsi" w:hAnsiTheme="minorHAnsi"/>
                <w:b/>
                <w:sz w:val="20"/>
                <w:szCs w:val="20"/>
              </w:rPr>
              <w:t>100,0%</w:t>
            </w:r>
          </w:p>
        </w:tc>
      </w:tr>
    </w:tbl>
    <w:p w:rsidR="00B174B8" w:rsidRPr="00AC07A9" w:rsidRDefault="00B174B8" w:rsidP="002C40B2">
      <w:pPr>
        <w:pStyle w:val="Zdroj"/>
        <w:spacing w:before="120" w:after="0" w:line="276" w:lineRule="auto"/>
        <w:rPr>
          <w:rStyle w:val="Zdraznnjemn"/>
        </w:rPr>
      </w:pPr>
      <w:r w:rsidRPr="00AC07A9">
        <w:rPr>
          <w:rStyle w:val="Zdraznnjemn"/>
        </w:rPr>
        <w:t xml:space="preserve">Poznámka: Do počtu absolventů středních a vyšších odborných škol se nezapočítávají absolventi gymnaziálního vzdělávání. </w:t>
      </w:r>
    </w:p>
    <w:p w:rsidR="00B174B8" w:rsidRPr="00AC07A9" w:rsidRDefault="00B174B8" w:rsidP="002C40B2">
      <w:pPr>
        <w:pStyle w:val="Zdroj"/>
        <w:spacing w:line="276" w:lineRule="auto"/>
        <w:rPr>
          <w:rStyle w:val="Zdraznnjemn"/>
        </w:rPr>
      </w:pPr>
      <w:r w:rsidRPr="00AC07A9">
        <w:rPr>
          <w:rStyle w:val="Zdraznnjemn"/>
        </w:rPr>
        <w:t>Zdroj: ČSÚ – Statistická ročenka Karlovarského kraje 2015, NÚV – Vzdělávání a trh práce v krajích ČR, Nezaměstnanost absolventů středních a vyšších odborných škol v kra</w:t>
      </w:r>
      <w:r w:rsidR="00AC07A9">
        <w:rPr>
          <w:rStyle w:val="Zdraznnjemn"/>
        </w:rPr>
        <w:t>jích ČR</w:t>
      </w:r>
    </w:p>
    <w:p w:rsidR="00B174B8" w:rsidRPr="00AE46CF" w:rsidRDefault="00B174B8" w:rsidP="000562C0">
      <w:pPr>
        <w:spacing w:before="120" w:after="120"/>
      </w:pPr>
      <w:bookmarkStart w:id="303" w:name="_Toc310436073"/>
      <w:r w:rsidRPr="004300C6">
        <w:rPr>
          <w:b/>
        </w:rPr>
        <w:t xml:space="preserve">Ze srovnání zřetelně vyplývá nesoulad mezi strukturou zaměstnanosti v jednotlivých odvětvích ekonomické činnosti a podílem absolventů jim příslušejících oborů. </w:t>
      </w:r>
      <w:r>
        <w:t xml:space="preserve">Zatímco je podíl zaměstnaných </w:t>
      </w:r>
      <w:r w:rsidRPr="00AE46CF">
        <w:t>v</w:t>
      </w:r>
      <w:r>
        <w:t xml:space="preserve"> sektoru </w:t>
      </w:r>
      <w:r w:rsidRPr="00AE46CF">
        <w:t> průmyslu a stavebnictví</w:t>
      </w:r>
      <w:r>
        <w:t xml:space="preserve"> vyšší než</w:t>
      </w:r>
      <w:r w:rsidRPr="00AE46CF">
        <w:t xml:space="preserve"> podíl absolventů</w:t>
      </w:r>
      <w:r>
        <w:t>, opouští naopak</w:t>
      </w:r>
      <w:r w:rsidRPr="00AE46CF">
        <w:t xml:space="preserve"> střední školy vyšší </w:t>
      </w:r>
      <w:r>
        <w:t>podíl</w:t>
      </w:r>
      <w:r w:rsidRPr="00AE46CF">
        <w:t xml:space="preserve"> absolventů oborů zaměřených na </w:t>
      </w:r>
      <w:r>
        <w:t>služby a zemědělství,</w:t>
      </w:r>
      <w:r w:rsidRPr="00AE46CF">
        <w:t xml:space="preserve"> než je v místní ekonomice</w:t>
      </w:r>
      <w:r w:rsidRPr="00A2339A">
        <w:t xml:space="preserve"> </w:t>
      </w:r>
      <w:r>
        <w:t xml:space="preserve">podíl </w:t>
      </w:r>
      <w:r w:rsidRPr="00AE46CF">
        <w:t xml:space="preserve">zaměstnaných </w:t>
      </w:r>
      <w:r>
        <w:t>v těchto odvětvích</w:t>
      </w:r>
      <w:r w:rsidRPr="00AE46CF">
        <w:t xml:space="preserve">. </w:t>
      </w:r>
      <w:r>
        <w:t xml:space="preserve">Nejvýraznější nesoulad lze vidět u </w:t>
      </w:r>
      <w:r w:rsidRPr="00AE46CF">
        <w:t>oborů se specializací na ubytování, stravování a pohostinství</w:t>
      </w:r>
      <w:r>
        <w:t xml:space="preserve"> a oborů zaměřených na administrativní a podpůrné činnosti, kde </w:t>
      </w:r>
      <w:r>
        <w:lastRenderedPageBreak/>
        <w:t>je podíl absolventů</w:t>
      </w:r>
      <w:r w:rsidRPr="00AE46CF">
        <w:t xml:space="preserve"> výrazně vyšší, než je </w:t>
      </w:r>
      <w:r>
        <w:t xml:space="preserve">podíl </w:t>
      </w:r>
      <w:r w:rsidRPr="00AE46CF">
        <w:t>zaměstnan</w:t>
      </w:r>
      <w:r>
        <w:t>ých v tomto odvětví. Naopak nižší podíl</w:t>
      </w:r>
      <w:r w:rsidRPr="00AE46CF">
        <w:t xml:space="preserve"> absolventů </w:t>
      </w:r>
      <w:r>
        <w:t>než</w:t>
      </w:r>
      <w:r w:rsidRPr="00AE46CF">
        <w:t xml:space="preserve"> </w:t>
      </w:r>
      <w:r>
        <w:t xml:space="preserve">podíl zaměstnaných nalezneme ve zpracovatelském průmyslu a </w:t>
      </w:r>
      <w:r w:rsidRPr="00EC07D4">
        <w:t>velkoobchod</w:t>
      </w:r>
      <w:r>
        <w:t>ě,</w:t>
      </w:r>
      <w:r w:rsidRPr="00EC07D4">
        <w:t xml:space="preserve"> maloob</w:t>
      </w:r>
      <w:r>
        <w:t>chodě a opravách motorových vozidel.</w:t>
      </w:r>
    </w:p>
    <w:p w:rsidR="00B174B8" w:rsidRPr="00F65FDF" w:rsidRDefault="00B174B8" w:rsidP="002C40B2">
      <w:r w:rsidRPr="00EA7371">
        <w:t xml:space="preserve">V rámci plánovacího období Evropské unie 2014 – 2020 jsou pro území kraje zpracovávány </w:t>
      </w:r>
      <w:r w:rsidR="002F684C" w:rsidRPr="002F684C">
        <w:rPr>
          <w:i/>
        </w:rPr>
        <w:t>Krajské akční plány</w:t>
      </w:r>
      <w:r w:rsidRPr="00EA7371">
        <w:t xml:space="preserve">. Jejich cílem je analýza </w:t>
      </w:r>
      <w:r w:rsidRPr="00F65FDF">
        <w:t>potřeb daného území a určení priorit, kter</w:t>
      </w:r>
      <w:r w:rsidR="00CA5193">
        <w:t>é</w:t>
      </w:r>
      <w:r w:rsidRPr="00F65FDF">
        <w:t xml:space="preserve"> mají být v tomto území řešen</w:t>
      </w:r>
      <w:r w:rsidR="00CA5193">
        <w:t>y</w:t>
      </w:r>
      <w:r w:rsidRPr="00F65FDF">
        <w:t xml:space="preserve"> v oblasti vzdělávání. Implementace definovaných priorit bude zajišťována z</w:t>
      </w:r>
      <w:r w:rsidR="007F2A3D">
        <w:t> OP VVV a IROP.</w:t>
      </w:r>
    </w:p>
    <w:p w:rsidR="00B174B8" w:rsidRPr="007F2A3D" w:rsidRDefault="00B174B8" w:rsidP="002C40B2">
      <w:pPr>
        <w:pStyle w:val="Nadpis2"/>
      </w:pPr>
      <w:r w:rsidRPr="007F2A3D">
        <w:t>Vysoké školy</w:t>
      </w:r>
      <w:bookmarkEnd w:id="303"/>
    </w:p>
    <w:p w:rsidR="00B174B8" w:rsidRPr="00AE46CF" w:rsidRDefault="00B174B8" w:rsidP="002C40B2">
      <w:pPr>
        <w:spacing w:before="120" w:after="120"/>
      </w:pPr>
      <w:r w:rsidRPr="00AE46CF">
        <w:t>Terciární vzdělávání je v Karlovarském kraji realizováno v podobě soukromého vysokého školství a programů veřejných vysokých a soukromých škol sídlících v jiných krajích. V akademickém roce 20</w:t>
      </w:r>
      <w:r>
        <w:t>15</w:t>
      </w:r>
      <w:r w:rsidRPr="00AE46CF">
        <w:t>/1</w:t>
      </w:r>
      <w:r>
        <w:t>6</w:t>
      </w:r>
      <w:r w:rsidRPr="00AE46CF">
        <w:t xml:space="preserve"> zde působilo </w:t>
      </w:r>
      <w:r>
        <w:t>šest</w:t>
      </w:r>
      <w:r w:rsidRPr="00AE46CF">
        <w:t xml:space="preserve"> poboček </w:t>
      </w:r>
      <w:r>
        <w:t xml:space="preserve">čtyř </w:t>
      </w:r>
      <w:r w:rsidRPr="00AE46CF">
        <w:t xml:space="preserve">veřejných a </w:t>
      </w:r>
      <w:r>
        <w:t xml:space="preserve">dvou </w:t>
      </w:r>
      <w:r w:rsidRPr="00AE46CF">
        <w:t>soukromých vysokých škol v podobě fakulty či středis</w:t>
      </w:r>
      <w:r>
        <w:t>ka</w:t>
      </w:r>
      <w:r w:rsidRPr="00AE46CF">
        <w:t>. Většina v kraji působících vysokých škol nabízí pouze bakalářské studium, a to převážně v kombinované formě. Tyto služby terciárního vzdělávání v kraji sytí poptávku po vysokoškolském vzdělání především u specifické cílové skupiny lidí, kteří nemají zájem studovat mimo kraj, nebyli přijati na vysoké školy mimo kraj nebo studují při zaměstnání. Veřejný sektor v kraji prakticky nemá vliv na to, jaké obory a formy studia a s jakou perspektivou se v kraji budou vyučovat.</w:t>
      </w:r>
      <w:r>
        <w:t xml:space="preserve"> I přes to se podařilo Karlovarskému kraji ve spolupráci s Fakultou strojní Západočeské univerzity v Plzni zahájit výuku studijního programu Strojní inženýrství při Integrované střední škole technické a ekonomické v Sokolově. </w:t>
      </w:r>
      <w:r w:rsidRPr="00AE46CF">
        <w:t xml:space="preserve">Primární motivací studentů a škol při využívání a poskytování těchto služeb </w:t>
      </w:r>
      <w:r w:rsidR="00CA5193">
        <w:t xml:space="preserve">však </w:t>
      </w:r>
      <w:r w:rsidRPr="00AE46CF">
        <w:t>není př</w:t>
      </w:r>
      <w:r w:rsidR="00CA5193">
        <w:t>i</w:t>
      </w:r>
      <w:r w:rsidRPr="00AE46CF">
        <w:t>spě</w:t>
      </w:r>
      <w:r w:rsidR="00CA5193">
        <w:t>t</w:t>
      </w:r>
      <w:r w:rsidRPr="00AE46CF">
        <w:t xml:space="preserve"> k růstu regionální ekonomiky a rozvoji její konkurenceschopnosti.</w:t>
      </w:r>
    </w:p>
    <w:p w:rsidR="00B174B8" w:rsidRPr="00AE46CF" w:rsidRDefault="00B174B8" w:rsidP="002C40B2">
      <w:pPr>
        <w:spacing w:before="120" w:after="120"/>
        <w:rPr>
          <w:szCs w:val="20"/>
        </w:rPr>
      </w:pPr>
      <w:r w:rsidRPr="00AE46CF">
        <w:t xml:space="preserve">Talentovaní absolventi středních a vyšších odborných škol většinou opouštějí kraj a pokračují v inženýrských, magisterských a postgraduálních studiích na vysokých školách mimo Karlovarský kraj. Podle analýz Ústavu pro informace ve vzdělávání jde 90 % studentů Karlovarského kraje studovat na vysokou školu mimo kraj (42 </w:t>
      </w:r>
      <w:r w:rsidR="009D4199">
        <w:t>% do Prahy, 26 % do Plzně)</w:t>
      </w:r>
      <w:r w:rsidRPr="00AE46CF">
        <w:t xml:space="preserve"> a v kraji tak studuje nejméně studentů vysokých škol v poměru k počtu obyvatel v rámci Č</w:t>
      </w:r>
      <w:r>
        <w:t>R</w:t>
      </w:r>
      <w:r w:rsidRPr="00AE46CF">
        <w:t>. Navíc se studenti málo</w:t>
      </w:r>
      <w:r>
        <w:t>kdy</w:t>
      </w:r>
      <w:r w:rsidRPr="00AE46CF">
        <w:t xml:space="preserve"> vracejí </w:t>
      </w:r>
      <w:r>
        <w:br/>
      </w:r>
      <w:r w:rsidRPr="00AE46CF">
        <w:t xml:space="preserve">a absence veřejné vysoké školy v kraji je jedním z důvodů pro obtížné udržení vysoce vzdělaného obyvatelstva v kraji. Nelze předpokládat, že v Karlovarském kraji vznikne v dohledné době významné centrum vysokoškolského vzdělávání a že kraj dokáže poskytovat vzdělání v široké řadě oborů, a to z řady </w:t>
      </w:r>
      <w:r w:rsidRPr="00AE46CF">
        <w:rPr>
          <w:szCs w:val="20"/>
        </w:rPr>
        <w:t xml:space="preserve">objektivních příčin. </w:t>
      </w:r>
      <w:r w:rsidRPr="00AE46CF">
        <w:t xml:space="preserve">I proto bude stále řada studentů odcházet za studiem do jiných krajů. Důležité je snažit se tyto absolventy nalákat zpět do Karlovarského kraje tak, aby zde byl dostatek vzdělané pracovní síly. To je možné jedině tím, že kraj nabídne těmto lidem </w:t>
      </w:r>
      <w:r w:rsidR="006A2477" w:rsidRPr="00AE46CF">
        <w:t xml:space="preserve">nejenom </w:t>
      </w:r>
      <w:r w:rsidRPr="00AE46CF">
        <w:t>zajímavé a atraktivní pracovní příležitosti, ale i další služby</w:t>
      </w:r>
      <w:r w:rsidRPr="00AE46CF">
        <w:rPr>
          <w:szCs w:val="20"/>
        </w:rPr>
        <w:t>. Identifikace úspěšných (původem místních) obyvatel a rozvíjení jejich vazeb na Karlovarský kraj a jeho hospodářskou základnu představuje možnost, jak vyvážit negativní efekt selektivní migrace. Kraj by se měl snažit podpořit rozvoj kooperačních vazeb mezi firmami a školami (a to včetně vysokých škol působících mimo kraj) a mezi firmami a studenty s cílem zajistit si do budoucna dostatek relevantně kvalifikovaných lidských zdrojů pro rozvoj místních podniků.</w:t>
      </w:r>
      <w:r>
        <w:rPr>
          <w:szCs w:val="20"/>
        </w:rPr>
        <w:t xml:space="preserve"> Od akademického roku 2014/2015 jsou studentům vysokých škol s trvalým bydlištěm na území kraje nabízena stipendia s podmínkou, že po úspěšném ukončení studia budou v kraji pracovat nebo podnikat tolik let, kolik let pobírali stipendium. V programu bylo dosud podpořeno přes 80 studentů vysokých škol. </w:t>
      </w:r>
    </w:p>
    <w:p w:rsidR="00B174B8" w:rsidRPr="009D4199" w:rsidRDefault="00B174B8" w:rsidP="002C40B2">
      <w:pPr>
        <w:pStyle w:val="Nadpis2"/>
      </w:pPr>
      <w:r w:rsidRPr="009D4199">
        <w:lastRenderedPageBreak/>
        <w:t xml:space="preserve">Celoživotní učení </w:t>
      </w:r>
    </w:p>
    <w:p w:rsidR="00B174B8" w:rsidRPr="00AE46CF" w:rsidRDefault="00B174B8" w:rsidP="002C40B2">
      <w:pPr>
        <w:spacing w:after="120"/>
      </w:pPr>
      <w:r w:rsidRPr="00AE46CF">
        <w:rPr>
          <w:bCs/>
        </w:rPr>
        <w:t>Celoživotní učení</w:t>
      </w:r>
      <w:r w:rsidRPr="00AE46CF">
        <w:rPr>
          <w:b/>
          <w:bCs/>
        </w:rPr>
        <w:t xml:space="preserve"> </w:t>
      </w:r>
      <w:r w:rsidRPr="00AE46CF">
        <w:t xml:space="preserve">je fenoménem zejména posledních dvou desetiletí. Představuje zásadní koncepční změnu pojetí vzdělávání a jeho organizačního principu. Všechny možnosti učení, ať už v tradičních vzdělávacích institucích </w:t>
      </w:r>
      <w:r w:rsidR="006A2477">
        <w:t>nebo</w:t>
      </w:r>
      <w:r w:rsidR="006A2477" w:rsidRPr="00AE46CF">
        <w:t xml:space="preserve"> </w:t>
      </w:r>
      <w:r w:rsidRPr="00AE46CF">
        <w:t>mimo ně, jsou vnímány jako jediný propojený celek. Celoživotní učení lze v podstatě rozdělit na dvě základní etapy – počáteční a další vzdělávání. Kategorie počáteční vzdělávání představuje nezbytný základ a řadí se do ní základní, střední nebo te</w:t>
      </w:r>
      <w:r w:rsidR="009D4199">
        <w:t xml:space="preserve">rciární vzdělávání. </w:t>
      </w:r>
      <w:r w:rsidRPr="00AE46CF">
        <w:t xml:space="preserve">Další vzdělávání je zaměřeno na získání vědomostí, dovedností či kompetencí pomáhajících </w:t>
      </w:r>
      <w:r w:rsidR="006A2477">
        <w:t xml:space="preserve">ke </w:t>
      </w:r>
      <w:r w:rsidRPr="00AE46CF">
        <w:t>zlepšení společenského či pracovního uplatnění jednotlivce. Za další vzdělávání je považován jakýkoliv typ vzdělávání nebo učení, který probíhá po prvním vstupu daného jedince na trh práce</w:t>
      </w:r>
      <w:r w:rsidR="009D4199">
        <w:t>,</w:t>
      </w:r>
      <w:r w:rsidRPr="00AE46CF">
        <w:t xml:space="preserve"> a to jak v pozici zaměstnaného</w:t>
      </w:r>
      <w:r w:rsidR="009D4199">
        <w:t>,</w:t>
      </w:r>
      <w:r w:rsidRPr="00AE46CF">
        <w:t xml:space="preserve"> tak nezaměstnaného. Další vzdělávaní je rozděleno do tří typů</w:t>
      </w:r>
      <w:r>
        <w:t>:</w:t>
      </w:r>
    </w:p>
    <w:p w:rsidR="00B174B8" w:rsidRPr="00CB62AB" w:rsidRDefault="00B174B8" w:rsidP="002C40B2">
      <w:pPr>
        <w:pStyle w:val="Odstavecseseznamem"/>
        <w:numPr>
          <w:ilvl w:val="0"/>
          <w:numId w:val="12"/>
        </w:numPr>
      </w:pPr>
      <w:r w:rsidRPr="009D4199">
        <w:rPr>
          <w:rFonts w:eastAsia="MinionCondE-Bold"/>
          <w:b/>
        </w:rPr>
        <w:t>formální vzdělávání</w:t>
      </w:r>
      <w:r w:rsidRPr="009D4199">
        <w:rPr>
          <w:rFonts w:eastAsia="MinionCondE-Bold"/>
        </w:rPr>
        <w:t xml:space="preserve"> - je</w:t>
      </w:r>
      <w:r w:rsidRPr="00CB62AB">
        <w:t xml:space="preserve"> realizováno především ve školách, účastníci vzdělávání mohou vstupovat i do školských forem, ve kterých se poskytuje převážně počáteční vzdělávání, s cílem doplnit si doposud získané vzdělání</w:t>
      </w:r>
      <w:r w:rsidR="006A2477">
        <w:t>,</w:t>
      </w:r>
      <w:r w:rsidRPr="00CB62AB">
        <w:t xml:space="preserve"> </w:t>
      </w:r>
    </w:p>
    <w:p w:rsidR="00B174B8" w:rsidRPr="00CB62AB" w:rsidRDefault="00B174B8" w:rsidP="002C40B2">
      <w:pPr>
        <w:pStyle w:val="Odstavecseseznamem"/>
        <w:numPr>
          <w:ilvl w:val="0"/>
          <w:numId w:val="12"/>
        </w:numPr>
      </w:pPr>
      <w:r w:rsidRPr="009D4199">
        <w:rPr>
          <w:rFonts w:eastAsia="MinionCondE-Bold"/>
          <w:b/>
        </w:rPr>
        <w:t>neformální vzdělávání -</w:t>
      </w:r>
      <w:r w:rsidRPr="009D4199">
        <w:rPr>
          <w:rFonts w:eastAsia="MinionCondE-Bold"/>
        </w:rPr>
        <w:t xml:space="preserve"> je</w:t>
      </w:r>
      <w:r w:rsidRPr="00CB62AB">
        <w:t xml:space="preserve"> poskytováno zaměstnavateli, soukromými vzdělávacími institucemi, neziskovými organizacemi či školskými zařízeními</w:t>
      </w:r>
      <w:r w:rsidR="006A2477">
        <w:t>,</w:t>
      </w:r>
      <w:r w:rsidRPr="00CB62AB">
        <w:t xml:space="preserve"> </w:t>
      </w:r>
    </w:p>
    <w:p w:rsidR="00B174B8" w:rsidRPr="00CB62AB" w:rsidRDefault="00B174B8" w:rsidP="002C40B2">
      <w:pPr>
        <w:pStyle w:val="Odstavecseseznamem"/>
        <w:numPr>
          <w:ilvl w:val="0"/>
          <w:numId w:val="12"/>
        </w:numPr>
      </w:pPr>
      <w:r w:rsidRPr="009D4199">
        <w:rPr>
          <w:rFonts w:eastAsia="MinionCondE-Bold"/>
          <w:b/>
        </w:rPr>
        <w:t>informální vzdělávání</w:t>
      </w:r>
      <w:r w:rsidRPr="009D4199">
        <w:rPr>
          <w:rFonts w:eastAsia="MinionCondE-Bold"/>
        </w:rPr>
        <w:t xml:space="preserve"> - </w:t>
      </w:r>
      <w:r w:rsidRPr="00CB62AB">
        <w:t>k tomuto vzdělávání dochází nahodile, často není zaměřené ani organizované (například prostřednictvím televize, kontaktů s ostatními lidmi apod.).</w:t>
      </w:r>
    </w:p>
    <w:p w:rsidR="00B174B8" w:rsidRPr="00AE46CF" w:rsidRDefault="00B174B8" w:rsidP="002C40B2">
      <w:r w:rsidRPr="00AE46CF">
        <w:t xml:space="preserve">V současné době se nejvíce pozornosti zaměřuje na další vzdělávání zaměřené na rozvoj aktuální kvalifikace nebo získání nové, tedy na další vzdělávání napojené na trh práce. Do této kategorie patří především další profesní vzdělávání – kvalifikační vzdělávání a další profesní vzdělávání </w:t>
      </w:r>
      <w:r w:rsidR="0024307F">
        <w:t>(</w:t>
      </w:r>
      <w:r w:rsidRPr="00AE46CF">
        <w:t>rekvalifikace</w:t>
      </w:r>
      <w:r w:rsidR="0024307F">
        <w:t>)</w:t>
      </w:r>
      <w:r w:rsidRPr="00AE46CF">
        <w:t>.</w:t>
      </w:r>
    </w:p>
    <w:p w:rsidR="00B174B8" w:rsidRPr="00AE46CF" w:rsidRDefault="00B174B8" w:rsidP="002C40B2">
      <w:r w:rsidRPr="00AE46CF">
        <w:t>Informace o dalším vzdělávání jsou získávány a vyhodnocovány zejména pomocí speciálních šetření organizovaných Českým statistickým úřadem. Výjimku představuje oblast rekvalifikací, které jsou zajišťovány a vyhodnocovány Ministerstvem práce a sociálních věcí ČR a jím řízenými institucemi. V této kapitole jsou využity celkem tři základní zdroje dat – data z Českého statistického úřadu, Krajského úřadu Karlovarského kraje a data sledovaná Ústavem pro informace ve vzdělávání. Zájem dospělých o další vzdělávání včetně odborné přípravy je monitorován pomocí ukazatelů vypovídajících o účasti dospělých na odborné přípravě a na dalším vzdělávání, které probíhá formou večerního, kombinovaného, dálkového nebo distančního studia, které jedinci mohou pomoci zajistit udržení, růst a rozvoj kvalifikační úrovně. Většina kurzů v rámci dalšího vzdělávání však probíhá mimo vzdělávací systém a za tuto oblast nejsou statistická data k dispozici. Proto je důležité uvést, že veškeré níže uvedené statistické údaje jsou uvedeny za oblast dalšího vzdělávání v rámci vzdělávacího systému. Statisticky je tedy podchycena pouze</w:t>
      </w:r>
      <w:r w:rsidR="001A798C">
        <w:t xml:space="preserve"> malá část dalšího vzdělávání. </w:t>
      </w:r>
    </w:p>
    <w:p w:rsidR="00B174B8" w:rsidRPr="00AE46CF" w:rsidRDefault="00B174B8" w:rsidP="002C40B2">
      <w:r w:rsidRPr="00AE46CF">
        <w:t>V rámci vzdělávací soustavy Karlovarského kraje realizují další vzdělávání dospělých prakticky všechny druhy vzdělávacích institucí s výjimkou předškolních zařízení. Střední školy nabízejí další vzdělávání především formou rekvalifikačního studia, přičemž některé kurzy jsou hrazeny úřady práce. Dále některé střední školy organizují kurzy jednotlivých předmětů či ucelených částí učiva, případně další specializační kurzy.</w:t>
      </w:r>
    </w:p>
    <w:p w:rsidR="00B174B8" w:rsidRDefault="00B174B8" w:rsidP="002C40B2">
      <w:r w:rsidRPr="00AE46CF">
        <w:t>Do systému formálního dalšího vzdělávání se také řadí vzdělávání, které poskytuje doplnění základního vzdělání</w:t>
      </w:r>
      <w:r>
        <w:t>.</w:t>
      </w:r>
      <w:r w:rsidRPr="00AE46CF">
        <w:t xml:space="preserve"> Tyto kurzy jsou organizovány v rámci regionálního školství na úrovni základního a středního vzdělávání. Počet účastníků tohoto typu vzdělávání je velmi nízký, avšak má </w:t>
      </w:r>
      <w:r w:rsidRPr="00AE46CF">
        <w:lastRenderedPageBreak/>
        <w:t>nezastupitelné místo. Tato forma vzdělávání nabízí všem jedincům, kteří z jakéhokoliv důvodu neukončili základní vzdělání, si je doplnit. Vyšší zájem je o kurzy základního vzdělání</w:t>
      </w:r>
      <w:r>
        <w:t>.</w:t>
      </w:r>
    </w:p>
    <w:p w:rsidR="00B174B8" w:rsidRPr="005C0DDF" w:rsidRDefault="001A798C" w:rsidP="002C40B2">
      <w:pPr>
        <w:rPr>
          <w:highlight w:val="yellow"/>
        </w:rPr>
      </w:pPr>
      <w:r>
        <w:t xml:space="preserve">V </w:t>
      </w:r>
      <w:r w:rsidR="004F2330">
        <w:fldChar w:fldCharType="begin"/>
      </w:r>
      <w:r w:rsidR="004F2330">
        <w:instrText xml:space="preserve"> REF _Ref468877119 \h  \* MERGEFORMAT </w:instrText>
      </w:r>
      <w:r w:rsidR="004F2330">
        <w:fldChar w:fldCharType="separate"/>
      </w:r>
      <w:r w:rsidR="00EB0944">
        <w:t>tabulce</w:t>
      </w:r>
      <w:r w:rsidR="00CB29BD">
        <w:t xml:space="preserve"> </w:t>
      </w:r>
      <w:r w:rsidR="00CB29BD">
        <w:rPr>
          <w:noProof/>
        </w:rPr>
        <w:t>11</w:t>
      </w:r>
      <w:r w:rsidR="00CB29BD">
        <w:t>.5</w:t>
      </w:r>
      <w:r w:rsidR="004F2330">
        <w:fldChar w:fldCharType="end"/>
      </w:r>
      <w:r w:rsidR="00B174B8">
        <w:t xml:space="preserve"> je uveden přehled jednotlivých typů kurzů dalšího vzdělávání, které realizují střední školy v Karlovarském kraji v členění dle jednotlivých okresů. </w:t>
      </w:r>
      <w:r w:rsidR="00B174B8">
        <w:rPr>
          <w:sz w:val="23"/>
          <w:szCs w:val="23"/>
        </w:rPr>
        <w:t>Nejširší nabídka je v oblasti odborných kurzů a rekvalifikačních kurzů. Účastníci dalšího vzdělávání pak ve školním roce 2014/2015 nejvíce navštěvovali odborné kurzy.</w:t>
      </w:r>
      <w:r w:rsidR="00B174B8">
        <w:t xml:space="preserve"> </w:t>
      </w:r>
    </w:p>
    <w:p w:rsidR="00B174B8" w:rsidRPr="001A798C" w:rsidRDefault="001A798C" w:rsidP="000B3B9C">
      <w:pPr>
        <w:pStyle w:val="Titulek"/>
      </w:pPr>
      <w:bookmarkStart w:id="304" w:name="_Ref468877119"/>
      <w:bookmarkStart w:id="305" w:name="_Toc488233504"/>
      <w:r>
        <w:t xml:space="preserve">Tabulka </w:t>
      </w:r>
      <w:r w:rsidR="008965FE">
        <w:fldChar w:fldCharType="begin"/>
      </w:r>
      <w:r w:rsidR="00B33DFE">
        <w:instrText xml:space="preserve"> STYLEREF 1 \s </w:instrText>
      </w:r>
      <w:r w:rsidR="008965FE">
        <w:fldChar w:fldCharType="separate"/>
      </w:r>
      <w:r w:rsidR="00CB29BD">
        <w:t>11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5</w:t>
      </w:r>
      <w:r w:rsidR="004F2330">
        <w:fldChar w:fldCharType="end"/>
      </w:r>
      <w:bookmarkEnd w:id="304"/>
      <w:r w:rsidR="00B174B8" w:rsidRPr="001A798C">
        <w:t>: Kurzy organizované středními školami v KK ve školním roce 2014/2015</w:t>
      </w:r>
      <w:bookmarkEnd w:id="305"/>
    </w:p>
    <w:tbl>
      <w:tblPr>
        <w:tblW w:w="5000" w:type="pct"/>
        <w:tblLayout w:type="fixed"/>
        <w:tblCellMar>
          <w:left w:w="70" w:type="dxa"/>
          <w:right w:w="70" w:type="dxa"/>
        </w:tblCellMar>
        <w:tblLook w:val="04A0" w:firstRow="1" w:lastRow="0" w:firstColumn="1" w:lastColumn="0" w:noHBand="0" w:noVBand="1"/>
      </w:tblPr>
      <w:tblGrid>
        <w:gridCol w:w="1773"/>
        <w:gridCol w:w="850"/>
        <w:gridCol w:w="991"/>
        <w:gridCol w:w="851"/>
        <w:gridCol w:w="993"/>
        <w:gridCol w:w="849"/>
        <w:gridCol w:w="993"/>
        <w:gridCol w:w="849"/>
        <w:gridCol w:w="1063"/>
      </w:tblGrid>
      <w:tr w:rsidR="00DD7F98" w:rsidRPr="001A798C" w:rsidTr="00DD7F98">
        <w:trPr>
          <w:trHeight w:val="600"/>
        </w:trPr>
        <w:tc>
          <w:tcPr>
            <w:tcW w:w="962" w:type="pct"/>
            <w:vMerge w:val="restart"/>
            <w:tcBorders>
              <w:top w:val="single" w:sz="4" w:space="0" w:color="auto"/>
              <w:left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Typ kurzu</w:t>
            </w:r>
            <w:r w:rsidR="001A798C" w:rsidRPr="001A798C">
              <w:rPr>
                <w:rFonts w:asciiTheme="minorHAnsi" w:hAnsiTheme="minorHAnsi" w:cs="Times New Roman"/>
                <w:b/>
                <w:color w:val="000000"/>
                <w:sz w:val="20"/>
                <w:szCs w:val="20"/>
              </w:rPr>
              <w:t>/o</w:t>
            </w:r>
            <w:r w:rsidRPr="001A798C">
              <w:rPr>
                <w:rFonts w:asciiTheme="minorHAnsi" w:hAnsiTheme="minorHAnsi" w:cs="Times New Roman"/>
                <w:b/>
                <w:color w:val="000000"/>
                <w:sz w:val="20"/>
                <w:szCs w:val="20"/>
              </w:rPr>
              <w:t>kres</w:t>
            </w:r>
          </w:p>
        </w:tc>
        <w:tc>
          <w:tcPr>
            <w:tcW w:w="999" w:type="pct"/>
            <w:gridSpan w:val="2"/>
            <w:tcBorders>
              <w:top w:val="single" w:sz="4" w:space="0" w:color="auto"/>
              <w:left w:val="nil"/>
              <w:bottom w:val="single" w:sz="4" w:space="0" w:color="auto"/>
              <w:right w:val="single" w:sz="4" w:space="0" w:color="auto"/>
            </w:tcBorders>
            <w:shd w:val="clear" w:color="auto" w:fill="auto"/>
            <w:noWrap/>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bCs/>
                <w:color w:val="000000"/>
                <w:sz w:val="20"/>
                <w:szCs w:val="20"/>
              </w:rPr>
              <w:t>Cheb</w:t>
            </w:r>
          </w:p>
        </w:tc>
        <w:tc>
          <w:tcPr>
            <w:tcW w:w="1001" w:type="pct"/>
            <w:gridSpan w:val="2"/>
            <w:tcBorders>
              <w:top w:val="single" w:sz="4" w:space="0" w:color="auto"/>
              <w:left w:val="nil"/>
              <w:bottom w:val="single" w:sz="4" w:space="0" w:color="auto"/>
              <w:right w:val="single" w:sz="4" w:space="0" w:color="auto"/>
            </w:tcBorders>
            <w:shd w:val="clear" w:color="auto" w:fill="auto"/>
            <w:noWrap/>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bCs/>
                <w:color w:val="000000"/>
                <w:sz w:val="20"/>
                <w:szCs w:val="20"/>
              </w:rPr>
              <w:t>Karlovy Vary</w:t>
            </w:r>
          </w:p>
        </w:tc>
        <w:tc>
          <w:tcPr>
            <w:tcW w:w="1000" w:type="pct"/>
            <w:gridSpan w:val="2"/>
            <w:tcBorders>
              <w:top w:val="single" w:sz="4" w:space="0" w:color="auto"/>
              <w:left w:val="nil"/>
              <w:bottom w:val="single" w:sz="4" w:space="0" w:color="auto"/>
              <w:right w:val="single" w:sz="4" w:space="0" w:color="auto"/>
            </w:tcBorders>
            <w:shd w:val="clear" w:color="auto" w:fill="auto"/>
            <w:noWrap/>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bCs/>
                <w:color w:val="000000"/>
                <w:sz w:val="20"/>
                <w:szCs w:val="20"/>
              </w:rPr>
              <w:t>Sokolov</w:t>
            </w:r>
          </w:p>
        </w:tc>
        <w:tc>
          <w:tcPr>
            <w:tcW w:w="1038" w:type="pct"/>
            <w:gridSpan w:val="2"/>
            <w:tcBorders>
              <w:top w:val="single" w:sz="4" w:space="0" w:color="auto"/>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bCs/>
                <w:color w:val="000000"/>
                <w:sz w:val="20"/>
                <w:szCs w:val="20"/>
              </w:rPr>
            </w:pPr>
            <w:r w:rsidRPr="001A798C">
              <w:rPr>
                <w:rFonts w:asciiTheme="minorHAnsi" w:hAnsiTheme="minorHAnsi" w:cs="Times New Roman"/>
                <w:b/>
                <w:bCs/>
                <w:color w:val="000000"/>
                <w:sz w:val="20"/>
                <w:szCs w:val="20"/>
              </w:rPr>
              <w:t>Karlovarský kraj</w:t>
            </w:r>
          </w:p>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bCs/>
                <w:color w:val="000000"/>
                <w:sz w:val="20"/>
                <w:szCs w:val="20"/>
              </w:rPr>
              <w:t>celkem</w:t>
            </w:r>
          </w:p>
        </w:tc>
      </w:tr>
      <w:tr w:rsidR="00DD7F98" w:rsidRPr="001A798C" w:rsidTr="00DD7F98">
        <w:trPr>
          <w:trHeight w:val="900"/>
        </w:trPr>
        <w:tc>
          <w:tcPr>
            <w:tcW w:w="962" w:type="pct"/>
            <w:vMerge/>
            <w:tcBorders>
              <w:left w:val="single" w:sz="4" w:space="0" w:color="auto"/>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p>
        </w:tc>
        <w:tc>
          <w:tcPr>
            <w:tcW w:w="461"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kurzů</w:t>
            </w:r>
          </w:p>
        </w:tc>
        <w:tc>
          <w:tcPr>
            <w:tcW w:w="538"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účastníků</w:t>
            </w:r>
          </w:p>
        </w:tc>
        <w:tc>
          <w:tcPr>
            <w:tcW w:w="462"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kurzů</w:t>
            </w:r>
          </w:p>
        </w:tc>
        <w:tc>
          <w:tcPr>
            <w:tcW w:w="539"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účastníků</w:t>
            </w:r>
          </w:p>
        </w:tc>
        <w:tc>
          <w:tcPr>
            <w:tcW w:w="461"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kurzů</w:t>
            </w:r>
          </w:p>
        </w:tc>
        <w:tc>
          <w:tcPr>
            <w:tcW w:w="539"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účastníků</w:t>
            </w:r>
          </w:p>
        </w:tc>
        <w:tc>
          <w:tcPr>
            <w:tcW w:w="461"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kurzů</w:t>
            </w:r>
          </w:p>
        </w:tc>
        <w:tc>
          <w:tcPr>
            <w:tcW w:w="577"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0562C0">
            <w:pPr>
              <w:spacing w:after="0"/>
              <w:jc w:val="center"/>
              <w:rPr>
                <w:rFonts w:asciiTheme="minorHAnsi" w:hAnsiTheme="minorHAnsi" w:cs="Times New Roman"/>
                <w:b/>
                <w:color w:val="000000"/>
                <w:sz w:val="20"/>
                <w:szCs w:val="20"/>
              </w:rPr>
            </w:pPr>
            <w:r w:rsidRPr="001A798C">
              <w:rPr>
                <w:rFonts w:asciiTheme="minorHAnsi" w:hAnsiTheme="minorHAnsi" w:cs="Times New Roman"/>
                <w:b/>
                <w:color w:val="000000"/>
                <w:sz w:val="20"/>
                <w:szCs w:val="20"/>
              </w:rPr>
              <w:t>Počet účastníků</w:t>
            </w:r>
          </w:p>
        </w:tc>
      </w:tr>
      <w:tr w:rsidR="00DD7F98" w:rsidRPr="001A798C" w:rsidTr="00DD7F98">
        <w:trPr>
          <w:trHeight w:val="30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B174B8" w:rsidRPr="001A798C" w:rsidRDefault="00B174B8" w:rsidP="00DA3F4B">
            <w:pPr>
              <w:spacing w:after="0"/>
              <w:jc w:val="left"/>
              <w:rPr>
                <w:rFonts w:asciiTheme="minorHAnsi" w:hAnsiTheme="minorHAnsi" w:cs="Times New Roman"/>
                <w:color w:val="000000"/>
                <w:sz w:val="20"/>
                <w:szCs w:val="20"/>
              </w:rPr>
            </w:pPr>
            <w:r w:rsidRPr="001A798C">
              <w:rPr>
                <w:rFonts w:asciiTheme="minorHAnsi" w:hAnsiTheme="minorHAnsi" w:cs="Times New Roman"/>
                <w:color w:val="000000"/>
                <w:sz w:val="20"/>
                <w:szCs w:val="20"/>
              </w:rPr>
              <w:t>Odborné kurzy</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2</w:t>
            </w:r>
          </w:p>
        </w:tc>
        <w:tc>
          <w:tcPr>
            <w:tcW w:w="538"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42</w:t>
            </w:r>
          </w:p>
        </w:tc>
        <w:tc>
          <w:tcPr>
            <w:tcW w:w="462"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161</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15</w:t>
            </w:r>
          </w:p>
        </w:tc>
        <w:tc>
          <w:tcPr>
            <w:tcW w:w="577"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203</w:t>
            </w:r>
          </w:p>
        </w:tc>
      </w:tr>
      <w:tr w:rsidR="00DD7F98" w:rsidRPr="001A798C" w:rsidTr="00DD7F98">
        <w:trPr>
          <w:trHeight w:val="60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B174B8" w:rsidRPr="001A798C" w:rsidRDefault="00B174B8" w:rsidP="00DA3F4B">
            <w:pPr>
              <w:spacing w:after="0"/>
              <w:jc w:val="left"/>
              <w:rPr>
                <w:rFonts w:asciiTheme="minorHAnsi" w:hAnsiTheme="minorHAnsi" w:cs="Times New Roman"/>
                <w:color w:val="000000"/>
                <w:sz w:val="20"/>
                <w:szCs w:val="20"/>
              </w:rPr>
            </w:pPr>
            <w:r w:rsidRPr="001A798C">
              <w:rPr>
                <w:rFonts w:asciiTheme="minorHAnsi" w:hAnsiTheme="minorHAnsi" w:cs="Times New Roman"/>
                <w:color w:val="000000"/>
                <w:sz w:val="20"/>
                <w:szCs w:val="20"/>
              </w:rPr>
              <w:t>Kurzy jednotlivých předmětů</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538"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462"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52</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36</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6</w:t>
            </w:r>
          </w:p>
        </w:tc>
        <w:tc>
          <w:tcPr>
            <w:tcW w:w="577"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88</w:t>
            </w:r>
          </w:p>
        </w:tc>
      </w:tr>
      <w:tr w:rsidR="00DD7F98" w:rsidRPr="001A798C" w:rsidTr="00DD7F98">
        <w:trPr>
          <w:trHeight w:val="60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B174B8" w:rsidRPr="001A798C" w:rsidRDefault="00B174B8" w:rsidP="00DA3F4B">
            <w:pPr>
              <w:spacing w:after="0"/>
              <w:jc w:val="left"/>
              <w:rPr>
                <w:rFonts w:asciiTheme="minorHAnsi" w:hAnsiTheme="minorHAnsi" w:cs="Times New Roman"/>
                <w:color w:val="000000"/>
                <w:sz w:val="20"/>
                <w:szCs w:val="20"/>
              </w:rPr>
            </w:pPr>
            <w:r w:rsidRPr="001A798C">
              <w:rPr>
                <w:rFonts w:asciiTheme="minorHAnsi" w:hAnsiTheme="minorHAnsi" w:cs="Times New Roman"/>
                <w:color w:val="000000"/>
                <w:sz w:val="20"/>
                <w:szCs w:val="20"/>
              </w:rPr>
              <w:t>Pomaturitní specializační kurzy</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1</w:t>
            </w:r>
          </w:p>
        </w:tc>
        <w:tc>
          <w:tcPr>
            <w:tcW w:w="538"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6</w:t>
            </w:r>
          </w:p>
        </w:tc>
        <w:tc>
          <w:tcPr>
            <w:tcW w:w="462"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1</w:t>
            </w:r>
          </w:p>
        </w:tc>
        <w:tc>
          <w:tcPr>
            <w:tcW w:w="577"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6</w:t>
            </w:r>
          </w:p>
        </w:tc>
      </w:tr>
      <w:tr w:rsidR="00DD7F98" w:rsidRPr="001A798C" w:rsidTr="00DD7F98">
        <w:trPr>
          <w:trHeight w:val="900"/>
        </w:trPr>
        <w:tc>
          <w:tcPr>
            <w:tcW w:w="962" w:type="pct"/>
            <w:tcBorders>
              <w:top w:val="nil"/>
              <w:left w:val="single" w:sz="4" w:space="0" w:color="auto"/>
              <w:bottom w:val="single" w:sz="4" w:space="0" w:color="auto"/>
              <w:right w:val="single" w:sz="4" w:space="0" w:color="auto"/>
            </w:tcBorders>
            <w:shd w:val="clear" w:color="auto" w:fill="auto"/>
            <w:vAlign w:val="center"/>
            <w:hideMark/>
          </w:tcPr>
          <w:p w:rsidR="00B174B8" w:rsidRPr="001A798C" w:rsidRDefault="00B174B8" w:rsidP="00DA3F4B">
            <w:pPr>
              <w:spacing w:after="0"/>
              <w:jc w:val="left"/>
              <w:rPr>
                <w:rFonts w:asciiTheme="minorHAnsi" w:hAnsiTheme="minorHAnsi" w:cs="Times New Roman"/>
                <w:color w:val="000000"/>
                <w:sz w:val="20"/>
                <w:szCs w:val="20"/>
              </w:rPr>
            </w:pPr>
            <w:r w:rsidRPr="001A798C">
              <w:rPr>
                <w:rFonts w:asciiTheme="minorHAnsi" w:hAnsiTheme="minorHAnsi" w:cs="Times New Roman"/>
                <w:color w:val="000000"/>
                <w:sz w:val="20"/>
                <w:szCs w:val="20"/>
              </w:rPr>
              <w:t>Rekvalifikační kurzy mimo soustavu oborů vzdělání</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4</w:t>
            </w:r>
          </w:p>
        </w:tc>
        <w:tc>
          <w:tcPr>
            <w:tcW w:w="538"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15</w:t>
            </w:r>
          </w:p>
        </w:tc>
        <w:tc>
          <w:tcPr>
            <w:tcW w:w="462"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21</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539"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0</w:t>
            </w:r>
          </w:p>
        </w:tc>
        <w:tc>
          <w:tcPr>
            <w:tcW w:w="461" w:type="pct"/>
            <w:tcBorders>
              <w:top w:val="nil"/>
              <w:left w:val="nil"/>
              <w:bottom w:val="single" w:sz="4" w:space="0" w:color="auto"/>
              <w:right w:val="single" w:sz="4" w:space="0" w:color="auto"/>
            </w:tcBorders>
            <w:shd w:val="clear" w:color="auto" w:fill="auto"/>
            <w:noWrap/>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6</w:t>
            </w:r>
          </w:p>
        </w:tc>
        <w:tc>
          <w:tcPr>
            <w:tcW w:w="577" w:type="pct"/>
            <w:tcBorders>
              <w:top w:val="nil"/>
              <w:left w:val="nil"/>
              <w:bottom w:val="single" w:sz="4" w:space="0" w:color="auto"/>
              <w:right w:val="single" w:sz="4" w:space="0" w:color="auto"/>
            </w:tcBorders>
            <w:shd w:val="clear" w:color="auto" w:fill="auto"/>
            <w:vAlign w:val="center"/>
            <w:hideMark/>
          </w:tcPr>
          <w:p w:rsidR="00B174B8" w:rsidRPr="001A798C" w:rsidRDefault="00B174B8" w:rsidP="002C40B2">
            <w:pPr>
              <w:spacing w:after="0"/>
              <w:jc w:val="center"/>
              <w:rPr>
                <w:rFonts w:asciiTheme="minorHAnsi" w:hAnsiTheme="minorHAnsi" w:cs="Times New Roman"/>
                <w:color w:val="000000"/>
                <w:sz w:val="20"/>
                <w:szCs w:val="20"/>
              </w:rPr>
            </w:pPr>
            <w:r w:rsidRPr="001A798C">
              <w:rPr>
                <w:rFonts w:asciiTheme="minorHAnsi" w:hAnsiTheme="minorHAnsi" w:cs="Times New Roman"/>
                <w:color w:val="000000"/>
                <w:sz w:val="20"/>
                <w:szCs w:val="20"/>
              </w:rPr>
              <w:t>36</w:t>
            </w:r>
          </w:p>
        </w:tc>
      </w:tr>
    </w:tbl>
    <w:p w:rsidR="00B174B8" w:rsidRPr="001A798C" w:rsidRDefault="00B174B8" w:rsidP="002C40B2">
      <w:pPr>
        <w:pStyle w:val="Zdroj"/>
        <w:spacing w:before="120" w:line="276" w:lineRule="auto"/>
        <w:rPr>
          <w:rStyle w:val="Zdraznnjemn"/>
        </w:rPr>
      </w:pPr>
      <w:r w:rsidRPr="001A798C">
        <w:rPr>
          <w:rStyle w:val="Zdraznnjemn"/>
        </w:rPr>
        <w:t xml:space="preserve">Zdroj: Výroční zpráva o stavu a rozvoji vzdělávací soustavy v Karlovarském kraji za školní rok 2014/2015 </w:t>
      </w:r>
    </w:p>
    <w:p w:rsidR="00B174B8" w:rsidRPr="001A798C" w:rsidRDefault="00B174B8" w:rsidP="002C40B2">
      <w:pPr>
        <w:pStyle w:val="Nadpis2"/>
      </w:pPr>
      <w:r w:rsidRPr="001A798C">
        <w:t>Vzdělávání pedagogických pracovníků</w:t>
      </w:r>
    </w:p>
    <w:p w:rsidR="00B174B8" w:rsidRDefault="00B174B8" w:rsidP="002C40B2">
      <w:r w:rsidRPr="001E36C0">
        <w:t xml:space="preserve">Pro řízení školy směrem k vyšší kvalitě vzdělávání jsou samozřejmě nejdůležitějším článkem </w:t>
      </w:r>
      <w:r w:rsidRPr="00485A52">
        <w:rPr>
          <w:bCs/>
        </w:rPr>
        <w:t>pedagogičtí pracovníci</w:t>
      </w:r>
      <w:r w:rsidRPr="000D69C9">
        <w:t>.</w:t>
      </w:r>
      <w:r w:rsidRPr="001E36C0">
        <w:t xml:space="preserve"> V této oblasti se Karlovarský kraj potýká delší dobu s několika klíčovými problémy:</w:t>
      </w:r>
    </w:p>
    <w:p w:rsidR="00B174B8" w:rsidRPr="000D69C9" w:rsidRDefault="00B174B8" w:rsidP="002C40B2">
      <w:pPr>
        <w:pStyle w:val="Odstavecseseznamem"/>
        <w:numPr>
          <w:ilvl w:val="0"/>
          <w:numId w:val="13"/>
        </w:numPr>
      </w:pPr>
      <w:r w:rsidRPr="001A798C">
        <w:rPr>
          <w:b/>
        </w:rPr>
        <w:t>nedostatečná odborná kvalifikace učitelů</w:t>
      </w:r>
      <w:r w:rsidRPr="000D69C9">
        <w:t xml:space="preserve"> - odchod kvalifikovaných učitelů do důchodu, kteří nejsou nahrazováni adekvátně kvalifikovanými mladými lidmi, malý zájem o další vzdělávání ze strany pedagogických pracovníků</w:t>
      </w:r>
      <w:r>
        <w:t>,</w:t>
      </w:r>
    </w:p>
    <w:p w:rsidR="00B174B8" w:rsidRPr="000D69C9" w:rsidRDefault="00B174B8" w:rsidP="002C40B2">
      <w:pPr>
        <w:pStyle w:val="Odstavecseseznamem"/>
        <w:numPr>
          <w:ilvl w:val="0"/>
          <w:numId w:val="13"/>
        </w:numPr>
      </w:pPr>
      <w:r w:rsidRPr="001A798C">
        <w:rPr>
          <w:b/>
        </w:rPr>
        <w:t>nízká motivace pro povolání pedagoga</w:t>
      </w:r>
      <w:r w:rsidRPr="000D69C9">
        <w:t xml:space="preserve"> - souvislost s klesající prestiží učitelského povolání, se stávajícími převažujícími metodami, obsahem vzdělávání a málo funkční kariérní růst neodpovídající představám o osobním rozvoji; s tím související nedostatečné finanční ohodnocení práce vysokoškolsky vzdělaných učitelů</w:t>
      </w:r>
      <w:r>
        <w:t>.</w:t>
      </w:r>
    </w:p>
    <w:p w:rsidR="00B174B8" w:rsidRDefault="00B174B8" w:rsidP="002C40B2">
      <w:pPr>
        <w:spacing w:before="120" w:after="120"/>
        <w:rPr>
          <w:highlight w:val="yellow"/>
        </w:rPr>
      </w:pPr>
      <w:r>
        <w:rPr>
          <w:sz w:val="23"/>
          <w:szCs w:val="23"/>
        </w:rPr>
        <w:t xml:space="preserve">Z údajů </w:t>
      </w:r>
      <w:r w:rsidRPr="00485A52">
        <w:rPr>
          <w:i/>
          <w:sz w:val="23"/>
          <w:szCs w:val="23"/>
        </w:rPr>
        <w:t>Dlouhodobého záměru vzdělávání a rozvoje vzdělávací soustavy Karlovarského kraje 2016 – 2020</w:t>
      </w:r>
      <w:r>
        <w:rPr>
          <w:sz w:val="23"/>
          <w:szCs w:val="23"/>
        </w:rPr>
        <w:t xml:space="preserve"> vyplývá, že se situace ohledně odborné kvalifikace učitelů za období 2006 - 2015 postupně zlepšila, nicméně i přesto je v porovnání se situací v ostatních krajích ČR stále nejhorší. Za sledované období se v našem kraji celkový počet kvalifikovaných učitelů v mateřských školách, základních školách, středních školách a vyšších odborných školách zvýšil z 68,51 % na 85,21 %,</w:t>
      </w:r>
      <w:r>
        <w:rPr>
          <w:sz w:val="23"/>
          <w:szCs w:val="23"/>
        </w:rPr>
        <w:br/>
        <w:t xml:space="preserve">tj. o 16,7 % (meziroční nárůst v posledních dvou školních rocích byl 5,69 %, což je nejvyšší za celé období). Za průměrem ČR 91,54 % tak zaostáváme o 6,43 %. Otázka nízké motivace pro povolání </w:t>
      </w:r>
      <w:r>
        <w:rPr>
          <w:sz w:val="23"/>
          <w:szCs w:val="23"/>
        </w:rPr>
        <w:lastRenderedPageBreak/>
        <w:t xml:space="preserve">pedagoga spadá spíše do kompetence Ministerstva školství, mládeže a tělovýchovy (MŠMT), které přiděluje finanční prostředky na platy pedagogických a nepedagogických pracovníků. Řešením tohoto bodu je nastavení spravedlivého kariérního systému, který bude pedagogické pracovníky motivovat. Aktuálně ministerstvo připravuje legislativní ukotvení tohoto systému. </w:t>
      </w:r>
    </w:p>
    <w:p w:rsidR="00B174B8" w:rsidRPr="003371F1" w:rsidRDefault="00B174B8" w:rsidP="002C40B2">
      <w:pPr>
        <w:spacing w:before="120" w:after="120"/>
      </w:pPr>
      <w:r w:rsidRPr="001E36C0">
        <w:t xml:space="preserve">Karlovarský kraj v oblasti celoživotního učení zaměřuje velkou pozornost na další vzdělávání pedagogických pracovníků (DVPP), které je založeno na principu spolupráce státních </w:t>
      </w:r>
      <w:r>
        <w:br/>
      </w:r>
      <w:r w:rsidRPr="001E36C0">
        <w:t xml:space="preserve">a krajských organizací. Jsou to zejména </w:t>
      </w:r>
      <w:r>
        <w:t>O</w:t>
      </w:r>
      <w:r w:rsidRPr="001E36C0">
        <w:t xml:space="preserve">dbor školství, mládeže a tělovýchovy krajského úřadu, </w:t>
      </w:r>
      <w:r>
        <w:t>Česká školní inspekce</w:t>
      </w:r>
      <w:r w:rsidRPr="001E36C0">
        <w:t>, Národní institut dalšího vzdělávání – krajské pracoviště Karlovy Vary a Krajské vzdělávací centrum (KVC). V kraji také působí některé soukromé a neziskové vzdělávací společnosti</w:t>
      </w:r>
      <w:r>
        <w:t>.</w:t>
      </w:r>
    </w:p>
    <w:p w:rsidR="00B174B8" w:rsidRPr="005C0DDF" w:rsidRDefault="00B174B8" w:rsidP="002C40B2">
      <w:pPr>
        <w:spacing w:before="120" w:after="120"/>
        <w:rPr>
          <w:bCs/>
          <w:highlight w:val="yellow"/>
        </w:rPr>
      </w:pPr>
      <w:r w:rsidRPr="001E36C0">
        <w:rPr>
          <w:b/>
          <w:bCs/>
        </w:rPr>
        <w:t xml:space="preserve">Krajské vzdělávací centrum </w:t>
      </w:r>
      <w:r w:rsidRPr="001E36C0">
        <w:rPr>
          <w:bCs/>
        </w:rPr>
        <w:t xml:space="preserve">bylo vytvořeno v rámci projektu financovaného z Evropského sociálního fondu </w:t>
      </w:r>
      <w:r>
        <w:rPr>
          <w:bCs/>
        </w:rPr>
        <w:t xml:space="preserve">(ESF) </w:t>
      </w:r>
      <w:r w:rsidRPr="001E36C0">
        <w:rPr>
          <w:bCs/>
        </w:rPr>
        <w:t>– operační</w:t>
      </w:r>
      <w:r>
        <w:rPr>
          <w:bCs/>
        </w:rPr>
        <w:t>ho</w:t>
      </w:r>
      <w:r w:rsidRPr="001E36C0">
        <w:rPr>
          <w:bCs/>
        </w:rPr>
        <w:t xml:space="preserve"> program</w:t>
      </w:r>
      <w:r>
        <w:rPr>
          <w:bCs/>
        </w:rPr>
        <w:t>u</w:t>
      </w:r>
      <w:r w:rsidRPr="001E36C0">
        <w:rPr>
          <w:bCs/>
        </w:rPr>
        <w:t xml:space="preserve"> Vzdělávání pro konkurenceschopnost</w:t>
      </w:r>
      <w:r>
        <w:rPr>
          <w:bCs/>
        </w:rPr>
        <w:t xml:space="preserve"> (OP VK)</w:t>
      </w:r>
      <w:r w:rsidRPr="001E36C0">
        <w:rPr>
          <w:bCs/>
        </w:rPr>
        <w:t xml:space="preserve">. </w:t>
      </w:r>
      <w:r w:rsidRPr="001E36C0">
        <w:t xml:space="preserve">Jeho činnost je v současné době zcela zaměřena na </w:t>
      </w:r>
      <w:r>
        <w:t>realizaci akreditovaných vzdělávacích kurzů orientovaných na všeobecné i odborné předměty, dále na metodickou pomoc pedagogickým pracovníkům, realizaci kurzů zacílených na aktuální témata (např. společné vzdělávání) a realizaci společných setkávání pedagogů (Pedagogických dnů).</w:t>
      </w:r>
    </w:p>
    <w:p w:rsidR="00B174B8" w:rsidRPr="000B2353" w:rsidRDefault="00B174B8" w:rsidP="002C40B2">
      <w:pPr>
        <w:spacing w:before="120" w:after="120"/>
      </w:pPr>
      <w:r w:rsidRPr="000E33EE">
        <w:rPr>
          <w:b/>
          <w:bCs/>
        </w:rPr>
        <w:t xml:space="preserve">Národní institut pro další vzdělávání </w:t>
      </w:r>
      <w:r w:rsidRPr="003371F1">
        <w:rPr>
          <w:bCs/>
        </w:rPr>
        <w:t>(NIDV)</w:t>
      </w:r>
      <w:r>
        <w:rPr>
          <w:b/>
          <w:bCs/>
        </w:rPr>
        <w:t xml:space="preserve"> </w:t>
      </w:r>
      <w:r w:rsidRPr="000E33EE">
        <w:rPr>
          <w:bCs/>
        </w:rPr>
        <w:t xml:space="preserve">je příspěvkovou organizací MŠMT a v Karlových Varech má </w:t>
      </w:r>
      <w:r w:rsidRPr="000E33EE">
        <w:t xml:space="preserve">krajské pracoviště. Institut se zaměřuje především na realizaci a podporu prioritních témat celostátní vzdělávací politiky a zároveň ve své nabídce zohledňuje potřeby učitelů a škol v jednotlivých krajích ČR. Celostátně i regionálně nabízí vzdělávací programy, které jsou finančně podporovány z prostředků ESF. V posledních době pak roste zájem o vzdělávací akce “na klíč“ pro pedagogické sbory jednotlivých škol a o konzultační a metodickou podporu. </w:t>
      </w:r>
      <w:r>
        <w:t xml:space="preserve">Metodická a vzdělávací činnost NIDV byla ve školním roce 2014/2015 na krajském pracovišti Karlovy Vary realizována ve všech základních směrech tj. v oblasti projektů ESF – OP VK, v oblasti kvalifikačních studií – kariérní vzdělávání i v oblasti průběžného vzdělávání. </w:t>
      </w:r>
      <w:r w:rsidRPr="000B2353">
        <w:t xml:space="preserve">Mezi </w:t>
      </w:r>
      <w:r>
        <w:t xml:space="preserve">jeho </w:t>
      </w:r>
      <w:r w:rsidRPr="000B2353">
        <w:t>zcela nové úkoly patří</w:t>
      </w:r>
      <w:r>
        <w:t xml:space="preserve"> </w:t>
      </w:r>
      <w:r w:rsidRPr="000B2353">
        <w:t xml:space="preserve">podpora nadání </w:t>
      </w:r>
      <w:r>
        <w:t>(</w:t>
      </w:r>
      <w:r w:rsidRPr="000B2353">
        <w:t>tvor</w:t>
      </w:r>
      <w:r w:rsidR="00246423">
        <w:t xml:space="preserve">ba </w:t>
      </w:r>
      <w:r w:rsidR="003C4FFB">
        <w:t>k</w:t>
      </w:r>
      <w:r w:rsidR="00246423">
        <w:t>rajské koordinační skupiny K</w:t>
      </w:r>
      <w:r w:rsidRPr="000B2353">
        <w:t>rajské sítě podpory nadání</w:t>
      </w:r>
      <w:r>
        <w:t>)</w:t>
      </w:r>
      <w:r w:rsidRPr="000B2353">
        <w:t>,</w:t>
      </w:r>
      <w:r>
        <w:t xml:space="preserve"> </w:t>
      </w:r>
      <w:r w:rsidRPr="000B2353">
        <w:t xml:space="preserve">podpora učitelů vzdělávajících děti/žáky </w:t>
      </w:r>
      <w:r>
        <w:t>–</w:t>
      </w:r>
      <w:r w:rsidRPr="000B2353">
        <w:t xml:space="preserve"> cizince</w:t>
      </w:r>
      <w:r>
        <w:t xml:space="preserve"> a </w:t>
      </w:r>
      <w:r w:rsidRPr="000B2353">
        <w:t>příprava zapojení NIDV do nového programového období v rámci OP VVV.</w:t>
      </w:r>
    </w:p>
    <w:p w:rsidR="00B174B8" w:rsidRPr="00246423" w:rsidRDefault="00B174B8" w:rsidP="002C40B2">
      <w:pPr>
        <w:pStyle w:val="Nadpis2"/>
      </w:pPr>
      <w:r w:rsidRPr="00246423">
        <w:t>Klíčové výzvy/problémy</w:t>
      </w:r>
    </w:p>
    <w:p w:rsidR="00B174B8" w:rsidRPr="00485A52" w:rsidRDefault="00B174B8" w:rsidP="002C40B2">
      <w:pPr>
        <w:rPr>
          <w:b/>
        </w:rPr>
      </w:pPr>
      <w:r w:rsidRPr="00485A52">
        <w:rPr>
          <w:b/>
        </w:rPr>
        <w:t xml:space="preserve">Vzdělanostní struktura obyvatelstva </w:t>
      </w:r>
    </w:p>
    <w:p w:rsidR="00B174B8" w:rsidRPr="000B2353" w:rsidRDefault="00B174B8" w:rsidP="002C40B2">
      <w:r w:rsidRPr="00E20009">
        <w:t xml:space="preserve">Vzdělanostní struktura obyvatelstva je pro Karlovarský kraj jedním z klíčových problémů, který úzce souvisí s nezaměstnaností v regionu. Karlovarský kraj patří v rámci </w:t>
      </w:r>
      <w:r w:rsidRPr="00BF2FED">
        <w:t xml:space="preserve">ČR k regionům s nejnižší úrovní vzdělanosti obyvatel - </w:t>
      </w:r>
      <w:r w:rsidRPr="00306878">
        <w:t>20 % populace starší 15 let tvoří lidé pouze se základním vzděláním a podíl vysokoškoláků je</w:t>
      </w:r>
      <w:r w:rsidRPr="000B2353">
        <w:t xml:space="preserve"> menší než 11 %. </w:t>
      </w:r>
    </w:p>
    <w:p w:rsidR="00B174B8" w:rsidRPr="00485A52" w:rsidRDefault="00B174B8" w:rsidP="002C40B2">
      <w:pPr>
        <w:rPr>
          <w:b/>
          <w:i/>
        </w:rPr>
      </w:pPr>
      <w:r w:rsidRPr="00485A52">
        <w:rPr>
          <w:b/>
          <w:i/>
        </w:rPr>
        <w:t>Příčiny</w:t>
      </w:r>
    </w:p>
    <w:p w:rsidR="00B174B8" w:rsidRPr="00485A52" w:rsidRDefault="00B174B8" w:rsidP="002C40B2">
      <w:r w:rsidRPr="00E20009">
        <w:t>Horší vzdělanost populace v Karlovarském kraji má historické příčiny a souvisí s minulou (a do určité míry stále existující) specializací hospodářství kraje. K přetrvávání nižší průměrné vzdělanosti přisp</w:t>
      </w:r>
      <w:r w:rsidRPr="00BF2FED">
        <w:t>ívá tendence vzdělávání reprodukovat mezigeneračně samo sebe, tedy že rodinn</w:t>
      </w:r>
      <w:r w:rsidRPr="00306878">
        <w:t xml:space="preserve">á tradice nevede k vyšší poptávce po vzdělání. Významnou roli zde rovněž hraje sociální složení obyvatelstva. </w:t>
      </w:r>
      <w:r w:rsidRPr="000B2353">
        <w:t xml:space="preserve">Omezené možnosti terciárního vzdělávání v kraji vedou k odchodu nejtalentovanější části mladé populace za studiem mimo kraj. V důsledku menší nabídky pracovních míst (a jejich nižší pestrosti) v kraji pro </w:t>
      </w:r>
      <w:r w:rsidRPr="000B2353">
        <w:lastRenderedPageBreak/>
        <w:t xml:space="preserve">absolventy vysokých škol se tito lidé nevracejí zpět, což vede k přetrvávajícímu nízkému podílu vysokoškolsky vzdělaných </w:t>
      </w:r>
      <w:r w:rsidRPr="00485A52">
        <w:t>obyvatel v kraji.</w:t>
      </w:r>
    </w:p>
    <w:p w:rsidR="00B174B8" w:rsidRPr="00485A52" w:rsidRDefault="00B174B8" w:rsidP="002C40B2">
      <w:pPr>
        <w:rPr>
          <w:b/>
          <w:i/>
        </w:rPr>
      </w:pPr>
      <w:r w:rsidRPr="00485A52">
        <w:rPr>
          <w:b/>
          <w:i/>
        </w:rPr>
        <w:t>Důsledky</w:t>
      </w:r>
    </w:p>
    <w:p w:rsidR="00B174B8" w:rsidRPr="00BF2FED" w:rsidRDefault="00B174B8" w:rsidP="002C40B2">
      <w:r w:rsidRPr="00E20009">
        <w:t>Nedostatek vzdělané a kvalifikované pracovní síly, která by mohla napomáhat zavádění inovací a ekonomickému růstu. Tato situace může negativně ovlivnit přínos zahraničních investic do regionu a znesnadňovat umísťování aktivit s </w:t>
      </w:r>
      <w:r w:rsidRPr="00BF2FED">
        <w:t>vyšší přidanou hodnotou v kraji, ať už by se jednalo o zahraniční investory nebo o rozvíjející se místní firmy.</w:t>
      </w:r>
    </w:p>
    <w:p w:rsidR="00B174B8" w:rsidRPr="00485A52" w:rsidRDefault="00B174B8" w:rsidP="002C40B2">
      <w:pPr>
        <w:rPr>
          <w:b/>
        </w:rPr>
      </w:pPr>
      <w:r w:rsidRPr="00485A52">
        <w:rPr>
          <w:b/>
        </w:rPr>
        <w:t>Provázanost nabídky středního a vyššího vzd</w:t>
      </w:r>
      <w:r w:rsidR="00246423">
        <w:rPr>
          <w:b/>
        </w:rPr>
        <w:t>ělávání s požadavky trhu práce</w:t>
      </w:r>
    </w:p>
    <w:p w:rsidR="00B174B8" w:rsidRPr="00485A52" w:rsidRDefault="00B174B8" w:rsidP="002C40B2">
      <w:r w:rsidRPr="00E20009">
        <w:t>V kraji přetrvává nesoulad v</w:t>
      </w:r>
      <w:r w:rsidRPr="00BF2FED">
        <w:t> odvětvové</w:t>
      </w:r>
      <w:r w:rsidRPr="00306878">
        <w:t xml:space="preserve"> struktuře zaměstnanosti a počtu absolventů škol v souvisejících oborech vzdělání. Tento problém není v nedostatku nabízených míst na středních školách, ale ve výběru střední školy žáky základních škol, kdy při rozhodování o výběru střed</w:t>
      </w:r>
      <w:r w:rsidRPr="000B2353">
        <w:t>ní školy hraje významnou roli výše nástupních platů. Prů</w:t>
      </w:r>
      <w:r w:rsidRPr="00485A52">
        <w:t>měrná mzda v Karlovarském kraji je dlouhodobě nejnižší v rámci České republiky a nejméně pobírají absolventi učňovských oborů.</w:t>
      </w:r>
    </w:p>
    <w:p w:rsidR="00B174B8" w:rsidRPr="00485A52" w:rsidRDefault="00B174B8" w:rsidP="002C40B2">
      <w:pPr>
        <w:rPr>
          <w:b/>
          <w:i/>
        </w:rPr>
      </w:pPr>
      <w:r w:rsidRPr="00485A52">
        <w:rPr>
          <w:b/>
          <w:i/>
        </w:rPr>
        <w:t>Příčiny</w:t>
      </w:r>
    </w:p>
    <w:p w:rsidR="00B174B8" w:rsidRPr="00306878" w:rsidRDefault="00B174B8" w:rsidP="002C40B2">
      <w:r w:rsidRPr="00E20009">
        <w:t>Struktura nabídky středního odborného vzdělávání odpovídá zaměření ekonomiky kraje, ale nepotkává se s poptávkou a zájme</w:t>
      </w:r>
      <w:r w:rsidRPr="00BF2FED">
        <w:t>m ze strany žáků základních škol. Průzkumy mezi firmami dále ukazují na jejich nespokojenost s kvalitou absolventů jednotlivých oborů.</w:t>
      </w:r>
      <w:r w:rsidRPr="00485A52">
        <w:t xml:space="preserve"> </w:t>
      </w:r>
      <w:r w:rsidRPr="00E20009">
        <w:t>Problémem v tomto případě nemusí být pouze zaměření vzdělávacích programů, ale také kvalita pedagogů, jejich postoj k mod</w:t>
      </w:r>
      <w:r w:rsidRPr="00BF2FED">
        <w:t xml:space="preserve">ernizaci a změnám ve výuce a v neposlední řadě v technickém vybavení škol, které může ztěžovat kvalitní přípravu studentů. </w:t>
      </w:r>
      <w:r w:rsidR="00FA1AAB">
        <w:t>Na tru práce poptávané</w:t>
      </w:r>
      <w:r w:rsidR="00FA1AAB" w:rsidRPr="00BF2FED">
        <w:t xml:space="preserve"> </w:t>
      </w:r>
      <w:r w:rsidRPr="00BF2FED">
        <w:t xml:space="preserve">obory nejsou pro uchazeče dostatečně atraktivní mimo jiné z důvodu nízkých mezd a vysokých nároků ze strany zaměstnavatelů. </w:t>
      </w:r>
    </w:p>
    <w:p w:rsidR="00B174B8" w:rsidRPr="00485A52" w:rsidRDefault="00B174B8" w:rsidP="002C40B2">
      <w:pPr>
        <w:rPr>
          <w:b/>
          <w:i/>
        </w:rPr>
      </w:pPr>
      <w:r w:rsidRPr="00485A52">
        <w:rPr>
          <w:b/>
          <w:i/>
        </w:rPr>
        <w:t>Důsledky</w:t>
      </w:r>
    </w:p>
    <w:p w:rsidR="00B174B8" w:rsidRPr="00306878" w:rsidRDefault="00B174B8" w:rsidP="002C40B2">
      <w:r w:rsidRPr="00E20009">
        <w:t xml:space="preserve">Významným faktorem </w:t>
      </w:r>
      <w:r w:rsidRPr="00BF2FED">
        <w:t xml:space="preserve">je postoj veřejnosti a zejména rodičů žáků základních škol k určitým oborům vzdělání. Zde je potřeba pozitivní motivace těchto žáků, na které se budou společně podílet kraj, zaměstnavatelé a střední odborné školy. </w:t>
      </w:r>
      <w:r w:rsidRPr="00306878">
        <w:t>Slaďování potřeb trhu práce a vzdělávání však nesmí podléhat krátkodobým potřebám například i firem z nekonkurenceschopných oborů a aktivit, ale musí vždy zohledňovat určitou šíři znalostí, dlouhodobější vzdělávací trendy a do jisté míry i předpovídat budoucí potřeby.</w:t>
      </w:r>
    </w:p>
    <w:p w:rsidR="00246423" w:rsidRDefault="00B174B8" w:rsidP="002C40B2">
      <w:r w:rsidRPr="00485A52">
        <w:rPr>
          <w:b/>
        </w:rPr>
        <w:t>Kapacita škol a školských zařízení z hlediska budoucích potřeb</w:t>
      </w:r>
      <w:r w:rsidRPr="00E20009" w:rsidDel="00583EA6">
        <w:t xml:space="preserve"> </w:t>
      </w:r>
    </w:p>
    <w:p w:rsidR="00B174B8" w:rsidRPr="000B2353" w:rsidRDefault="00B174B8" w:rsidP="002C40B2">
      <w:r w:rsidRPr="00E20009">
        <w:t>Podle populační projekce je třeba od roku 2023 počítat s postupným úbytkem dětí a mladistvých ve věku do 19 let</w:t>
      </w:r>
      <w:r w:rsidRPr="00BF2FED">
        <w:t>.</w:t>
      </w:r>
      <w:r w:rsidRPr="00BF2FED" w:rsidDel="00576D86">
        <w:t xml:space="preserve"> </w:t>
      </w:r>
      <w:r w:rsidRPr="00BF2FED">
        <w:t>P</w:t>
      </w:r>
      <w:r w:rsidRPr="00306878">
        <w:t>opulační vlna bude postupně měnit počet dětí v předškolním, mladším školním a starším školním věku, což bude mít dopad na aktuální potřebu a naplněnost jednotlivých stupňů škol. Síť škol a školských zařízení na území Karlovarského kraje je v současné době z hlediska dostupnosti a naplněnosti dostatečná</w:t>
      </w:r>
      <w:r w:rsidRPr="000B2353">
        <w:t xml:space="preserve">. </w:t>
      </w:r>
    </w:p>
    <w:p w:rsidR="00B174B8" w:rsidRPr="00485A52" w:rsidRDefault="00B174B8" w:rsidP="002C40B2">
      <w:pPr>
        <w:rPr>
          <w:b/>
          <w:i/>
        </w:rPr>
      </w:pPr>
      <w:r w:rsidRPr="00485A52">
        <w:rPr>
          <w:b/>
          <w:i/>
        </w:rPr>
        <w:t>Příčiny</w:t>
      </w:r>
    </w:p>
    <w:p w:rsidR="00A506D1" w:rsidRDefault="00B174B8" w:rsidP="00A506D1">
      <w:r w:rsidRPr="00E20009">
        <w:t xml:space="preserve">Demografický vývoj. </w:t>
      </w:r>
    </w:p>
    <w:p w:rsidR="00A506D1" w:rsidRDefault="00A506D1">
      <w:pPr>
        <w:spacing w:after="160" w:line="259" w:lineRule="auto"/>
        <w:jc w:val="left"/>
      </w:pPr>
      <w:r>
        <w:br w:type="page"/>
      </w:r>
    </w:p>
    <w:p w:rsidR="00B174B8" w:rsidRPr="00485A52" w:rsidRDefault="00B174B8" w:rsidP="002C40B2">
      <w:pPr>
        <w:rPr>
          <w:b/>
          <w:i/>
        </w:rPr>
      </w:pPr>
      <w:r w:rsidRPr="00485A52">
        <w:rPr>
          <w:b/>
          <w:i/>
        </w:rPr>
        <w:lastRenderedPageBreak/>
        <w:t>Důsledky</w:t>
      </w:r>
    </w:p>
    <w:p w:rsidR="00B174B8" w:rsidRPr="00485A52" w:rsidRDefault="00B174B8" w:rsidP="002C40B2">
      <w:r w:rsidRPr="00E20009">
        <w:t xml:space="preserve">Populační změny a jejich důsledky pro kapacity škol budou v příštích cca 15 – 20 letech proměnlivé v jednotlivých věkových skupinách a příslušných druzích škol. </w:t>
      </w:r>
      <w:r w:rsidRPr="00BF2FED">
        <w:t>V případě</w:t>
      </w:r>
      <w:r w:rsidRPr="00306878">
        <w:t xml:space="preserve"> mateřských a základních škol nejsou optimálně naplněny stávající kap</w:t>
      </w:r>
      <w:r w:rsidRPr="000B2353">
        <w:t>acity, což umožňuje řešit očekávaný růst počtu dětí jejich vyšším využitím a krátkodobějšími opatřeními. Otázkou, která není v této analýze řešena a jíž je třeba věnovat pozornost, je dostatek kapacit základních škol v jednotlivých lokalitách.</w:t>
      </w:r>
      <w:r w:rsidRPr="00485A52">
        <w:t xml:space="preserve"> V případě SŠ demografický vývoj poukazuje na potřebu širší optimalizace, která by řešila vedle kapacit i zaměření vzdělávání žáků v souladu s potřebami trhu práce.</w:t>
      </w:r>
      <w:r>
        <w:t xml:space="preserve"> </w:t>
      </w:r>
      <w:r w:rsidRPr="00485A52">
        <w:t>Nízká naplněnost škol bude negativně ovlivňovat jak efektivní vynakládání finančních prostředků do školství, tak částečně také kvalitu výuky.</w:t>
      </w:r>
    </w:p>
    <w:p w:rsidR="00B174B8" w:rsidRPr="00485A52" w:rsidRDefault="00B174B8" w:rsidP="002C40B2">
      <w:pPr>
        <w:rPr>
          <w:b/>
        </w:rPr>
      </w:pPr>
      <w:r w:rsidRPr="00485A52">
        <w:rPr>
          <w:b/>
        </w:rPr>
        <w:t xml:space="preserve">Další vzdělávání </w:t>
      </w:r>
    </w:p>
    <w:p w:rsidR="00B174B8" w:rsidRPr="00BF2FED" w:rsidRDefault="00B174B8" w:rsidP="002C40B2">
      <w:r w:rsidRPr="00E20009">
        <w:t>Z dostupných dat vyplývá, že další vzdělávání v rámci celoživotního učení není v Karlovarském kraji dostatečně využíváno</w:t>
      </w:r>
      <w:r w:rsidRPr="00BF2FED">
        <w:t xml:space="preserve">. </w:t>
      </w:r>
    </w:p>
    <w:p w:rsidR="00B174B8" w:rsidRPr="00485A52" w:rsidRDefault="00B174B8" w:rsidP="002C40B2">
      <w:pPr>
        <w:rPr>
          <w:b/>
          <w:i/>
        </w:rPr>
      </w:pPr>
      <w:r w:rsidRPr="00485A52">
        <w:rPr>
          <w:b/>
          <w:i/>
        </w:rPr>
        <w:t>Příčiny</w:t>
      </w:r>
    </w:p>
    <w:p w:rsidR="00B174B8" w:rsidRPr="00306878" w:rsidRDefault="00B174B8" w:rsidP="002C40B2">
      <w:r w:rsidRPr="00E20009">
        <w:t xml:space="preserve">Kraj nemá aktuální informace o situaci </w:t>
      </w:r>
      <w:r w:rsidR="00FA1AAB">
        <w:t xml:space="preserve">v oblasti dalšího vzdělávání </w:t>
      </w:r>
      <w:r w:rsidRPr="00E20009">
        <w:t xml:space="preserve">v kraji a bylo by potřeba provést studii, která by </w:t>
      </w:r>
      <w:r w:rsidR="00FA1AAB">
        <w:t xml:space="preserve">ji </w:t>
      </w:r>
      <w:r w:rsidRPr="00E20009">
        <w:t>zmapovala ve školách a v soukromé sféře</w:t>
      </w:r>
      <w:r w:rsidRPr="00BF2FED">
        <w:t xml:space="preserve"> (poskytovatelé, oblasti vzdělávání, rozsah nabídky, účast v těchto kursech apod.).</w:t>
      </w:r>
    </w:p>
    <w:p w:rsidR="00B174B8" w:rsidRPr="00485A52" w:rsidRDefault="00B174B8" w:rsidP="002C40B2">
      <w:pPr>
        <w:rPr>
          <w:b/>
          <w:i/>
        </w:rPr>
      </w:pPr>
      <w:r w:rsidRPr="00485A52">
        <w:rPr>
          <w:b/>
          <w:i/>
        </w:rPr>
        <w:t>Důsledky</w:t>
      </w:r>
    </w:p>
    <w:p w:rsidR="00B174B8" w:rsidRPr="00E20009" w:rsidRDefault="00B174B8" w:rsidP="002C40B2">
      <w:r w:rsidRPr="00485A52">
        <w:t xml:space="preserve">Je třeba nastavit podmínky pro systematické sledování poptávky po profesích a kvalifikacích na trhu práce a </w:t>
      </w:r>
      <w:r w:rsidRPr="00E20009">
        <w:t xml:space="preserve">rovněž metodicky, organizačně a informačně podporovat spolupráci mezi školami, vzdělávacími institucemi, zaměstnavateli, profesními sdruženími a úřady práce při slaďování nabídky dalšího vzdělávání s požadavky firem. </w:t>
      </w:r>
    </w:p>
    <w:p w:rsidR="00B174B8" w:rsidRPr="00485A52" w:rsidRDefault="00B174B8" w:rsidP="002C40B2">
      <w:r w:rsidRPr="00E20009">
        <w:t>Řešením některých z těchto témat se zabývá</w:t>
      </w:r>
      <w:r w:rsidRPr="00BF2FED">
        <w:t xml:space="preserve"> </w:t>
      </w:r>
      <w:r w:rsidR="002F684C" w:rsidRPr="002F684C">
        <w:rPr>
          <w:i/>
        </w:rPr>
        <w:t>Krajský akční plán rozvoje vzdělávání Karlovarského kraje</w:t>
      </w:r>
      <w:r w:rsidRPr="00306878">
        <w:t>.</w:t>
      </w:r>
    </w:p>
    <w:p w:rsidR="00B174B8" w:rsidRPr="00485A52" w:rsidRDefault="00B174B8" w:rsidP="002C40B2">
      <w:pPr>
        <w:rPr>
          <w:b/>
        </w:rPr>
      </w:pPr>
      <w:r w:rsidRPr="00485A52">
        <w:rPr>
          <w:b/>
        </w:rPr>
        <w:t>Vzdělávání pedagogických pracovníků</w:t>
      </w:r>
    </w:p>
    <w:p w:rsidR="00B174B8" w:rsidRPr="00E20009" w:rsidRDefault="00B174B8" w:rsidP="002C40B2">
      <w:r w:rsidRPr="00E20009">
        <w:t>Karlovarský kraj se i přes zlepšení v minulých letech stále potýká s nízkou kvalifikací pedagogických pracovníků a se stárnutím pedagogického sboru.</w:t>
      </w:r>
    </w:p>
    <w:p w:rsidR="00B174B8" w:rsidRPr="00485A52" w:rsidRDefault="00B174B8" w:rsidP="002C40B2">
      <w:r w:rsidRPr="00485A52">
        <w:rPr>
          <w:b/>
          <w:i/>
        </w:rPr>
        <w:t>Příčiny</w:t>
      </w:r>
    </w:p>
    <w:p w:rsidR="00B174B8" w:rsidRPr="00485A52" w:rsidRDefault="00B174B8" w:rsidP="002C40B2">
      <w:r w:rsidRPr="00485A52">
        <w:t>Dlouhodobě nepříznivý stav v zajištění kvalifikované výuky ve školách v Karlovarském kraji je částečně ovlivněn absencí vysoké školy s pedagogickým zaměřením v našem regionu a omezenou nabídkou studia v kombinované nebo distanční formě pedagogických fakult, které by umožňovalo lepší dostupnost doplnění odborné kvalifikace stávajícím nekvalifikovaným učitelům.</w:t>
      </w:r>
    </w:p>
    <w:p w:rsidR="00B174B8" w:rsidRPr="00485A52" w:rsidRDefault="00B174B8" w:rsidP="002C40B2">
      <w:pPr>
        <w:rPr>
          <w:b/>
          <w:i/>
        </w:rPr>
      </w:pPr>
      <w:r w:rsidRPr="00485A52">
        <w:rPr>
          <w:b/>
          <w:i/>
        </w:rPr>
        <w:t>Důsledky</w:t>
      </w:r>
    </w:p>
    <w:p w:rsidR="00B174B8" w:rsidRPr="009666DC" w:rsidRDefault="00B174B8" w:rsidP="002C40B2">
      <w:r w:rsidRPr="00485A52">
        <w:t>Přetrvávající stav může vést ke zhoršení kvality výuky. Malá motivace pro začínající pedagogy povede k jejich odchodu ze škol, což může způsobit problémy se zajišt</w:t>
      </w:r>
      <w:r w:rsidR="00246423">
        <w:t xml:space="preserve">ěním výuky některých předmětů. </w:t>
      </w:r>
    </w:p>
    <w:p w:rsidR="00B174B8" w:rsidRPr="00246423" w:rsidRDefault="00B174B8" w:rsidP="000562C0">
      <w:pPr>
        <w:pStyle w:val="Nadpis3"/>
        <w:spacing w:line="276" w:lineRule="auto"/>
      </w:pPr>
      <w:r w:rsidRPr="00246423">
        <w:lastRenderedPageBreak/>
        <w:t>Literatura:</w:t>
      </w:r>
    </w:p>
    <w:p w:rsidR="002D6317" w:rsidRDefault="002D6317" w:rsidP="00DA3F4B">
      <w:pPr>
        <w:jc w:val="left"/>
      </w:pPr>
      <w:r w:rsidRPr="00AE46CF">
        <w:t>ČSÚ.</w:t>
      </w:r>
      <w:r>
        <w:t xml:space="preserve"> </w:t>
      </w:r>
      <w:r w:rsidRPr="0018538F">
        <w:rPr>
          <w:i/>
        </w:rPr>
        <w:t>Statistická ročenka Karlovarského kraje 2015</w:t>
      </w:r>
      <w:r>
        <w:rPr>
          <w:i/>
        </w:rPr>
        <w:t xml:space="preserve"> </w:t>
      </w:r>
      <w:r w:rsidRPr="0018538F">
        <w:rPr>
          <w:color w:val="000000"/>
        </w:rPr>
        <w:t>[online]</w:t>
      </w:r>
      <w:r w:rsidRPr="0018538F">
        <w:rPr>
          <w:bCs/>
          <w:i/>
        </w:rPr>
        <w:t>.</w:t>
      </w:r>
      <w:r>
        <w:rPr>
          <w:bCs/>
        </w:rPr>
        <w:t xml:space="preserve"> 2015.</w:t>
      </w:r>
      <w:r w:rsidRPr="0018538F">
        <w:t xml:space="preserve"> </w:t>
      </w:r>
      <w:r>
        <w:rPr>
          <w:bCs/>
        </w:rPr>
        <w:t>Dostupné z:</w:t>
      </w:r>
      <w:r>
        <w:t xml:space="preserve"> </w:t>
      </w:r>
      <w:hyperlink r:id="rId115" w:history="1">
        <w:r w:rsidRPr="00EA7742">
          <w:rPr>
            <w:rStyle w:val="Hypertextovodkaz"/>
          </w:rPr>
          <w:t>https://www.czso.cz/csu/czso/statisticka-rocenka-karlovarskeho-kraje-2015</w:t>
        </w:r>
      </w:hyperlink>
      <w:r>
        <w:t>.</w:t>
      </w:r>
    </w:p>
    <w:p w:rsidR="002D6317" w:rsidRDefault="002D6317" w:rsidP="00DA3F4B">
      <w:pPr>
        <w:jc w:val="left"/>
      </w:pPr>
      <w:r>
        <w:t>Krajská hospodářská komora Karlovarského kraje.</w:t>
      </w:r>
      <w:r w:rsidRPr="0018538F">
        <w:rPr>
          <w:i/>
        </w:rPr>
        <w:t xml:space="preserve"> Podpora technického vzdělávání v Karlovarském kraji</w:t>
      </w:r>
      <w:r>
        <w:rPr>
          <w:i/>
        </w:rPr>
        <w:t xml:space="preserve"> (do</w:t>
      </w:r>
      <w:r>
        <w:t>tazníkové šetření mezi zaměstnavateli). 2015.</w:t>
      </w:r>
    </w:p>
    <w:p w:rsidR="002D6317" w:rsidRDefault="002D6317" w:rsidP="00DA3F4B">
      <w:pPr>
        <w:jc w:val="left"/>
        <w:rPr>
          <w:bCs/>
        </w:rPr>
      </w:pPr>
      <w:r>
        <w:rPr>
          <w:bCs/>
        </w:rPr>
        <w:t xml:space="preserve">KÚKK. </w:t>
      </w:r>
      <w:r w:rsidRPr="00485A52">
        <w:rPr>
          <w:bCs/>
          <w:i/>
        </w:rPr>
        <w:t>Analýza zaměstnanosti Karlovarského kraje</w:t>
      </w:r>
      <w:r>
        <w:rPr>
          <w:bCs/>
          <w:i/>
        </w:rPr>
        <w:t xml:space="preserve"> </w:t>
      </w:r>
      <w:r w:rsidRPr="0018538F">
        <w:rPr>
          <w:color w:val="000000"/>
        </w:rPr>
        <w:t>[online]</w:t>
      </w:r>
      <w:r w:rsidRPr="0018538F">
        <w:rPr>
          <w:bCs/>
          <w:i/>
        </w:rPr>
        <w:t>.</w:t>
      </w:r>
      <w:r>
        <w:rPr>
          <w:bCs/>
        </w:rPr>
        <w:t xml:space="preserve"> </w:t>
      </w:r>
      <w:r w:rsidRPr="001977C9">
        <w:rPr>
          <w:bCs/>
        </w:rPr>
        <w:t>2013</w:t>
      </w:r>
      <w:r>
        <w:rPr>
          <w:bCs/>
        </w:rPr>
        <w:t>.</w:t>
      </w:r>
      <w:r w:rsidRPr="0018538F">
        <w:t xml:space="preserve"> </w:t>
      </w:r>
      <w:r>
        <w:rPr>
          <w:bCs/>
        </w:rPr>
        <w:t xml:space="preserve">Dostupné z: </w:t>
      </w:r>
      <w:r w:rsidRPr="0018538F">
        <w:rPr>
          <w:bCs/>
        </w:rPr>
        <w:t>http://www.kr-karlovarsky.cz/region/Documents/Zamestnanost/Analyza_zamestnanosti_KV_kraje.pdf</w:t>
      </w:r>
      <w:r>
        <w:rPr>
          <w:bCs/>
        </w:rPr>
        <w:t>.</w:t>
      </w:r>
    </w:p>
    <w:p w:rsidR="002D6317" w:rsidRDefault="002D6317" w:rsidP="00DA3F4B">
      <w:pPr>
        <w:jc w:val="left"/>
        <w:rPr>
          <w:bCs/>
        </w:rPr>
      </w:pPr>
      <w:r w:rsidRPr="0018538F">
        <w:rPr>
          <w:bCs/>
        </w:rPr>
        <w:t>KÚKK.</w:t>
      </w:r>
      <w:r>
        <w:rPr>
          <w:bCs/>
          <w:i/>
        </w:rPr>
        <w:t xml:space="preserve"> </w:t>
      </w:r>
      <w:r w:rsidRPr="00485A52">
        <w:rPr>
          <w:bCs/>
          <w:i/>
        </w:rPr>
        <w:t>Dlouhodobý záměr vzdělávání a rozvoje vzdělávací soustavy Karlovarského kraje 2016 – 2020</w:t>
      </w:r>
      <w:r>
        <w:rPr>
          <w:bCs/>
          <w:i/>
        </w:rPr>
        <w:t xml:space="preserve"> </w:t>
      </w:r>
      <w:r w:rsidRPr="0018538F">
        <w:rPr>
          <w:color w:val="000000"/>
        </w:rPr>
        <w:t>[online]</w:t>
      </w:r>
      <w:r w:rsidRPr="0018538F">
        <w:rPr>
          <w:bCs/>
          <w:i/>
        </w:rPr>
        <w:t>.</w:t>
      </w:r>
      <w:r>
        <w:rPr>
          <w:bCs/>
        </w:rPr>
        <w:t xml:space="preserve"> 2016. Dostupné z: </w:t>
      </w:r>
      <w:hyperlink r:id="rId116" w:history="1">
        <w:r w:rsidRPr="00EA7742">
          <w:rPr>
            <w:rStyle w:val="Hypertextovodkaz"/>
            <w:bCs/>
          </w:rPr>
          <w:t>http://www.kr-karlovarsky.cz/samosprava/dokumenty/Documents/DZ_KK_7_1_2016.pdf</w:t>
        </w:r>
      </w:hyperlink>
      <w:r>
        <w:rPr>
          <w:bCs/>
        </w:rPr>
        <w:t>.</w:t>
      </w:r>
    </w:p>
    <w:p w:rsidR="002D6317" w:rsidRDefault="002D6317" w:rsidP="00DA3F4B">
      <w:pPr>
        <w:jc w:val="left"/>
      </w:pPr>
      <w:r w:rsidRPr="00AE46CF">
        <w:t>NÚ</w:t>
      </w:r>
      <w:r>
        <w:t>O</w:t>
      </w:r>
      <w:r w:rsidRPr="00AE46CF">
        <w:t>V</w:t>
      </w:r>
      <w:r>
        <w:t xml:space="preserve">. </w:t>
      </w:r>
      <w:r w:rsidRPr="0018538F">
        <w:rPr>
          <w:i/>
        </w:rPr>
        <w:t>Nezaměstnanost absolventů středních a vyšších odborných škol v krajích ČR</w:t>
      </w:r>
      <w:r>
        <w:rPr>
          <w:i/>
        </w:rPr>
        <w:t xml:space="preserve"> </w:t>
      </w:r>
      <w:r w:rsidRPr="0018538F">
        <w:rPr>
          <w:color w:val="000000"/>
        </w:rPr>
        <w:t>[online]</w:t>
      </w:r>
      <w:r w:rsidRPr="0018538F">
        <w:rPr>
          <w:bCs/>
          <w:i/>
        </w:rPr>
        <w:t>.</w:t>
      </w:r>
      <w:r w:rsidRPr="00AE46CF">
        <w:t xml:space="preserve"> </w:t>
      </w:r>
      <w:hyperlink r:id="rId117" w:history="1">
        <w:r w:rsidRPr="00EA7742">
          <w:rPr>
            <w:rStyle w:val="Hypertextovodkaz"/>
          </w:rPr>
          <w:t>http://www.nuov.cz/nezamestnanost-absolventu-skol</w:t>
        </w:r>
      </w:hyperlink>
      <w:r>
        <w:t>.</w:t>
      </w:r>
    </w:p>
    <w:p w:rsidR="002D6317" w:rsidRPr="00AE46CF" w:rsidRDefault="002D6317" w:rsidP="00DA3F4B">
      <w:pPr>
        <w:jc w:val="left"/>
      </w:pPr>
      <w:r w:rsidRPr="00AE46CF">
        <w:t>NÚV</w:t>
      </w:r>
      <w:r>
        <w:t>.</w:t>
      </w:r>
      <w:r w:rsidRPr="0018538F">
        <w:rPr>
          <w:i/>
        </w:rPr>
        <w:t xml:space="preserve"> Vzdělávání a trh práce v krajích ČR</w:t>
      </w:r>
      <w:r>
        <w:rPr>
          <w:i/>
        </w:rPr>
        <w:t xml:space="preserve"> </w:t>
      </w:r>
      <w:r w:rsidRPr="0018538F">
        <w:rPr>
          <w:color w:val="000000"/>
        </w:rPr>
        <w:t>[online]</w:t>
      </w:r>
      <w:r>
        <w:t xml:space="preserve">. </w:t>
      </w:r>
      <w:hyperlink r:id="rId118" w:history="1">
        <w:r w:rsidRPr="00EA7742">
          <w:rPr>
            <w:rStyle w:val="Hypertextovodkaz"/>
          </w:rPr>
          <w:t>http://www.nuv.cz/t/vzdelavani-a-trh-prace-v-krajich-cr-1</w:t>
        </w:r>
      </w:hyperlink>
      <w:r>
        <w:t xml:space="preserve">. </w:t>
      </w:r>
    </w:p>
    <w:p w:rsidR="00B174B8" w:rsidRDefault="00B174B8" w:rsidP="002C40B2">
      <w:pPr>
        <w:spacing w:after="160"/>
        <w:jc w:val="left"/>
      </w:pPr>
      <w:r>
        <w:br w:type="page"/>
      </w:r>
    </w:p>
    <w:p w:rsidR="00B174B8" w:rsidRPr="00D36AD1" w:rsidRDefault="00BB135B" w:rsidP="00094A5B">
      <w:pPr>
        <w:pStyle w:val="Nadpis1"/>
      </w:pPr>
      <w:bookmarkStart w:id="306" w:name="_Toc321405935"/>
      <w:r>
        <w:lastRenderedPageBreak/>
        <w:t xml:space="preserve"> </w:t>
      </w:r>
      <w:bookmarkStart w:id="307" w:name="_Toc488233397"/>
      <w:r w:rsidR="00B174B8" w:rsidRPr="00D36AD1">
        <w:t>Sociální služby</w:t>
      </w:r>
      <w:bookmarkEnd w:id="306"/>
      <w:bookmarkEnd w:id="307"/>
    </w:p>
    <w:p w:rsidR="00B174B8" w:rsidRDefault="00B174B8" w:rsidP="002C40B2">
      <w:r>
        <w:t>Kraj je zodpovědný za harmonický regionální rozvoj sociální sítě a vytváření příznivých podmínek pro potřebné osoby v rámci svého územního celku. Sociální rozvoj v kraji je určován nejen politikou státu a činností státních institucí, ale je spoluutvářen i místními sociálními službami.</w:t>
      </w:r>
    </w:p>
    <w:p w:rsidR="00B174B8" w:rsidRDefault="00B174B8" w:rsidP="002C40B2">
      <w:pPr>
        <w:rPr>
          <w:bCs/>
          <w:i/>
        </w:rPr>
      </w:pPr>
      <w:r>
        <w:rPr>
          <w:bCs/>
          <w:i/>
        </w:rPr>
        <w:t>Otázka</w:t>
      </w:r>
    </w:p>
    <w:p w:rsidR="00B174B8" w:rsidRPr="00D36AD1" w:rsidRDefault="00B174B8" w:rsidP="002C40B2">
      <w:pPr>
        <w:pStyle w:val="Odstavecseseznamem"/>
        <w:numPr>
          <w:ilvl w:val="0"/>
          <w:numId w:val="14"/>
        </w:numPr>
        <w:rPr>
          <w:bCs/>
          <w:i/>
        </w:rPr>
      </w:pPr>
      <w:r w:rsidRPr="00D36AD1">
        <w:rPr>
          <w:bCs/>
          <w:i/>
        </w:rPr>
        <w:t>Jaká je kvalita a dostupnost vybraných sociálních služeb v Karlovarském kraji z pohledu územních potřeb?</w:t>
      </w:r>
    </w:p>
    <w:p w:rsidR="00B174B8" w:rsidRDefault="00B174B8" w:rsidP="002C40B2">
      <w:r>
        <w:t xml:space="preserve">Na území Karlovarského kraje působilo v roce 2016 celkem 81 subjektů poskytujících 169 různých sociálních služeb z oblasti sociálního poradenství, sociální péče i sociální prevence (53 % poskytovalo služby sociální péče, téměř 38 % služby sociální prevence a 9 % služby z oblasti sociálního poradenství). </w:t>
      </w:r>
    </w:p>
    <w:p w:rsidR="00B174B8" w:rsidRDefault="00B174B8" w:rsidP="002C40B2">
      <w:r>
        <w:t>Z celkového počtu poskytovatelů sociálních služeb bylo na Krajském úřadě Karlovarského kraje v roce 2016 zaregistrováno 13 příspěvkových organizací kraje, 7 obcí a 7 příspěvkových organizací obcí a 40 dalších organizací (obecně prospěšné společnosti, zapsané spolky a ústavy, společnosti s ručením omezeným, církevní právnické osoby). V kraji kromě těchto subjektů působí také 14 organizací “nadregionálního“ charakteru. Jedná se o organizace neregistrované v Karlovarském kraji, ale poskytující na území kraje sociální služby.</w:t>
      </w:r>
    </w:p>
    <w:p w:rsidR="00B174B8" w:rsidRDefault="00B174B8" w:rsidP="002C40B2">
      <w:r>
        <w:t xml:space="preserve">Hlavním poskytovatelem sociálních služeb v kraji jsou nestátní neziskové organizace </w:t>
      </w:r>
      <w:r w:rsidR="00815A00">
        <w:t xml:space="preserve">(NNO) </w:t>
      </w:r>
      <w:r>
        <w:t>následované samosprávou – krajskou a obecní. NNO dominují jako poskytovatelé služeb především u služeb sociální prevence, služby sociální péče jsou rovnoměrně poskytovány jak NNO tak samosprávou.</w:t>
      </w:r>
    </w:p>
    <w:p w:rsidR="00B174B8" w:rsidRDefault="00B174B8" w:rsidP="000B3B9C">
      <w:pPr>
        <w:pStyle w:val="Titulek"/>
      </w:pPr>
      <w:bookmarkStart w:id="308" w:name="_Toc321406408"/>
      <w:bookmarkStart w:id="309" w:name="_Toc310604099"/>
      <w:bookmarkStart w:id="310" w:name="_Toc310604033"/>
      <w:bookmarkStart w:id="311" w:name="_Toc488234371"/>
      <w:r>
        <w:t xml:space="preserve">Graf </w:t>
      </w:r>
      <w:r w:rsidR="008965FE">
        <w:fldChar w:fldCharType="begin"/>
      </w:r>
      <w:r w:rsidR="00FD378B">
        <w:instrText xml:space="preserve"> STYLEREF 1 \s </w:instrText>
      </w:r>
      <w:r w:rsidR="008965FE">
        <w:fldChar w:fldCharType="separate"/>
      </w:r>
      <w:r w:rsidR="00CB29BD">
        <w:t>12</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r w:rsidRPr="00AE4D53">
        <w:t>: Struktura poskytovatelů sociální</w:t>
      </w:r>
      <w:r w:rsidR="00D36AD1">
        <w:t>ch služeb v Karlovarském kraji v roce</w:t>
      </w:r>
      <w:r w:rsidRPr="00AE4D53">
        <w:t xml:space="preserve"> 201</w:t>
      </w:r>
      <w:r w:rsidRPr="009A0E15">
        <w:t>6</w:t>
      </w:r>
      <w:bookmarkEnd w:id="308"/>
      <w:bookmarkEnd w:id="309"/>
      <w:bookmarkEnd w:id="310"/>
      <w:bookmarkEnd w:id="311"/>
    </w:p>
    <w:p w:rsidR="00B174B8" w:rsidRDefault="00B174B8" w:rsidP="002C40B2">
      <w:pPr>
        <w:spacing w:before="120"/>
        <w:rPr>
          <w:i/>
          <w:sz w:val="20"/>
          <w:szCs w:val="20"/>
          <w:lang w:eastAsia="en-US"/>
        </w:rPr>
      </w:pPr>
      <w:r>
        <w:rPr>
          <w:i/>
          <w:noProof/>
          <w:sz w:val="20"/>
          <w:szCs w:val="20"/>
        </w:rPr>
        <w:drawing>
          <wp:inline distT="0" distB="0" distL="0" distR="0">
            <wp:extent cx="3171825" cy="2647950"/>
            <wp:effectExtent l="0" t="0" r="9525"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71825" cy="2647950"/>
                    </a:xfrm>
                    <a:prstGeom prst="rect">
                      <a:avLst/>
                    </a:prstGeom>
                    <a:noFill/>
                  </pic:spPr>
                </pic:pic>
              </a:graphicData>
            </a:graphic>
          </wp:inline>
        </w:drawing>
      </w:r>
      <w:r>
        <w:rPr>
          <w:i/>
          <w:noProof/>
          <w:sz w:val="20"/>
          <w:szCs w:val="20"/>
        </w:rPr>
        <w:drawing>
          <wp:inline distT="0" distB="0" distL="0" distR="0">
            <wp:extent cx="2543175" cy="2676525"/>
            <wp:effectExtent l="0" t="0" r="9525" b="9525"/>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43175" cy="2676525"/>
                    </a:xfrm>
                    <a:prstGeom prst="rect">
                      <a:avLst/>
                    </a:prstGeom>
                    <a:noFill/>
                  </pic:spPr>
                </pic:pic>
              </a:graphicData>
            </a:graphic>
          </wp:inline>
        </w:drawing>
      </w:r>
    </w:p>
    <w:p w:rsidR="00B174B8" w:rsidRPr="002A1122" w:rsidRDefault="00B174B8" w:rsidP="002C40B2">
      <w:pPr>
        <w:pStyle w:val="poznzdroj"/>
        <w:spacing w:line="276" w:lineRule="auto"/>
        <w:rPr>
          <w:szCs w:val="20"/>
          <w:lang w:eastAsia="en-US"/>
        </w:rPr>
      </w:pPr>
      <w:r w:rsidRPr="002A1122">
        <w:rPr>
          <w:szCs w:val="20"/>
          <w:lang w:eastAsia="en-US"/>
        </w:rPr>
        <w:t>Zdroj: Odbor sociálních věcí KÚKK</w:t>
      </w:r>
    </w:p>
    <w:p w:rsidR="00B174B8" w:rsidRDefault="00B174B8" w:rsidP="002C40B2">
      <w:r>
        <w:t xml:space="preserve">Karlovarský kraj prostřednictvím svých příspěvkových organizací poskytuje pobytové sociální služby, jako jsou domovy pro osoby se zdravotním postižením, domovy pro seniory a domovy se zvláštním </w:t>
      </w:r>
      <w:r>
        <w:lastRenderedPageBreak/>
        <w:t xml:space="preserve">režimem a chráněné bydlení. Poskytování těchto služeb je v souladu se </w:t>
      </w:r>
      <w:r w:rsidRPr="00413FA0">
        <w:rPr>
          <w:i/>
        </w:rPr>
        <w:t>Zásadami rozvoje sociálních služeb v Karlovarském kraji pro období let 2007 – 2017</w:t>
      </w:r>
      <w:r>
        <w:t>. Ostatní druhy sociálních služeb musí být v kraji zajištěny jinými subjekty (NNO, obce, příspěvkové organizace obcí apod.).</w:t>
      </w:r>
    </w:p>
    <w:p w:rsidR="00B174B8" w:rsidRDefault="00B174B8" w:rsidP="002C40B2">
      <w:r>
        <w:t xml:space="preserve">Obce a příspěvkové organizace obcí jsou zaměřeny na poskytování sociálních služeb pro seniory </w:t>
      </w:r>
      <w:r w:rsidR="009A0AAB">
        <w:br/>
      </w:r>
      <w:r>
        <w:t xml:space="preserve">a osoby se zdravotním postižením. Obce a jejich organizace zajišťují především pečovatelskou službu </w:t>
      </w:r>
      <w:r w:rsidR="00363CA2">
        <w:br/>
      </w:r>
      <w:r>
        <w:t>a domovy pro seniory. Jedinou výjimkou je město Cheb, které nabízí také další druhy sociálních služeb, a to jak z oblasti sociální péče, tak z oblasti sociální prevence - nízkoprahové zařízení pro děti a mládež, raná péče, zařízení poskytující dětem se zdravotním postižením služby typu stacionáře, domov pro osoby se zdravotním postižením, odlehčovací služby.</w:t>
      </w:r>
    </w:p>
    <w:p w:rsidR="00B174B8" w:rsidRDefault="00B174B8" w:rsidP="002C40B2">
      <w:r>
        <w:t xml:space="preserve">Poskytovatelé sociálních služeb jsou ve většině případů závislí na veřejných rozpočtech, ať už jde </w:t>
      </w:r>
      <w:r w:rsidR="00363CA2">
        <w:br/>
      </w:r>
      <w:r>
        <w:t>o státní finanční prostředky přerozdělované prostřednictvím kraje nebo veřejné prostředky z rozpočtů kraje a jednotlivých obcí. Krajská samospráva je nezastupitelná při zjišťování individuálně určených potřeb jednotlivých cílových skupin v návaznosti na zajištění dostupnosti kvalitních sociálních služeb, je schopna posoudit a porovnat potřebu, rozsah a kvalitu sociálních služeb v různých regionech kraje. Finanční prostředky z veřejných rozpočtů jsou využity jak na zajištění provozu poskytovatele, tak na realizaci služby.</w:t>
      </w:r>
      <w:r w:rsidR="003166F7">
        <w:t xml:space="preserve"> </w:t>
      </w:r>
      <w:r>
        <w:t xml:space="preserve">Počet zařízení, které v roce 2016 poskytovaly na území Karlovarského kraje sociální služby, udává tabulka níže. </w:t>
      </w:r>
    </w:p>
    <w:p w:rsidR="00B174B8" w:rsidRDefault="00B174B8" w:rsidP="000B3B9C">
      <w:pPr>
        <w:pStyle w:val="Titulek"/>
      </w:pPr>
      <w:bookmarkStart w:id="312" w:name="_Ref468177921"/>
      <w:bookmarkStart w:id="313" w:name="_Toc488233505"/>
      <w:r>
        <w:t xml:space="preserve">Tabulka </w:t>
      </w:r>
      <w:r w:rsidR="008965FE">
        <w:fldChar w:fldCharType="begin"/>
      </w:r>
      <w:r w:rsidR="00B33DFE">
        <w:instrText xml:space="preserve"> STYLEREF 1 \s </w:instrText>
      </w:r>
      <w:r w:rsidR="008965FE">
        <w:fldChar w:fldCharType="separate"/>
      </w:r>
      <w:r w:rsidR="00CB29BD">
        <w:t>12</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312"/>
      <w:r>
        <w:t xml:space="preserve">: </w:t>
      </w:r>
      <w:r w:rsidRPr="004E5E95">
        <w:t>Sociální služby poskytované ve vybraných zařízeních</w:t>
      </w:r>
      <w:r>
        <w:t xml:space="preserve"> v KK v roce 2016</w:t>
      </w:r>
      <w:bookmarkEnd w:id="313"/>
    </w:p>
    <w:tbl>
      <w:tblPr>
        <w:tblW w:w="5000" w:type="pct"/>
        <w:tblCellMar>
          <w:left w:w="70" w:type="dxa"/>
          <w:right w:w="70" w:type="dxa"/>
        </w:tblCellMar>
        <w:tblLook w:val="04A0" w:firstRow="1" w:lastRow="0" w:firstColumn="1" w:lastColumn="0" w:noHBand="0" w:noVBand="1"/>
      </w:tblPr>
      <w:tblGrid>
        <w:gridCol w:w="7998"/>
        <w:gridCol w:w="1214"/>
      </w:tblGrid>
      <w:tr w:rsidR="00B174B8" w:rsidRPr="001B7574" w:rsidTr="00B174B8">
        <w:trPr>
          <w:trHeight w:val="300"/>
        </w:trPr>
        <w:tc>
          <w:tcPr>
            <w:tcW w:w="4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Osobní asistence</w:t>
            </w:r>
          </w:p>
        </w:tc>
        <w:tc>
          <w:tcPr>
            <w:tcW w:w="659" w:type="pct"/>
            <w:tcBorders>
              <w:top w:val="single" w:sz="4" w:space="0" w:color="auto"/>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8</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Pečovatelská služba</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21</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Tísňová péče</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2</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Průvodcovské a předčitatelské služby</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1</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Podpora samostatného bydlení</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3</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Odlehčovací služby</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2</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Centra denních služeb</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1</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Denní stacionáře</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6</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Týdenní stacionáře</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1</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Domovy pro osoby se zdravotním postižením</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8</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Domovy pro seniory</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17</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Domovy se zvláštním režimem</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9</w:t>
            </w:r>
          </w:p>
        </w:tc>
      </w:tr>
      <w:tr w:rsidR="00B174B8" w:rsidRPr="001B7574" w:rsidTr="00B174B8">
        <w:trPr>
          <w:trHeight w:val="300"/>
        </w:trPr>
        <w:tc>
          <w:tcPr>
            <w:tcW w:w="4341" w:type="pct"/>
            <w:tcBorders>
              <w:top w:val="nil"/>
              <w:left w:val="single" w:sz="4" w:space="0" w:color="auto"/>
              <w:bottom w:val="single" w:sz="4" w:space="0" w:color="auto"/>
              <w:right w:val="single" w:sz="4" w:space="0" w:color="auto"/>
            </w:tcBorders>
            <w:shd w:val="clear" w:color="auto" w:fill="auto"/>
            <w:noWrap/>
            <w:vAlign w:val="bottom"/>
            <w:hideMark/>
          </w:tcPr>
          <w:p w:rsidR="00B174B8" w:rsidRPr="001B7574" w:rsidRDefault="00B174B8" w:rsidP="002C40B2">
            <w:pPr>
              <w:spacing w:after="0"/>
              <w:jc w:val="left"/>
              <w:rPr>
                <w:rFonts w:cs="Times New Roman"/>
                <w:color w:val="000000"/>
                <w:sz w:val="20"/>
                <w:szCs w:val="20"/>
              </w:rPr>
            </w:pPr>
            <w:r w:rsidRPr="001B7574">
              <w:rPr>
                <w:rFonts w:cs="Times New Roman"/>
                <w:color w:val="000000"/>
                <w:sz w:val="20"/>
                <w:szCs w:val="20"/>
              </w:rPr>
              <w:t>Chráněné bydlení</w:t>
            </w:r>
          </w:p>
        </w:tc>
        <w:tc>
          <w:tcPr>
            <w:tcW w:w="659" w:type="pct"/>
            <w:tcBorders>
              <w:top w:val="nil"/>
              <w:left w:val="nil"/>
              <w:bottom w:val="single" w:sz="4" w:space="0" w:color="auto"/>
              <w:right w:val="single" w:sz="4" w:space="0" w:color="auto"/>
            </w:tcBorders>
            <w:shd w:val="clear" w:color="auto" w:fill="auto"/>
            <w:noWrap/>
            <w:vAlign w:val="bottom"/>
            <w:hideMark/>
          </w:tcPr>
          <w:p w:rsidR="00B174B8" w:rsidRPr="001B7574" w:rsidRDefault="00B174B8" w:rsidP="000562C0">
            <w:pPr>
              <w:spacing w:after="0"/>
              <w:jc w:val="center"/>
              <w:rPr>
                <w:rFonts w:cs="Times New Roman"/>
                <w:color w:val="000000"/>
                <w:sz w:val="20"/>
                <w:szCs w:val="20"/>
              </w:rPr>
            </w:pPr>
            <w:r w:rsidRPr="001B7574">
              <w:rPr>
                <w:rFonts w:cs="Times New Roman"/>
                <w:color w:val="000000"/>
                <w:sz w:val="20"/>
                <w:szCs w:val="20"/>
              </w:rPr>
              <w:t>5</w:t>
            </w:r>
          </w:p>
        </w:tc>
      </w:tr>
    </w:tbl>
    <w:p w:rsidR="00B174B8" w:rsidRDefault="00B174B8" w:rsidP="002C40B2">
      <w:pPr>
        <w:pStyle w:val="poznzdroj"/>
        <w:spacing w:line="276" w:lineRule="auto"/>
        <w:rPr>
          <w:lang w:eastAsia="en-US"/>
        </w:rPr>
      </w:pPr>
      <w:r w:rsidRPr="006C3C94">
        <w:rPr>
          <w:lang w:eastAsia="en-US"/>
        </w:rPr>
        <w:t>Zdroj: Odbor sociálních věcí KÚKK</w:t>
      </w:r>
    </w:p>
    <w:p w:rsidR="00B174B8" w:rsidRDefault="00B174B8" w:rsidP="000B3B9C">
      <w:pPr>
        <w:pStyle w:val="Titulek"/>
      </w:pPr>
      <w:bookmarkStart w:id="314" w:name="_Toc488234372"/>
      <w:r>
        <w:lastRenderedPageBreak/>
        <w:t xml:space="preserve">Graf </w:t>
      </w:r>
      <w:r w:rsidR="008965FE">
        <w:fldChar w:fldCharType="begin"/>
      </w:r>
      <w:r w:rsidR="00FD378B">
        <w:instrText xml:space="preserve"> STYLEREF 1 \s </w:instrText>
      </w:r>
      <w:r w:rsidR="008965FE">
        <w:fldChar w:fldCharType="separate"/>
      </w:r>
      <w:r w:rsidR="00CB29BD">
        <w:t>12</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r>
        <w:t xml:space="preserve">: Podíl jednotlivých </w:t>
      </w:r>
      <w:r w:rsidRPr="00413FA0">
        <w:t>služeb sociální péče</w:t>
      </w:r>
      <w:r>
        <w:t xml:space="preserve"> v KK v roce 2016</w:t>
      </w:r>
      <w:bookmarkEnd w:id="314"/>
      <w:r>
        <w:t xml:space="preserve"> </w:t>
      </w:r>
    </w:p>
    <w:p w:rsidR="00B174B8" w:rsidRDefault="00B174B8" w:rsidP="002C40B2">
      <w:pPr>
        <w:spacing w:after="0"/>
        <w:rPr>
          <w:lang w:eastAsia="en-US"/>
        </w:rPr>
      </w:pPr>
      <w:r>
        <w:rPr>
          <w:noProof/>
        </w:rPr>
        <w:drawing>
          <wp:inline distT="0" distB="0" distL="0" distR="0">
            <wp:extent cx="5760720" cy="4562475"/>
            <wp:effectExtent l="19050" t="0" r="11430" b="0"/>
            <wp:docPr id="227" name="Graf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174B8" w:rsidRPr="00413FA0" w:rsidRDefault="00B174B8" w:rsidP="002C40B2">
      <w:pPr>
        <w:pStyle w:val="poznzdroj"/>
        <w:spacing w:line="276" w:lineRule="auto"/>
        <w:rPr>
          <w:lang w:eastAsia="en-US"/>
        </w:rPr>
      </w:pPr>
      <w:r w:rsidRPr="00413FA0">
        <w:rPr>
          <w:lang w:eastAsia="en-US"/>
        </w:rPr>
        <w:t>Zdroj: Odbor sociálních věcí KÚKK</w:t>
      </w:r>
    </w:p>
    <w:p w:rsidR="00B174B8" w:rsidRDefault="00B174B8" w:rsidP="002C40B2">
      <w:bookmarkStart w:id="315" w:name="_Ref310159172"/>
      <w:bookmarkStart w:id="316" w:name="_Toc321406409"/>
      <w:bookmarkStart w:id="317" w:name="_Toc310604100"/>
      <w:bookmarkStart w:id="318" w:name="_Toc310604034"/>
      <w:r>
        <w:t>Mezi službami sociální péče dominují pečovatelská služba a domovy pro seniory, které dohromady představují 45% podíl. Poté následují domovy se zvláštním režimem a domovy pro osoby se zdravotním postižením. Ostatní služby mají již menší než 10% podíl.</w:t>
      </w:r>
    </w:p>
    <w:p w:rsidR="00B174B8" w:rsidRPr="006C3C94" w:rsidRDefault="00B174B8" w:rsidP="002C40B2">
      <w:pPr>
        <w:rPr>
          <w:lang w:eastAsia="en-US"/>
        </w:rPr>
      </w:pPr>
      <w:r>
        <w:rPr>
          <w:lang w:eastAsia="en-US"/>
        </w:rPr>
        <w:t xml:space="preserve">Ze služeb vyjmenovaných v zákoně </w:t>
      </w:r>
      <w:r>
        <w:rPr>
          <w:color w:val="323232"/>
        </w:rPr>
        <w:t>č.</w:t>
      </w:r>
      <w:r w:rsidR="003C2F1D">
        <w:rPr>
          <w:color w:val="323232"/>
        </w:rPr>
        <w:t xml:space="preserve"> </w:t>
      </w:r>
      <w:r>
        <w:rPr>
          <w:color w:val="323232"/>
        </w:rPr>
        <w:t xml:space="preserve">108/2006 Sb., o sociálních službách, </w:t>
      </w:r>
      <w:r>
        <w:rPr>
          <w:lang w:eastAsia="en-US"/>
        </w:rPr>
        <w:t>nejsou v Karlovarském kraji poskytovány služby následné péče a terapeutické komunity (viz Registr poskytovatelů sociálních služeb).</w:t>
      </w:r>
    </w:p>
    <w:p w:rsidR="00B174B8" w:rsidRDefault="00B174B8" w:rsidP="002C40B2">
      <w:r>
        <w:t xml:space="preserve">Údaje o poskytnutí vybraných sociálních služeb v jednotlivých krajích v roce 2014 obsahuje </w:t>
      </w:r>
      <w:r w:rsidR="004F2330">
        <w:fldChar w:fldCharType="begin"/>
      </w:r>
      <w:r w:rsidR="004F2330">
        <w:instrText xml:space="preserve"> REF _Ref467674826 \h  \* MERGEFORMAT </w:instrText>
      </w:r>
      <w:r w:rsidR="004F2330">
        <w:fldChar w:fldCharType="separate"/>
      </w:r>
      <w:r w:rsidR="00EB0944">
        <w:t>t</w:t>
      </w:r>
      <w:r w:rsidR="00CB29BD">
        <w:t xml:space="preserve">abulka </w:t>
      </w:r>
      <w:r w:rsidR="00CB29BD">
        <w:rPr>
          <w:noProof/>
        </w:rPr>
        <w:t>12</w:t>
      </w:r>
      <w:r w:rsidR="00CB29BD">
        <w:t>.2</w:t>
      </w:r>
      <w:r w:rsidR="004F2330">
        <w:fldChar w:fldCharType="end"/>
      </w:r>
      <w:r>
        <w:t xml:space="preserve">. Relativizujeme-li počty sociálně potřebných osob, jimž byla poskytnuta pečovatelská péče, na 100 obyvatel kraje, je pozice Karlovarského kraje v porovnání s ostatními regiony poměrně dobrá. Karlovarský kraj je šestým regionem v ČR z hlediska počtu osob, kterým byla poskytnuta pečovatelská služba (9,48 osob na 100 obyv. nad 70 let, průměr ČR </w:t>
      </w:r>
      <w:r w:rsidR="003166F7">
        <w:t xml:space="preserve">je </w:t>
      </w:r>
      <w:r>
        <w:t>9,09). Nad průměrem ČR se KK pohyboval ještě v počtu osob na 10 000 obyvatel využívajících centra denních služeb. V poskytování ostatních vybraných sociálních služeb se již KK pohyboval pod průměrem ČR, přičemž v porovnání s ostatními kraji nejvýrazněji zaostává v poskytování odlehčujících služeb a služeb denních stacionářů, kde svými hodnotami dosahuje přibližně poloviny průměru ČR a zaujímá tak v obou případech předposlední místo mezi kraji.</w:t>
      </w:r>
    </w:p>
    <w:p w:rsidR="00B174B8" w:rsidRDefault="00B174B8" w:rsidP="000B3B9C">
      <w:pPr>
        <w:pStyle w:val="Titulek"/>
      </w:pPr>
      <w:bookmarkStart w:id="319" w:name="_Ref467674826"/>
      <w:bookmarkStart w:id="320" w:name="_Toc488233506"/>
      <w:r>
        <w:lastRenderedPageBreak/>
        <w:t xml:space="preserve">Tabulka </w:t>
      </w:r>
      <w:r w:rsidR="008965FE">
        <w:fldChar w:fldCharType="begin"/>
      </w:r>
      <w:r w:rsidR="00B33DFE">
        <w:instrText xml:space="preserve"> STYLEREF 1 \s </w:instrText>
      </w:r>
      <w:r w:rsidR="008965FE">
        <w:fldChar w:fldCharType="separate"/>
      </w:r>
      <w:r w:rsidR="00CB29BD">
        <w:t>12</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319"/>
      <w:r>
        <w:t xml:space="preserve">: </w:t>
      </w:r>
      <w:r w:rsidRPr="005C7459">
        <w:t xml:space="preserve">Podíl sociálně potřebných osob, jimž byla poskytnuta </w:t>
      </w:r>
      <w:r>
        <w:t xml:space="preserve">vybraná </w:t>
      </w:r>
      <w:r w:rsidRPr="005C7459">
        <w:t>sociální služba</w:t>
      </w:r>
      <w:r>
        <w:t xml:space="preserve"> v roce 2014</w:t>
      </w:r>
      <w:bookmarkEnd w:id="320"/>
    </w:p>
    <w:tbl>
      <w:tblPr>
        <w:tblW w:w="5000" w:type="pct"/>
        <w:tblCellMar>
          <w:left w:w="70" w:type="dxa"/>
          <w:right w:w="70" w:type="dxa"/>
        </w:tblCellMar>
        <w:tblLook w:val="04A0" w:firstRow="1" w:lastRow="0" w:firstColumn="1" w:lastColumn="0" w:noHBand="0" w:noVBand="1"/>
      </w:tblPr>
      <w:tblGrid>
        <w:gridCol w:w="1841"/>
        <w:gridCol w:w="1489"/>
        <w:gridCol w:w="1104"/>
        <w:gridCol w:w="1074"/>
        <w:gridCol w:w="1408"/>
        <w:gridCol w:w="1074"/>
        <w:gridCol w:w="1222"/>
      </w:tblGrid>
      <w:tr w:rsidR="00B174B8" w:rsidRPr="003166F7" w:rsidTr="000562C0">
        <w:trPr>
          <w:trHeight w:val="525"/>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24D" w:rsidRDefault="00B174B8">
            <w:pPr>
              <w:spacing w:after="240"/>
              <w:rPr>
                <w:rFonts w:asciiTheme="minorHAnsi" w:hAnsiTheme="minorHAnsi" w:cs="Arial"/>
                <w:b/>
                <w:bCs/>
                <w:sz w:val="20"/>
                <w:szCs w:val="20"/>
              </w:rPr>
            </w:pPr>
            <w:r w:rsidRPr="003166F7">
              <w:rPr>
                <w:rFonts w:asciiTheme="minorHAnsi" w:hAnsiTheme="minorHAnsi" w:cs="Arial"/>
                <w:b/>
                <w:bCs/>
                <w:sz w:val="20"/>
                <w:szCs w:val="20"/>
              </w:rPr>
              <w:t>ČR, kraj</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Pečovatelská</w:t>
            </w:r>
            <w:r w:rsidRPr="003166F7">
              <w:rPr>
                <w:rFonts w:asciiTheme="minorHAnsi" w:hAnsiTheme="minorHAnsi" w:cs="Arial"/>
                <w:b/>
                <w:bCs/>
                <w:sz w:val="20"/>
                <w:szCs w:val="20"/>
              </w:rPr>
              <w:br/>
              <w:t>služba</w:t>
            </w:r>
            <w:r w:rsidRPr="003166F7">
              <w:rPr>
                <w:rFonts w:asciiTheme="minorHAnsi" w:hAnsiTheme="minorHAnsi" w:cs="Arial"/>
                <w:b/>
                <w:bCs/>
                <w:sz w:val="20"/>
                <w:szCs w:val="20"/>
              </w:rPr>
              <w:br/>
              <w:t xml:space="preserve">(obyv. 70+) </w:t>
            </w:r>
            <w:r w:rsidRPr="003166F7">
              <w:rPr>
                <w:rFonts w:asciiTheme="minorHAnsi" w:hAnsiTheme="minorHAnsi" w:cs="Arial"/>
                <w:b/>
                <w:bCs/>
                <w:sz w:val="20"/>
                <w:szCs w:val="20"/>
                <w:vertAlign w:val="superscript"/>
              </w:rPr>
              <w:t>1</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Osobní</w:t>
            </w:r>
            <w:r w:rsidRPr="003166F7">
              <w:rPr>
                <w:rFonts w:asciiTheme="minorHAnsi" w:hAnsiTheme="minorHAnsi" w:cs="Arial"/>
                <w:b/>
                <w:bCs/>
                <w:sz w:val="20"/>
                <w:szCs w:val="20"/>
              </w:rPr>
              <w:br/>
              <w:t xml:space="preserve">asistence </w:t>
            </w:r>
            <w:r w:rsidRPr="003166F7">
              <w:rPr>
                <w:rFonts w:asciiTheme="minorHAnsi" w:hAnsiTheme="minorHAnsi" w:cs="Arial"/>
                <w:b/>
                <w:bCs/>
                <w:sz w:val="20"/>
                <w:szCs w:val="20"/>
                <w:vertAlign w:val="superscript"/>
              </w:rPr>
              <w:t>2</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bCs/>
                <w:sz w:val="20"/>
                <w:szCs w:val="20"/>
              </w:rPr>
            </w:pPr>
            <w:r w:rsidRPr="003166F7">
              <w:rPr>
                <w:rFonts w:asciiTheme="minorHAnsi" w:hAnsiTheme="minorHAnsi" w:cs="Arial"/>
                <w:b/>
                <w:bCs/>
                <w:sz w:val="20"/>
                <w:szCs w:val="20"/>
              </w:rPr>
              <w:t xml:space="preserve">Tísňová péče </w:t>
            </w:r>
            <w:r w:rsidRPr="003166F7">
              <w:rPr>
                <w:rFonts w:asciiTheme="minorHAnsi" w:hAnsiTheme="minorHAnsi" w:cs="Arial"/>
                <w:b/>
                <w:bCs/>
                <w:sz w:val="20"/>
                <w:szCs w:val="20"/>
                <w:vertAlign w:val="superscript"/>
              </w:rPr>
              <w:t>2</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bCs/>
                <w:sz w:val="20"/>
                <w:szCs w:val="20"/>
              </w:rPr>
            </w:pPr>
            <w:r w:rsidRPr="003166F7">
              <w:rPr>
                <w:rFonts w:asciiTheme="minorHAnsi" w:hAnsiTheme="minorHAnsi" w:cs="Arial"/>
                <w:b/>
                <w:bCs/>
                <w:sz w:val="20"/>
                <w:szCs w:val="20"/>
              </w:rPr>
              <w:t xml:space="preserve">Odlehčovací služby </w:t>
            </w:r>
            <w:r w:rsidRPr="003166F7">
              <w:rPr>
                <w:rFonts w:asciiTheme="minorHAnsi" w:hAnsiTheme="minorHAnsi" w:cs="Arial"/>
                <w:b/>
                <w:bCs/>
                <w:sz w:val="20"/>
                <w:szCs w:val="20"/>
                <w:vertAlign w:val="superscript"/>
              </w:rPr>
              <w:t>2</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Centra denních</w:t>
            </w:r>
            <w:r w:rsidRPr="003166F7">
              <w:rPr>
                <w:rFonts w:asciiTheme="minorHAnsi" w:hAnsiTheme="minorHAnsi" w:cs="Arial"/>
                <w:b/>
                <w:bCs/>
                <w:sz w:val="20"/>
                <w:szCs w:val="20"/>
              </w:rPr>
              <w:br/>
              <w:t xml:space="preserve">služeb </w:t>
            </w:r>
            <w:r w:rsidRPr="003166F7">
              <w:rPr>
                <w:rFonts w:asciiTheme="minorHAnsi" w:hAnsiTheme="minorHAnsi" w:cs="Arial"/>
                <w:b/>
                <w:bCs/>
                <w:sz w:val="20"/>
                <w:szCs w:val="20"/>
                <w:vertAlign w:val="superscript"/>
              </w:rPr>
              <w:t>2</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Denní</w:t>
            </w:r>
            <w:r w:rsidRPr="003166F7">
              <w:rPr>
                <w:rFonts w:asciiTheme="minorHAnsi" w:hAnsiTheme="minorHAnsi" w:cs="Arial"/>
                <w:b/>
                <w:bCs/>
                <w:sz w:val="20"/>
                <w:szCs w:val="20"/>
              </w:rPr>
              <w:br/>
              <w:t xml:space="preserve">stacionáře </w:t>
            </w:r>
            <w:r w:rsidRPr="003166F7">
              <w:rPr>
                <w:rFonts w:asciiTheme="minorHAnsi" w:hAnsiTheme="minorHAnsi" w:cs="Arial"/>
                <w:b/>
                <w:bCs/>
                <w:sz w:val="20"/>
                <w:szCs w:val="20"/>
                <w:vertAlign w:val="superscript"/>
              </w:rPr>
              <w:t>2</w:t>
            </w:r>
          </w:p>
        </w:tc>
      </w:tr>
      <w:tr w:rsidR="00B174B8" w:rsidRPr="003166F7" w:rsidTr="002B6530">
        <w:trPr>
          <w:trHeight w:val="161"/>
        </w:trPr>
        <w:tc>
          <w:tcPr>
            <w:tcW w:w="999" w:type="pct"/>
            <w:tcBorders>
              <w:top w:val="nil"/>
              <w:left w:val="single" w:sz="4" w:space="0" w:color="auto"/>
              <w:bottom w:val="single" w:sz="4" w:space="0" w:color="auto"/>
              <w:right w:val="single" w:sz="4" w:space="0" w:color="auto"/>
            </w:tcBorders>
            <w:shd w:val="clear" w:color="auto" w:fill="auto"/>
            <w:noWrap/>
            <w:vAlign w:val="bottom"/>
            <w:hideMark/>
          </w:tcPr>
          <w:p w:rsidR="00B174B8" w:rsidRPr="002B6530" w:rsidRDefault="00B174B8" w:rsidP="002C40B2">
            <w:pPr>
              <w:spacing w:after="0"/>
              <w:jc w:val="left"/>
              <w:rPr>
                <w:rFonts w:asciiTheme="minorHAnsi" w:hAnsiTheme="minorHAnsi" w:cs="Arial"/>
                <w:b/>
                <w:sz w:val="20"/>
                <w:szCs w:val="20"/>
              </w:rPr>
            </w:pPr>
            <w:r w:rsidRPr="002B6530">
              <w:rPr>
                <w:rFonts w:asciiTheme="minorHAnsi" w:hAnsiTheme="minorHAnsi" w:cs="Arial"/>
                <w:b/>
                <w:sz w:val="20"/>
                <w:szCs w:val="20"/>
              </w:rPr>
              <w:t>ČR</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9,09</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7,44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2,08</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9,99</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3,77</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5,41</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Hl. m. Praha</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8,99</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11,76</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0,08</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0,13</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0,03</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0,06</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Středočeský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10,30</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6,34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1,55</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9,94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1,52</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4,73</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Jihočeský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9,75</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8,38</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2,81</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9,73</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1,26</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5,05</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Plzeňský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13,16</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3,51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1,31</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5,95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0,44</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2,89</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b/>
                <w:bCs/>
                <w:sz w:val="20"/>
                <w:szCs w:val="20"/>
              </w:rPr>
            </w:pPr>
            <w:r w:rsidRPr="003166F7">
              <w:rPr>
                <w:rFonts w:asciiTheme="minorHAnsi" w:hAnsiTheme="minorHAnsi" w:cs="Arial"/>
                <w:b/>
                <w:bCs/>
                <w:sz w:val="20"/>
                <w:szCs w:val="20"/>
              </w:rPr>
              <w:t>Karlovarský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9,48</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4,47</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2,57</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5,08</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4,14</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2,81</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Ústecký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7,32</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6,30</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0,18</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12,29</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0,75</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2,57</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Liberecký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9,68</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10,44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0,30</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8,14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2,96</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3,99</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Královéhradecký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9,69</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11,40</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6,42</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21,12</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3,17</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5,00</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Pardubický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8,67</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10,71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0,41</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8,93</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1,18</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5,06</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Vysočina</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9,01</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6,74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1,57</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12,98</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2,10</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9,63</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Jihomoravský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9,32</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3,76</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0,93</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3,62</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7,03</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5,62</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Olomoucký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8,18</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5,74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0,11</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8,00</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3,22</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7,08</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Zlínský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7,27</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14,31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3,09</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6,01</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Moravskoslezský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7,59</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8,65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0,94</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8,62</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11,92</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7,42</w:t>
            </w:r>
          </w:p>
        </w:tc>
      </w:tr>
    </w:tbl>
    <w:p w:rsidR="00B174B8" w:rsidRDefault="00B174B8" w:rsidP="002C40B2">
      <w:pPr>
        <w:pStyle w:val="poznzdroj"/>
        <w:spacing w:after="0" w:line="276" w:lineRule="auto"/>
      </w:pPr>
      <w:r w:rsidRPr="00413FA0">
        <w:t xml:space="preserve">Poznámka: </w:t>
      </w:r>
      <w:r w:rsidRPr="00413FA0">
        <w:rPr>
          <w:rFonts w:asciiTheme="minorHAnsi" w:hAnsiTheme="minorHAnsi" w:cs="Arial"/>
          <w:b/>
          <w:bCs/>
          <w:vertAlign w:val="superscript"/>
        </w:rPr>
        <w:t xml:space="preserve">1 </w:t>
      </w:r>
      <w:r w:rsidRPr="00413FA0">
        <w:t xml:space="preserve">přepočteno na 100 obyvatel nad 70 let v daném kraji, </w:t>
      </w:r>
      <w:r w:rsidRPr="00413FA0">
        <w:rPr>
          <w:rFonts w:asciiTheme="minorHAnsi" w:hAnsiTheme="minorHAnsi" w:cs="Arial"/>
          <w:b/>
          <w:bCs/>
          <w:vertAlign w:val="superscript"/>
        </w:rPr>
        <w:t xml:space="preserve">2 </w:t>
      </w:r>
      <w:r w:rsidRPr="00413FA0">
        <w:t>přepočteno na 10 000 oby</w:t>
      </w:r>
      <w:r w:rsidR="001D7893">
        <w:t>vatel</w:t>
      </w:r>
      <w:r w:rsidRPr="00413FA0">
        <w:t xml:space="preserve"> </w:t>
      </w:r>
      <w:r>
        <w:t>kraje</w:t>
      </w:r>
      <w:r w:rsidR="003166F7">
        <w:t>.</w:t>
      </w:r>
    </w:p>
    <w:p w:rsidR="00B174B8" w:rsidRDefault="003166F7" w:rsidP="002C40B2">
      <w:pPr>
        <w:pStyle w:val="poznzdroj"/>
        <w:spacing w:before="0" w:line="276" w:lineRule="auto"/>
      </w:pPr>
      <w:r>
        <w:t>Zdroj: ČSÚ -</w:t>
      </w:r>
      <w:r w:rsidR="00B174B8">
        <w:t xml:space="preserve"> Statistická ročenka Karlovarského kraje 2015, Veřejná databáze, vlastní výpočty</w:t>
      </w:r>
    </w:p>
    <w:p w:rsidR="00B174B8" w:rsidRDefault="00B174B8" w:rsidP="002C40B2">
      <w:r>
        <w:t xml:space="preserve">Srovnání krajů z hlediska výdajů na sociální služby poskytuje </w:t>
      </w:r>
      <w:r w:rsidR="004F2330">
        <w:fldChar w:fldCharType="begin"/>
      </w:r>
      <w:r w:rsidR="004F2330">
        <w:instrText xml:space="preserve"> REF _Ref467676616 \h  \* MERGEFORMAT </w:instrText>
      </w:r>
      <w:r w:rsidR="004F2330">
        <w:fldChar w:fldCharType="separate"/>
      </w:r>
      <w:r w:rsidR="00EB0944">
        <w:t>t</w:t>
      </w:r>
      <w:r w:rsidR="00CB29BD">
        <w:t xml:space="preserve">abulka </w:t>
      </w:r>
      <w:r w:rsidR="00CB29BD">
        <w:rPr>
          <w:noProof/>
        </w:rPr>
        <w:t>12</w:t>
      </w:r>
      <w:r w:rsidR="00CB29BD">
        <w:t>.3</w:t>
      </w:r>
      <w:r w:rsidR="004F2330">
        <w:fldChar w:fldCharType="end"/>
      </w:r>
      <w:r>
        <w:t>. Karlovarský kraj vydává</w:t>
      </w:r>
      <w:r w:rsidR="001D7893">
        <w:t>,</w:t>
      </w:r>
      <w:r>
        <w:t xml:space="preserve"> stejně jako ostatní kraje</w:t>
      </w:r>
      <w:r w:rsidR="001D7893">
        <w:t>,</w:t>
      </w:r>
      <w:r>
        <w:t xml:space="preserve"> nejvíce prostředků na pečovatelské služby poskytované osobám straším 70 let. Kromě těchto výdajů a výdajů na tísňovou péči zaostává KK oproti průměru ČR ve výdajích na ostatní sociální služby, přičemž nejmarkantnější rozdíl je ve výdajích na odlehčovací služby, kde KK nevydává ani desetinu průměru ČR.</w:t>
      </w:r>
    </w:p>
    <w:p w:rsidR="00B174B8" w:rsidRDefault="00B174B8" w:rsidP="000B3B9C">
      <w:pPr>
        <w:pStyle w:val="Titulek"/>
      </w:pPr>
      <w:bookmarkStart w:id="321" w:name="_Ref467676616"/>
      <w:bookmarkStart w:id="322" w:name="_Toc488233507"/>
      <w:r>
        <w:t xml:space="preserve">Tabulka </w:t>
      </w:r>
      <w:r w:rsidR="008965FE">
        <w:fldChar w:fldCharType="begin"/>
      </w:r>
      <w:r w:rsidR="00B33DFE">
        <w:instrText xml:space="preserve"> STYLEREF 1 \s </w:instrText>
      </w:r>
      <w:r w:rsidR="008965FE">
        <w:fldChar w:fldCharType="separate"/>
      </w:r>
      <w:r w:rsidR="00CB29BD">
        <w:t>12</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321"/>
      <w:r>
        <w:t xml:space="preserve">: </w:t>
      </w:r>
      <w:r w:rsidRPr="00114CF2">
        <w:t xml:space="preserve">Výdaje na </w:t>
      </w:r>
      <w:r>
        <w:t xml:space="preserve">vybrané </w:t>
      </w:r>
      <w:r w:rsidRPr="00114CF2">
        <w:t>sociální služby</w:t>
      </w:r>
      <w:r>
        <w:t xml:space="preserve"> v roce 2014</w:t>
      </w:r>
      <w:r w:rsidRPr="00114CF2">
        <w:t xml:space="preserve"> v přepočtu na 1 000 obyvatel</w:t>
      </w:r>
      <w:r>
        <w:t xml:space="preserve"> </w:t>
      </w:r>
      <w:r w:rsidRPr="00114CF2">
        <w:t>(</w:t>
      </w:r>
      <w:r>
        <w:t xml:space="preserve">v </w:t>
      </w:r>
      <w:r w:rsidRPr="00114CF2">
        <w:t>tis. Kč)</w:t>
      </w:r>
      <w:bookmarkEnd w:id="322"/>
    </w:p>
    <w:tbl>
      <w:tblPr>
        <w:tblW w:w="5000" w:type="pct"/>
        <w:tblCellMar>
          <w:left w:w="70" w:type="dxa"/>
          <w:right w:w="70" w:type="dxa"/>
        </w:tblCellMar>
        <w:tblLook w:val="04A0" w:firstRow="1" w:lastRow="0" w:firstColumn="1" w:lastColumn="0" w:noHBand="0" w:noVBand="1"/>
      </w:tblPr>
      <w:tblGrid>
        <w:gridCol w:w="1841"/>
        <w:gridCol w:w="1489"/>
        <w:gridCol w:w="1104"/>
        <w:gridCol w:w="1074"/>
        <w:gridCol w:w="1408"/>
        <w:gridCol w:w="1074"/>
        <w:gridCol w:w="1222"/>
      </w:tblGrid>
      <w:tr w:rsidR="00B174B8" w:rsidRPr="003166F7" w:rsidTr="00DA3F4B">
        <w:trPr>
          <w:trHeight w:val="450"/>
          <w:tblHeader/>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424D" w:rsidRDefault="00B174B8">
            <w:pPr>
              <w:spacing w:after="240"/>
              <w:jc w:val="left"/>
              <w:rPr>
                <w:rFonts w:asciiTheme="minorHAnsi" w:hAnsiTheme="minorHAnsi" w:cs="Arial"/>
                <w:b/>
                <w:bCs/>
                <w:sz w:val="20"/>
                <w:szCs w:val="20"/>
              </w:rPr>
            </w:pPr>
            <w:r w:rsidRPr="003166F7">
              <w:rPr>
                <w:rFonts w:asciiTheme="minorHAnsi" w:hAnsiTheme="minorHAnsi" w:cs="Arial"/>
                <w:b/>
                <w:bCs/>
                <w:sz w:val="20"/>
                <w:szCs w:val="20"/>
              </w:rPr>
              <w:t>ČR, kraj</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Pečovatelská</w:t>
            </w:r>
            <w:r w:rsidRPr="003166F7">
              <w:rPr>
                <w:rFonts w:asciiTheme="minorHAnsi" w:hAnsiTheme="minorHAnsi" w:cs="Arial"/>
                <w:b/>
                <w:bCs/>
                <w:sz w:val="20"/>
                <w:szCs w:val="20"/>
              </w:rPr>
              <w:br/>
              <w:t>služba poskytnutá obyv. nad 70 let</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Osobní</w:t>
            </w:r>
            <w:r w:rsidRPr="003166F7">
              <w:rPr>
                <w:rFonts w:asciiTheme="minorHAnsi" w:hAnsiTheme="minorHAnsi" w:cs="Arial"/>
                <w:b/>
                <w:bCs/>
                <w:sz w:val="20"/>
                <w:szCs w:val="20"/>
              </w:rPr>
              <w:br/>
              <w:t>asistence</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bCs/>
                <w:sz w:val="20"/>
                <w:szCs w:val="20"/>
              </w:rPr>
            </w:pPr>
            <w:r w:rsidRPr="003166F7">
              <w:rPr>
                <w:rFonts w:asciiTheme="minorHAnsi" w:hAnsiTheme="minorHAnsi" w:cs="Arial"/>
                <w:b/>
                <w:bCs/>
                <w:sz w:val="20"/>
                <w:szCs w:val="20"/>
              </w:rPr>
              <w:t>Tísňová péče</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bCs/>
                <w:sz w:val="20"/>
                <w:szCs w:val="20"/>
              </w:rPr>
            </w:pPr>
            <w:r w:rsidRPr="003166F7">
              <w:rPr>
                <w:rFonts w:asciiTheme="minorHAnsi" w:hAnsiTheme="minorHAnsi" w:cs="Arial"/>
                <w:b/>
                <w:bCs/>
                <w:sz w:val="20"/>
                <w:szCs w:val="20"/>
              </w:rPr>
              <w:t>Odlehčovací služby</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Centra denních</w:t>
            </w:r>
            <w:r w:rsidRPr="003166F7">
              <w:rPr>
                <w:rFonts w:asciiTheme="minorHAnsi" w:hAnsiTheme="minorHAnsi" w:cs="Arial"/>
                <w:b/>
                <w:bCs/>
                <w:sz w:val="20"/>
                <w:szCs w:val="20"/>
              </w:rPr>
              <w:br/>
              <w:t>služeb</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bCs/>
                <w:sz w:val="20"/>
                <w:szCs w:val="20"/>
              </w:rPr>
            </w:pPr>
            <w:r w:rsidRPr="003166F7">
              <w:rPr>
                <w:rFonts w:asciiTheme="minorHAnsi" w:hAnsiTheme="minorHAnsi" w:cs="Arial"/>
                <w:b/>
                <w:bCs/>
                <w:sz w:val="20"/>
                <w:szCs w:val="20"/>
              </w:rPr>
              <w:t>Denní</w:t>
            </w:r>
            <w:r w:rsidRPr="003166F7">
              <w:rPr>
                <w:rFonts w:asciiTheme="minorHAnsi" w:hAnsiTheme="minorHAnsi" w:cs="Arial"/>
                <w:b/>
                <w:bCs/>
                <w:sz w:val="20"/>
                <w:szCs w:val="20"/>
              </w:rPr>
              <w:br/>
              <w:t>stacionáře</w:t>
            </w:r>
          </w:p>
        </w:tc>
      </w:tr>
      <w:tr w:rsidR="00B174B8" w:rsidRPr="003166F7" w:rsidTr="002B6530">
        <w:trPr>
          <w:trHeight w:val="176"/>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b/>
                <w:sz w:val="20"/>
                <w:szCs w:val="20"/>
              </w:rPr>
            </w:pPr>
            <w:r w:rsidRPr="002B6530">
              <w:rPr>
                <w:rFonts w:asciiTheme="minorHAnsi" w:hAnsiTheme="minorHAnsi" w:cs="Arial"/>
                <w:b/>
                <w:sz w:val="20"/>
                <w:szCs w:val="20"/>
              </w:rPr>
              <w:t>ČR</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220,07</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44,12</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3,14</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51,93</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15,36</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68,73</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Hl. m. Praha</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249,86</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71,56</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8,62</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114,92</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15,14</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94,89</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Středočeský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184,85</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35,47</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3,53</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45,93</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5,93</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47,75</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Jihočeský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204,73</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32,81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4,25</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59,35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9,16</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36,93</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Plzeňský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287,15</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22,11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0,86</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46,01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4,71</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36,37</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b/>
                <w:bCs/>
                <w:sz w:val="20"/>
                <w:szCs w:val="20"/>
              </w:rPr>
            </w:pPr>
            <w:r w:rsidRPr="003166F7">
              <w:rPr>
                <w:rFonts w:asciiTheme="minorHAnsi" w:hAnsiTheme="minorHAnsi" w:cs="Arial"/>
                <w:b/>
                <w:bCs/>
                <w:sz w:val="20"/>
                <w:szCs w:val="20"/>
              </w:rPr>
              <w:t>Karlovarský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237,85</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38,05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3,35</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4,46</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1,58</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32,24</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Ústecký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166,17</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28,57</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0,30</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56,85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7,79</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52,67</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Liberecký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276,50</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85,56</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0,47</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36,68</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45,69</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53,49</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Královéhradecký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273,13</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49,20</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7,30</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93,26</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18,22</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59,66</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Pardubický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232,29</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74,17</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0,14</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37,91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13,59</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60,62</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Vysočina</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260,53</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39,80</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4,48</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55,21</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17,13</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119,45</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Jihomoravský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213,25</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24,27</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2,93</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21,24</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22,71</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83,56</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lastRenderedPageBreak/>
              <w:t>Olomoucký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252,62</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39,05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0,18</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24,86</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27,46</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87,68</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9E424D" w:rsidRDefault="00B174B8">
            <w:pPr>
              <w:spacing w:after="0"/>
              <w:rPr>
                <w:rFonts w:asciiTheme="minorHAnsi" w:hAnsiTheme="minorHAnsi" w:cs="Arial"/>
                <w:sz w:val="20"/>
                <w:szCs w:val="20"/>
              </w:rPr>
            </w:pPr>
            <w:r w:rsidRPr="003166F7">
              <w:rPr>
                <w:rFonts w:asciiTheme="minorHAnsi" w:hAnsiTheme="minorHAnsi" w:cs="Arial"/>
                <w:sz w:val="20"/>
                <w:szCs w:val="20"/>
              </w:rPr>
              <w:t>Zlínský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190,58</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31,72</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47,92</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20,45</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53,05</w:t>
            </w:r>
          </w:p>
        </w:tc>
      </w:tr>
      <w:tr w:rsidR="00B174B8" w:rsidRPr="003166F7" w:rsidTr="00B174B8">
        <w:trPr>
          <w:trHeight w:val="240"/>
        </w:trPr>
        <w:tc>
          <w:tcPr>
            <w:tcW w:w="999" w:type="pct"/>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Moravskoslezský</w:t>
            </w:r>
          </w:p>
        </w:tc>
        <w:tc>
          <w:tcPr>
            <w:tcW w:w="808"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173,15</w:t>
            </w:r>
          </w:p>
        </w:tc>
        <w:tc>
          <w:tcPr>
            <w:tcW w:w="599"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53,05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2,52</w:t>
            </w:r>
          </w:p>
        </w:tc>
        <w:tc>
          <w:tcPr>
            <w:tcW w:w="764"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37,85</w:t>
            </w:r>
          </w:p>
        </w:tc>
        <w:tc>
          <w:tcPr>
            <w:tcW w:w="58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14,47</w:t>
            </w:r>
          </w:p>
        </w:tc>
        <w:tc>
          <w:tcPr>
            <w:tcW w:w="663" w:type="pct"/>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91,31</w:t>
            </w:r>
          </w:p>
        </w:tc>
      </w:tr>
    </w:tbl>
    <w:p w:rsidR="00B174B8" w:rsidRDefault="00B174B8" w:rsidP="002C40B2">
      <w:pPr>
        <w:pStyle w:val="poznzdroj"/>
        <w:spacing w:line="276" w:lineRule="auto"/>
      </w:pPr>
      <w:r>
        <w:t>Zdroj: ČSÚ</w:t>
      </w:r>
      <w:r w:rsidR="002D6317">
        <w:t xml:space="preserve"> -</w:t>
      </w:r>
      <w:r>
        <w:t xml:space="preserve"> Statistická ročenka Karlovarského kraje 2015, Veřejná databáze, vlastní výpočty</w:t>
      </w:r>
    </w:p>
    <w:p w:rsidR="002B6530" w:rsidRDefault="002B6530" w:rsidP="002C40B2">
      <w:bookmarkStart w:id="323" w:name="_Ref468175350"/>
      <w:bookmarkStart w:id="324" w:name="_Ref468948147"/>
      <w:r>
        <w:t xml:space="preserve">Mezi sociálními službami dokazuje vyšší poptávku po domovech pro seniory a po domovech </w:t>
      </w:r>
      <w:r>
        <w:br/>
        <w:t xml:space="preserve">se zvláštním režimem napříč kraji </w:t>
      </w:r>
      <w:r w:rsidR="002421CD">
        <w:t>tabulka níže</w:t>
      </w:r>
      <w:r>
        <w:t>.</w:t>
      </w:r>
    </w:p>
    <w:p w:rsidR="00B174B8" w:rsidRDefault="00B174B8" w:rsidP="000B3B9C">
      <w:pPr>
        <w:pStyle w:val="Titulek"/>
      </w:pPr>
      <w:bookmarkStart w:id="325" w:name="_Toc488233508"/>
      <w:r>
        <w:t xml:space="preserve">Tabulka </w:t>
      </w:r>
      <w:r w:rsidR="008965FE">
        <w:fldChar w:fldCharType="begin"/>
      </w:r>
      <w:r w:rsidR="00B33DFE">
        <w:instrText xml:space="preserve"> STYLEREF 1 \s </w:instrText>
      </w:r>
      <w:r w:rsidR="008965FE">
        <w:fldChar w:fldCharType="separate"/>
      </w:r>
      <w:r w:rsidR="00CB29BD">
        <w:t>12</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4</w:t>
      </w:r>
      <w:r w:rsidR="004F2330">
        <w:fldChar w:fldCharType="end"/>
      </w:r>
      <w:bookmarkEnd w:id="323"/>
      <w:bookmarkEnd w:id="324"/>
      <w:r>
        <w:t xml:space="preserve">: Neuspokojení žadatelé o sociální služby podle krajů </w:t>
      </w:r>
      <w:r w:rsidR="003166F7">
        <w:t>(</w:t>
      </w:r>
      <w:r>
        <w:t>k 31. 12. 2014</w:t>
      </w:r>
      <w:r w:rsidR="003166F7">
        <w:t>,</w:t>
      </w:r>
      <w:r>
        <w:t xml:space="preserve"> v přepočtu na </w:t>
      </w:r>
      <w:r w:rsidR="003166F7">
        <w:br/>
      </w:r>
      <w:r>
        <w:t>1 000 obyvatel</w:t>
      </w:r>
      <w:r w:rsidR="001D7893">
        <w:t>)</w:t>
      </w:r>
      <w:bookmarkEnd w:id="325"/>
    </w:p>
    <w:tbl>
      <w:tblPr>
        <w:tblW w:w="9160" w:type="dxa"/>
        <w:tblCellMar>
          <w:left w:w="70" w:type="dxa"/>
          <w:right w:w="70" w:type="dxa"/>
        </w:tblCellMar>
        <w:tblLook w:val="04A0" w:firstRow="1" w:lastRow="0" w:firstColumn="1" w:lastColumn="0" w:noHBand="0" w:noVBand="1"/>
      </w:tblPr>
      <w:tblGrid>
        <w:gridCol w:w="1510"/>
        <w:gridCol w:w="1540"/>
        <w:gridCol w:w="1520"/>
        <w:gridCol w:w="1540"/>
        <w:gridCol w:w="1520"/>
        <w:gridCol w:w="1540"/>
      </w:tblGrid>
      <w:tr w:rsidR="00B174B8" w:rsidRPr="003166F7" w:rsidTr="000562C0">
        <w:trPr>
          <w:trHeight w:val="1125"/>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424D" w:rsidRDefault="002B6530">
            <w:pPr>
              <w:spacing w:after="0"/>
              <w:rPr>
                <w:rFonts w:asciiTheme="minorHAnsi" w:hAnsiTheme="minorHAnsi" w:cs="Arial"/>
                <w:b/>
                <w:sz w:val="20"/>
                <w:szCs w:val="20"/>
              </w:rPr>
            </w:pPr>
            <w:r>
              <w:rPr>
                <w:rFonts w:asciiTheme="minorHAnsi" w:hAnsiTheme="minorHAnsi" w:cs="Arial"/>
                <w:b/>
                <w:sz w:val="20"/>
                <w:szCs w:val="20"/>
              </w:rPr>
              <w:t>K</w:t>
            </w:r>
            <w:r w:rsidR="00B174B8" w:rsidRPr="003166F7">
              <w:rPr>
                <w:rFonts w:asciiTheme="minorHAnsi" w:hAnsiTheme="minorHAnsi" w:cs="Arial"/>
                <w:b/>
                <w:sz w:val="20"/>
                <w:szCs w:val="20"/>
              </w:rPr>
              <w:t>raj</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sz w:val="20"/>
                <w:szCs w:val="20"/>
              </w:rPr>
            </w:pPr>
            <w:r w:rsidRPr="003166F7">
              <w:rPr>
                <w:rFonts w:asciiTheme="minorHAnsi" w:hAnsiTheme="minorHAnsi" w:cs="Arial"/>
                <w:b/>
                <w:sz w:val="20"/>
                <w:szCs w:val="20"/>
              </w:rPr>
              <w:t>domovy</w:t>
            </w:r>
            <w:r w:rsidRPr="003166F7">
              <w:rPr>
                <w:rFonts w:asciiTheme="minorHAnsi" w:hAnsiTheme="minorHAnsi" w:cs="Arial"/>
                <w:b/>
                <w:sz w:val="20"/>
                <w:szCs w:val="20"/>
              </w:rPr>
              <w:br/>
              <w:t>pro seniory</w:t>
            </w:r>
            <w:r w:rsidRPr="003166F7">
              <w:rPr>
                <w:rFonts w:asciiTheme="minorHAnsi" w:hAnsiTheme="minorHAnsi" w:cs="Arial"/>
                <w:b/>
                <w:sz w:val="20"/>
                <w:szCs w:val="20"/>
              </w:rPr>
              <w:br/>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sz w:val="20"/>
                <w:szCs w:val="20"/>
              </w:rPr>
            </w:pPr>
            <w:r w:rsidRPr="003166F7">
              <w:rPr>
                <w:rFonts w:asciiTheme="minorHAnsi" w:hAnsiTheme="minorHAnsi" w:cs="Arial"/>
                <w:b/>
                <w:sz w:val="20"/>
                <w:szCs w:val="20"/>
              </w:rPr>
              <w:t>domovy se zvláštním režimem</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0"/>
              <w:jc w:val="center"/>
              <w:rPr>
                <w:rFonts w:asciiTheme="minorHAnsi" w:hAnsiTheme="minorHAnsi" w:cs="Arial"/>
                <w:b/>
                <w:sz w:val="20"/>
                <w:szCs w:val="20"/>
              </w:rPr>
            </w:pPr>
            <w:r w:rsidRPr="003166F7">
              <w:rPr>
                <w:rFonts w:asciiTheme="minorHAnsi" w:hAnsiTheme="minorHAnsi" w:cs="Arial"/>
                <w:b/>
                <w:sz w:val="20"/>
                <w:szCs w:val="20"/>
              </w:rPr>
              <w:t>domovy pro</w:t>
            </w:r>
            <w:r w:rsidRPr="003166F7">
              <w:rPr>
                <w:rFonts w:asciiTheme="minorHAnsi" w:hAnsiTheme="minorHAnsi" w:cs="Arial"/>
                <w:b/>
                <w:sz w:val="20"/>
                <w:szCs w:val="20"/>
              </w:rPr>
              <w:br/>
              <w:t>osoby se</w:t>
            </w:r>
            <w:r w:rsidRPr="003166F7">
              <w:rPr>
                <w:rFonts w:asciiTheme="minorHAnsi" w:hAnsiTheme="minorHAnsi" w:cs="Arial"/>
                <w:b/>
                <w:sz w:val="20"/>
                <w:szCs w:val="20"/>
              </w:rPr>
              <w:br/>
              <w:t>zdravotním</w:t>
            </w:r>
            <w:r w:rsidRPr="003166F7">
              <w:rPr>
                <w:rFonts w:asciiTheme="minorHAnsi" w:hAnsiTheme="minorHAnsi" w:cs="Arial"/>
                <w:b/>
                <w:sz w:val="20"/>
                <w:szCs w:val="20"/>
              </w:rPr>
              <w:br/>
              <w:t>postižením</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sz w:val="20"/>
                <w:szCs w:val="20"/>
              </w:rPr>
            </w:pPr>
            <w:r w:rsidRPr="003166F7">
              <w:rPr>
                <w:rFonts w:asciiTheme="minorHAnsi" w:hAnsiTheme="minorHAnsi" w:cs="Arial"/>
                <w:b/>
                <w:sz w:val="20"/>
                <w:szCs w:val="20"/>
              </w:rPr>
              <w:t>azylové</w:t>
            </w:r>
            <w:r w:rsidRPr="003166F7">
              <w:rPr>
                <w:rFonts w:asciiTheme="minorHAnsi" w:hAnsiTheme="minorHAnsi" w:cs="Arial"/>
                <w:b/>
                <w:sz w:val="20"/>
                <w:szCs w:val="20"/>
              </w:rPr>
              <w:br/>
              <w:t>domy</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174B8" w:rsidRPr="003166F7" w:rsidRDefault="00B174B8" w:rsidP="000562C0">
            <w:pPr>
              <w:spacing w:after="240"/>
              <w:jc w:val="center"/>
              <w:rPr>
                <w:rFonts w:asciiTheme="minorHAnsi" w:hAnsiTheme="minorHAnsi" w:cs="Arial"/>
                <w:b/>
                <w:sz w:val="20"/>
                <w:szCs w:val="20"/>
              </w:rPr>
            </w:pPr>
            <w:r w:rsidRPr="003166F7">
              <w:rPr>
                <w:rFonts w:asciiTheme="minorHAnsi" w:hAnsiTheme="minorHAnsi" w:cs="Arial"/>
                <w:b/>
                <w:sz w:val="20"/>
                <w:szCs w:val="20"/>
              </w:rPr>
              <w:t>chráněné</w:t>
            </w:r>
            <w:r w:rsidRPr="003166F7">
              <w:rPr>
                <w:rFonts w:asciiTheme="minorHAnsi" w:hAnsiTheme="minorHAnsi" w:cs="Arial"/>
                <w:b/>
                <w:sz w:val="20"/>
                <w:szCs w:val="20"/>
              </w:rPr>
              <w:br/>
              <w:t>bydlení</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Hl. m. Praha</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52,75</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15,49</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0,24</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0,52</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0,19</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Středočeský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43,77</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6,02</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0,10</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0,73</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0,12</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Jihočeský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58,08</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12,59</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0,16</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0,34</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0,12</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Plzeňský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49,61</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7,79</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0,27</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1,48</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0,04</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b/>
                <w:bCs/>
                <w:sz w:val="20"/>
                <w:szCs w:val="20"/>
              </w:rPr>
            </w:pPr>
            <w:r w:rsidRPr="003166F7">
              <w:rPr>
                <w:rFonts w:asciiTheme="minorHAnsi" w:hAnsiTheme="minorHAnsi" w:cs="Arial"/>
                <w:b/>
                <w:bCs/>
                <w:sz w:val="20"/>
                <w:szCs w:val="20"/>
              </w:rPr>
              <w:t>Karlovarský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38,54</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22,84</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0,32</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0,14</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b/>
                <w:bCs/>
                <w:sz w:val="20"/>
                <w:szCs w:val="20"/>
              </w:rPr>
            </w:pPr>
            <w:r w:rsidRPr="003166F7">
              <w:rPr>
                <w:rFonts w:asciiTheme="minorHAnsi" w:hAnsiTheme="minorHAnsi" w:cs="Arial"/>
                <w:b/>
                <w:bCs/>
                <w:sz w:val="20"/>
                <w:szCs w:val="20"/>
              </w:rPr>
              <w:t>0,14</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Ústecký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6,09</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4,50</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0,10</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0,67</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0,03</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Liberecký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47,53</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25,07</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0,30</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1,04</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0,12</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Královéhradecký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22,94</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7,91</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0,12</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0,46</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0,03</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Pardubický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40,14</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7,66</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0,31</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0,18</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0,03</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Vysočina</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41,03</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7,85</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0,14</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0,44</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0,03</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Jihomoravský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57,72</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16,31</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0,18</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0,25</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0,06</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Olomoucký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90,03</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35,96</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0,32</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0,32</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0,11</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Zlínský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47,46</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11,28</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0,19</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0,34</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1,54</w:t>
            </w:r>
          </w:p>
        </w:tc>
      </w:tr>
      <w:tr w:rsidR="00B174B8" w:rsidRPr="003166F7" w:rsidTr="00B174B8">
        <w:trPr>
          <w:trHeight w:val="225"/>
        </w:trPr>
        <w:tc>
          <w:tcPr>
            <w:tcW w:w="1500" w:type="dxa"/>
            <w:tcBorders>
              <w:top w:val="nil"/>
              <w:left w:val="single" w:sz="4" w:space="0" w:color="auto"/>
              <w:bottom w:val="single" w:sz="4" w:space="0" w:color="auto"/>
              <w:right w:val="single" w:sz="4" w:space="0" w:color="auto"/>
            </w:tcBorders>
            <w:shd w:val="clear" w:color="auto" w:fill="auto"/>
            <w:vAlign w:val="center"/>
            <w:hideMark/>
          </w:tcPr>
          <w:p w:rsidR="00B174B8" w:rsidRPr="003166F7" w:rsidRDefault="00B174B8" w:rsidP="002C40B2">
            <w:pPr>
              <w:spacing w:after="0"/>
              <w:jc w:val="left"/>
              <w:rPr>
                <w:rFonts w:asciiTheme="minorHAnsi" w:hAnsiTheme="minorHAnsi" w:cs="Arial"/>
                <w:sz w:val="20"/>
                <w:szCs w:val="20"/>
              </w:rPr>
            </w:pPr>
            <w:r w:rsidRPr="003166F7">
              <w:rPr>
                <w:rFonts w:asciiTheme="minorHAnsi" w:hAnsiTheme="minorHAnsi" w:cs="Arial"/>
                <w:sz w:val="20"/>
                <w:szCs w:val="20"/>
              </w:rPr>
              <w:t>Moravskoslezský</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91,28</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20,96</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0,45</w:t>
            </w:r>
          </w:p>
        </w:tc>
        <w:tc>
          <w:tcPr>
            <w:tcW w:w="152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0,54</w:t>
            </w:r>
          </w:p>
        </w:tc>
        <w:tc>
          <w:tcPr>
            <w:tcW w:w="1540" w:type="dxa"/>
            <w:tcBorders>
              <w:top w:val="nil"/>
              <w:left w:val="nil"/>
              <w:bottom w:val="single" w:sz="4" w:space="0" w:color="auto"/>
              <w:right w:val="single" w:sz="4" w:space="0" w:color="auto"/>
            </w:tcBorders>
            <w:shd w:val="clear" w:color="auto" w:fill="auto"/>
            <w:noWrap/>
            <w:vAlign w:val="bottom"/>
            <w:hideMark/>
          </w:tcPr>
          <w:p w:rsidR="00B174B8" w:rsidRPr="003166F7" w:rsidRDefault="00B174B8" w:rsidP="002C40B2">
            <w:pPr>
              <w:spacing w:after="0"/>
              <w:jc w:val="center"/>
              <w:rPr>
                <w:rFonts w:asciiTheme="minorHAnsi" w:hAnsiTheme="minorHAnsi" w:cs="Arial"/>
                <w:sz w:val="20"/>
                <w:szCs w:val="20"/>
              </w:rPr>
            </w:pPr>
            <w:r w:rsidRPr="003166F7">
              <w:rPr>
                <w:rFonts w:asciiTheme="minorHAnsi" w:hAnsiTheme="minorHAnsi" w:cs="Arial"/>
                <w:sz w:val="20"/>
                <w:szCs w:val="20"/>
              </w:rPr>
              <w:t>0,07</w:t>
            </w:r>
          </w:p>
        </w:tc>
      </w:tr>
    </w:tbl>
    <w:p w:rsidR="00B174B8" w:rsidRDefault="003166F7" w:rsidP="002C40B2">
      <w:pPr>
        <w:pStyle w:val="poznzdroj"/>
        <w:spacing w:line="276" w:lineRule="auto"/>
      </w:pPr>
      <w:r>
        <w:t>Zdroj: ČS</w:t>
      </w:r>
      <w:r w:rsidR="002D6317">
        <w:t>Ú</w:t>
      </w:r>
      <w:r>
        <w:t xml:space="preserve"> -</w:t>
      </w:r>
      <w:r w:rsidR="00B174B8">
        <w:t xml:space="preserve"> Statistická ročenka Karlovarského kraje 2015</w:t>
      </w:r>
    </w:p>
    <w:p w:rsidR="00B174B8" w:rsidRDefault="00B174B8" w:rsidP="002C40B2">
      <w:r>
        <w:t xml:space="preserve">Počet neuspokojených žadatelů o domov pro seniory se v průměru pohybuje kolem 49 žadatelů. Téměř dvojnásobný počet neuspokojených žadatelů je v tomto případě v Moravskoslezském </w:t>
      </w:r>
      <w:r w:rsidR="006F30DE">
        <w:br/>
      </w:r>
      <w:r>
        <w:t xml:space="preserve">a Olomouckém kraji. KK má naopak nižší než průměrný počet neuspokojených žadatelů o domov pro seniory. U žadatelů o domov se zvláštním režimem se naopak pohybuje počet neuspokojených žadatelů </w:t>
      </w:r>
      <w:r w:rsidR="002B6530">
        <w:t xml:space="preserve">v KK </w:t>
      </w:r>
      <w:r>
        <w:t xml:space="preserve">nad průměrem ČR. V porovnání s ostatními kraji má KK nejnižší počet neuspokojených žadatelů o azylové domy. </w:t>
      </w:r>
    </w:p>
    <w:p w:rsidR="00B174B8" w:rsidRPr="002B6530" w:rsidRDefault="00B174B8" w:rsidP="002C40B2">
      <w:pPr>
        <w:pStyle w:val="Nadpis2"/>
      </w:pPr>
      <w:r w:rsidRPr="002B6530">
        <w:t>Senioři</w:t>
      </w:r>
    </w:p>
    <w:p w:rsidR="00B174B8" w:rsidRDefault="00B174B8" w:rsidP="002C40B2">
      <w:pPr>
        <w:rPr>
          <w:bCs/>
          <w:kern w:val="32"/>
        </w:rPr>
      </w:pPr>
      <w:r>
        <w:rPr>
          <w:lang w:eastAsia="en-US"/>
        </w:rPr>
        <w:t>Díky demografickému stárnutí populace se bude v</w:t>
      </w:r>
      <w:r w:rsidRPr="009A0E15">
        <w:rPr>
          <w:lang w:eastAsia="en-US"/>
        </w:rPr>
        <w:t xml:space="preserve">ěkové složení obyvatelstva Karlovarského kraje </w:t>
      </w:r>
      <w:r w:rsidR="002B6530">
        <w:rPr>
          <w:lang w:eastAsia="en-US"/>
        </w:rPr>
        <w:br/>
      </w:r>
      <w:r w:rsidRPr="009A0E15">
        <w:rPr>
          <w:lang w:eastAsia="en-US"/>
        </w:rPr>
        <w:t>v následujících letech výrazně měnit. Zatímco počet obyvatel v dětském a mladistvém věku bude stagnovat, počet seniorů bude růst. Týká se to zejména nejstaršíc</w:t>
      </w:r>
      <w:r>
        <w:rPr>
          <w:lang w:eastAsia="en-US"/>
        </w:rPr>
        <w:t xml:space="preserve">h seniorů ve věku 80 let a výše (viz </w:t>
      </w:r>
      <w:r>
        <w:rPr>
          <w:lang w:eastAsia="en-US"/>
        </w:rPr>
        <w:lastRenderedPageBreak/>
        <w:t>kapitola 10. Demografický vývoj).</w:t>
      </w:r>
      <w:r w:rsidRPr="009A0E15">
        <w:rPr>
          <w:lang w:eastAsia="en-US"/>
        </w:rPr>
        <w:t xml:space="preserve"> </w:t>
      </w:r>
      <w:r>
        <w:t>Vzhledem k  výraznému stárnutí populace kraje lze předpokládat nárůst poptávky po sociálních službách</w:t>
      </w:r>
      <w:r w:rsidR="002B6530">
        <w:t>,</w:t>
      </w:r>
      <w:r>
        <w:t xml:space="preserve"> jako jsou domovy pro seniory a další alternativní formy poskytování sociálních služeb v podobě</w:t>
      </w:r>
      <w:r>
        <w:rPr>
          <w:bCs/>
          <w:kern w:val="32"/>
        </w:rPr>
        <w:t xml:space="preserve"> rozšiřování nabídky terénních služeb sociální péče (pečovatelská služba, služby osobní asistence aj.).</w:t>
      </w:r>
      <w:r w:rsidRPr="00390783">
        <w:rPr>
          <w:lang w:eastAsia="en-US"/>
        </w:rPr>
        <w:t xml:space="preserve"> </w:t>
      </w:r>
      <w:r w:rsidRPr="009A0E15">
        <w:rPr>
          <w:lang w:eastAsia="en-US"/>
        </w:rPr>
        <w:t>Oblast péče o seniory proto patří do prioritních oblastí i v rámci strategického plánování jednotlivých měst a obcí.</w:t>
      </w:r>
    </w:p>
    <w:p w:rsidR="00B174B8" w:rsidRPr="009A0E15" w:rsidRDefault="00B174B8" w:rsidP="002C40B2">
      <w:r>
        <w:rPr>
          <w:lang w:eastAsia="en-US"/>
        </w:rPr>
        <w:t>Se stárnutím populace a zvyšováním průměrného věku dožití souvisí rovněž podíl příjemců příspěvku na péči s III. a IV. stupněm závislosti, který v roce 2012 pobíralo 2</w:t>
      </w:r>
      <w:r w:rsidR="002B6530">
        <w:rPr>
          <w:lang w:eastAsia="en-US"/>
        </w:rPr>
        <w:t xml:space="preserve"> </w:t>
      </w:r>
      <w:r>
        <w:rPr>
          <w:lang w:eastAsia="en-US"/>
        </w:rPr>
        <w:t xml:space="preserve">297 osob a podle prognóz by měl jejich počet vzrůst </w:t>
      </w:r>
      <w:r w:rsidR="003F08E6">
        <w:rPr>
          <w:lang w:eastAsia="en-US"/>
        </w:rPr>
        <w:t xml:space="preserve">do roku 2022 </w:t>
      </w:r>
      <w:r>
        <w:rPr>
          <w:lang w:eastAsia="en-US"/>
        </w:rPr>
        <w:t>na celkem 3</w:t>
      </w:r>
      <w:r w:rsidR="002B6530">
        <w:rPr>
          <w:lang w:eastAsia="en-US"/>
        </w:rPr>
        <w:t xml:space="preserve"> </w:t>
      </w:r>
      <w:r>
        <w:rPr>
          <w:lang w:eastAsia="en-US"/>
        </w:rPr>
        <w:t>223 osob. Podíl seniorské populace v jednotlivých ORP KK a počet příjemců příspěv</w:t>
      </w:r>
      <w:r w:rsidR="003F08E6">
        <w:rPr>
          <w:lang w:eastAsia="en-US"/>
        </w:rPr>
        <w:t xml:space="preserve">ku na péči v roce 2012 zobrazuje </w:t>
      </w:r>
      <w:r w:rsidR="003E6BE0">
        <w:t>obrázek níže</w:t>
      </w:r>
      <w:r>
        <w:rPr>
          <w:lang w:eastAsia="en-US"/>
        </w:rPr>
        <w:t xml:space="preserve">. </w:t>
      </w:r>
    </w:p>
    <w:p w:rsidR="00B174B8" w:rsidRPr="00E70E73" w:rsidRDefault="00B174B8" w:rsidP="000B3B9C">
      <w:pPr>
        <w:pStyle w:val="Titulek"/>
      </w:pPr>
      <w:bookmarkStart w:id="326" w:name="_Ref468949180"/>
      <w:bookmarkStart w:id="327" w:name="_Toc488234395"/>
      <w:r>
        <w:t xml:space="preserve">Obrázek </w:t>
      </w:r>
      <w:r w:rsidR="008965FE">
        <w:fldChar w:fldCharType="begin"/>
      </w:r>
      <w:r w:rsidR="00034D74">
        <w:instrText xml:space="preserve"> STYLEREF 1 \s </w:instrText>
      </w:r>
      <w:r w:rsidR="008965FE">
        <w:fldChar w:fldCharType="separate"/>
      </w:r>
      <w:r w:rsidR="00CB29BD">
        <w:t>12</w:t>
      </w:r>
      <w:r w:rsidR="008965FE">
        <w:fldChar w:fldCharType="end"/>
      </w:r>
      <w:r w:rsidR="00034D74">
        <w:t>.</w:t>
      </w:r>
      <w:r w:rsidR="008965FE">
        <w:fldChar w:fldCharType="begin"/>
      </w:r>
      <w:r w:rsidR="00034D74">
        <w:instrText xml:space="preserve"> SEQ Obrázek \* ARABIC \s 1 </w:instrText>
      </w:r>
      <w:r w:rsidR="008965FE">
        <w:fldChar w:fldCharType="separate"/>
      </w:r>
      <w:r w:rsidR="00CB29BD">
        <w:t>1</w:t>
      </w:r>
      <w:r w:rsidR="008965FE">
        <w:fldChar w:fldCharType="end"/>
      </w:r>
      <w:bookmarkEnd w:id="326"/>
      <w:r>
        <w:t>:</w:t>
      </w:r>
      <w:r w:rsidRPr="009A0E15">
        <w:t xml:space="preserve"> Podíl seniorské populace a počet příjemců příspěvku na péči</w:t>
      </w:r>
      <w:r>
        <w:t xml:space="preserve"> </w:t>
      </w:r>
      <w:r w:rsidR="003F08E6">
        <w:t xml:space="preserve">v KK </w:t>
      </w:r>
      <w:r>
        <w:t>v roce 2012</w:t>
      </w:r>
      <w:bookmarkEnd w:id="327"/>
      <w:r>
        <w:t xml:space="preserve"> </w:t>
      </w:r>
    </w:p>
    <w:p w:rsidR="00B174B8" w:rsidRDefault="00B174B8" w:rsidP="002C40B2">
      <w:r>
        <w:rPr>
          <w:noProof/>
        </w:rPr>
        <w:drawing>
          <wp:inline distT="0" distB="0" distL="0" distR="0">
            <wp:extent cx="5647958" cy="3095625"/>
            <wp:effectExtent l="19050" t="19050" r="10160" b="9525"/>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17876" b="4655"/>
                    <a:stretch/>
                  </pic:blipFill>
                  <pic:spPr bwMode="auto">
                    <a:xfrm>
                      <a:off x="0" y="0"/>
                      <a:ext cx="5647063" cy="3095134"/>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B174B8" w:rsidRPr="003F08E6" w:rsidRDefault="00B174B8" w:rsidP="002C40B2">
      <w:pPr>
        <w:pStyle w:val="poznzdroj"/>
        <w:spacing w:line="276" w:lineRule="auto"/>
      </w:pPr>
      <w:r w:rsidRPr="003F08E6">
        <w:t>Zdroj: Odbor sociálních věcí KÚKK</w:t>
      </w:r>
    </w:p>
    <w:p w:rsidR="00B174B8" w:rsidRDefault="00B174B8" w:rsidP="002C40B2">
      <w:pPr>
        <w:rPr>
          <w:rFonts w:eastAsia="Batang"/>
        </w:rPr>
      </w:pPr>
      <w:r w:rsidRPr="009A0E15">
        <w:t xml:space="preserve">Mezi </w:t>
      </w:r>
      <w:r>
        <w:t xml:space="preserve">pobytovými </w:t>
      </w:r>
      <w:r w:rsidRPr="009A0E15">
        <w:t>službami sociální péče pro seniory v Karlovarském kraji dominují domovy pro seniory</w:t>
      </w:r>
      <w:r>
        <w:t xml:space="preserve"> a domovy se zvláštním režimem</w:t>
      </w:r>
      <w:r w:rsidRPr="009A0E15">
        <w:t xml:space="preserve">. </w:t>
      </w:r>
      <w:r>
        <w:t>Celková kapacita pobytových zařízení v roce 2016 byla 914 lůžek</w:t>
      </w:r>
      <w:r w:rsidRPr="00050F0D">
        <w:t xml:space="preserve"> </w:t>
      </w:r>
      <w:r>
        <w:t xml:space="preserve">v domovech pro seniory, 495 lůžek v domovech se zvláštním režimem a 10 lůžek v týdenních stacionářích (Odbor sociálních věcí KÚKK). V kraji působí celkem 9 domovů se zvláštním režimem </w:t>
      </w:r>
      <w:r w:rsidRPr="005A531D">
        <w:t xml:space="preserve">a 17 domovů pro seniory. </w:t>
      </w:r>
      <w:r w:rsidRPr="005A531D">
        <w:rPr>
          <w:rFonts w:eastAsia="Batang"/>
        </w:rPr>
        <w:t>Zřizovatelem 7 domovů je Karlovarský kraj (484 lůžek), 2 domovů město (111 lůžek), 2 domovy zřizuje církevní organizace Charita (40 lůžek) a 6 domovů je z podnik</w:t>
      </w:r>
      <w:r>
        <w:rPr>
          <w:rFonts w:eastAsia="Batang"/>
        </w:rPr>
        <w:t>atelského sektoru a NNO (279 lůžek). Čekací doba na umístění do těchto zařízení je v Karlovarském kraji průměrně 4,5 měsíce. Všechny domovy pro seniory zřizované Karlovarským krajem mají zpracovány rozvojové plány. Ty budou v letech 2016 - 2018 vyhodnoceny a bude probíhat tvorba nových plánů, jejichž aplikace zvýší kvalitu poskytovaných sociálních služeb v těchto zařízeních.</w:t>
      </w:r>
    </w:p>
    <w:p w:rsidR="009E424D" w:rsidRDefault="00B174B8">
      <w:pPr>
        <w:rPr>
          <w:rFonts w:eastAsia="Batang"/>
        </w:rPr>
      </w:pPr>
      <w:r>
        <w:rPr>
          <w:rFonts w:eastAsia="Batang"/>
        </w:rPr>
        <w:t>Porovnání</w:t>
      </w:r>
      <w:r w:rsidR="003F08E6">
        <w:rPr>
          <w:rFonts w:eastAsia="Batang"/>
        </w:rPr>
        <w:t xml:space="preserve"> krajů z hlediska</w:t>
      </w:r>
      <w:r>
        <w:rPr>
          <w:rFonts w:eastAsia="Batang"/>
        </w:rPr>
        <w:t xml:space="preserve"> </w:t>
      </w:r>
      <w:r w:rsidR="003F08E6">
        <w:rPr>
          <w:rFonts w:eastAsia="Batang"/>
        </w:rPr>
        <w:t xml:space="preserve">kapacit zařízení domovů pro seniory a domovů se zvláštním režimem nabízí </w:t>
      </w:r>
      <w:r w:rsidR="004F2330">
        <w:fldChar w:fldCharType="begin"/>
      </w:r>
      <w:r w:rsidR="004F2330">
        <w:instrText xml:space="preserve"> REF _Ref468177945 \h  \* MERGEFORMAT </w:instrText>
      </w:r>
      <w:r w:rsidR="004F2330">
        <w:fldChar w:fldCharType="separate"/>
      </w:r>
      <w:r w:rsidR="00EB0944">
        <w:t>t</w:t>
      </w:r>
      <w:r w:rsidR="00CB29BD">
        <w:t xml:space="preserve">abulka </w:t>
      </w:r>
      <w:r w:rsidR="00CB29BD">
        <w:rPr>
          <w:noProof/>
        </w:rPr>
        <w:t>12</w:t>
      </w:r>
      <w:r w:rsidR="00CB29BD">
        <w:t>.5</w:t>
      </w:r>
      <w:r w:rsidR="004F2330">
        <w:fldChar w:fldCharType="end"/>
      </w:r>
      <w:r>
        <w:rPr>
          <w:rFonts w:eastAsia="Batang"/>
        </w:rPr>
        <w:t xml:space="preserve">. Nejnovější </w:t>
      </w:r>
      <w:r w:rsidR="002B6530">
        <w:rPr>
          <w:rFonts w:eastAsia="Batang"/>
        </w:rPr>
        <w:t xml:space="preserve">dostupná </w:t>
      </w:r>
      <w:r>
        <w:rPr>
          <w:rFonts w:eastAsia="Batang"/>
        </w:rPr>
        <w:t>data jsou však za rok 2014.</w:t>
      </w:r>
      <w:r w:rsidR="003F08E6">
        <w:rPr>
          <w:rFonts w:eastAsia="Batang"/>
        </w:rPr>
        <w:t xml:space="preserve"> </w:t>
      </w:r>
      <w:r w:rsidR="003F08E6">
        <w:t>Z</w:t>
      </w:r>
      <w:r w:rsidR="00EB0944">
        <w:t xml:space="preserve"> </w:t>
      </w:r>
      <w:r w:rsidR="008965FE">
        <w:fldChar w:fldCharType="begin"/>
      </w:r>
      <w:r w:rsidR="00EB0944">
        <w:instrText xml:space="preserve"> REF _Ref468177921 \h </w:instrText>
      </w:r>
      <w:r w:rsidR="008965FE">
        <w:fldChar w:fldCharType="separate"/>
      </w:r>
      <w:r w:rsidR="00EB0944">
        <w:t>tabulky 12.1</w:t>
      </w:r>
      <w:r w:rsidR="008965FE">
        <w:fldChar w:fldCharType="end"/>
      </w:r>
      <w:r w:rsidR="00EB0944">
        <w:t xml:space="preserve"> je patrné</w:t>
      </w:r>
      <w:r w:rsidR="003F08E6" w:rsidRPr="00413FA0">
        <w:t xml:space="preserve">, </w:t>
      </w:r>
      <w:r w:rsidR="003C2F1D">
        <w:t xml:space="preserve">že </w:t>
      </w:r>
      <w:r w:rsidR="003F08E6" w:rsidRPr="00413FA0">
        <w:t>má KK nejmenší počet domovů pro seniory i domovů se zvláštním režimem</w:t>
      </w:r>
      <w:r w:rsidR="003F08E6">
        <w:t xml:space="preserve"> a rovněž počet míst v zařízeních</w:t>
      </w:r>
      <w:r w:rsidR="003F08E6" w:rsidRPr="00413FA0">
        <w:t xml:space="preserve">. Při přepočítání počtu míst v zařízeních sociální péče na 1 000 obyvatel </w:t>
      </w:r>
      <w:r w:rsidR="003F08E6">
        <w:t xml:space="preserve">v seniorském věku, </w:t>
      </w:r>
      <w:r w:rsidR="003F08E6">
        <w:lastRenderedPageBreak/>
        <w:t>tj. nad 65 let</w:t>
      </w:r>
      <w:r w:rsidR="003F08E6" w:rsidRPr="00413FA0">
        <w:t xml:space="preserve">, </w:t>
      </w:r>
      <w:r w:rsidR="003F08E6" w:rsidRPr="001D1961">
        <w:t xml:space="preserve">se KK </w:t>
      </w:r>
      <w:r w:rsidR="003F08E6" w:rsidRPr="00413FA0">
        <w:t>pohybuje v případě domovů pro seniory pod průměrem ČR a naopak v počtu míst v domovech se zvláštním režimem</w:t>
      </w:r>
      <w:r w:rsidR="003F08E6" w:rsidRPr="00D06860">
        <w:t xml:space="preserve"> </w:t>
      </w:r>
      <w:r w:rsidR="003F08E6" w:rsidRPr="00AE697E">
        <w:t>nad průměrem ČR</w:t>
      </w:r>
      <w:r w:rsidR="003F08E6" w:rsidRPr="00413FA0">
        <w:t xml:space="preserve">. </w:t>
      </w:r>
      <w:r w:rsidR="003F08E6">
        <w:t>V porovnání s rokem 2003 se v kraji zvýšil jak počet zařízení, tak poč</w:t>
      </w:r>
      <w:r w:rsidR="003C2F1D">
        <w:t>e</w:t>
      </w:r>
      <w:r w:rsidR="003F08E6">
        <w:t xml:space="preserve">t lůžek i uživatelů. </w:t>
      </w:r>
    </w:p>
    <w:p w:rsidR="00B174B8" w:rsidRDefault="00B174B8" w:rsidP="000B3B9C">
      <w:pPr>
        <w:pStyle w:val="Titulek"/>
      </w:pPr>
      <w:bookmarkStart w:id="328" w:name="_Ref468177945"/>
      <w:r>
        <w:t xml:space="preserve">Tabulka </w:t>
      </w:r>
      <w:r w:rsidR="008965FE">
        <w:fldChar w:fldCharType="begin"/>
      </w:r>
      <w:r w:rsidR="00B33DFE">
        <w:instrText xml:space="preserve"> STYLEREF 1 \s </w:instrText>
      </w:r>
      <w:r w:rsidR="008965FE">
        <w:fldChar w:fldCharType="separate"/>
      </w:r>
      <w:r w:rsidR="00CB29BD">
        <w:t>12</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5</w:t>
      </w:r>
      <w:r w:rsidR="004F2330">
        <w:fldChar w:fldCharType="end"/>
      </w:r>
      <w:bookmarkEnd w:id="328"/>
      <w:r>
        <w:t xml:space="preserve">: Počet zařízení sociální péče a míst v zařízeních v krajích v roce </w:t>
      </w:r>
      <w:bookmarkStart w:id="329" w:name="_Ref467750626"/>
      <w:r>
        <w:t>2014</w:t>
      </w:r>
      <w:bookmarkEnd w:id="329"/>
    </w:p>
    <w:tbl>
      <w:tblPr>
        <w:tblW w:w="5000" w:type="pct"/>
        <w:tblLayout w:type="fixed"/>
        <w:tblCellMar>
          <w:left w:w="70" w:type="dxa"/>
          <w:right w:w="70" w:type="dxa"/>
        </w:tblCellMar>
        <w:tblLook w:val="04A0" w:firstRow="1" w:lastRow="0" w:firstColumn="1" w:lastColumn="0" w:noHBand="0" w:noVBand="1"/>
      </w:tblPr>
      <w:tblGrid>
        <w:gridCol w:w="1872"/>
        <w:gridCol w:w="1006"/>
        <w:gridCol w:w="1297"/>
        <w:gridCol w:w="1015"/>
        <w:gridCol w:w="1435"/>
        <w:gridCol w:w="1159"/>
        <w:gridCol w:w="1428"/>
      </w:tblGrid>
      <w:tr w:rsidR="00B174B8" w:rsidRPr="002B6530" w:rsidTr="000562C0">
        <w:trPr>
          <w:trHeight w:val="255"/>
        </w:trPr>
        <w:tc>
          <w:tcPr>
            <w:tcW w:w="101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424D" w:rsidRDefault="00B174B8">
            <w:pPr>
              <w:spacing w:after="0"/>
              <w:jc w:val="left"/>
              <w:rPr>
                <w:rFonts w:asciiTheme="minorHAnsi" w:hAnsiTheme="minorHAnsi" w:cs="Arial"/>
                <w:b/>
                <w:sz w:val="20"/>
                <w:szCs w:val="20"/>
              </w:rPr>
            </w:pPr>
            <w:r w:rsidRPr="002B6530">
              <w:rPr>
                <w:rFonts w:asciiTheme="minorHAnsi" w:hAnsiTheme="minorHAnsi" w:cs="Arial"/>
                <w:b/>
                <w:sz w:val="20"/>
                <w:szCs w:val="20"/>
              </w:rPr>
              <w:t>ČR, kraj</w:t>
            </w:r>
          </w:p>
        </w:tc>
        <w:tc>
          <w:tcPr>
            <w:tcW w:w="1250" w:type="pct"/>
            <w:gridSpan w:val="2"/>
            <w:tcBorders>
              <w:top w:val="single" w:sz="4" w:space="0" w:color="auto"/>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Zařízení sociální péče</w:t>
            </w:r>
          </w:p>
        </w:tc>
        <w:tc>
          <w:tcPr>
            <w:tcW w:w="1330" w:type="pct"/>
            <w:gridSpan w:val="2"/>
            <w:tcBorders>
              <w:top w:val="single" w:sz="4" w:space="0" w:color="auto"/>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Místa v zařízeních</w:t>
            </w:r>
          </w:p>
        </w:tc>
        <w:tc>
          <w:tcPr>
            <w:tcW w:w="1404" w:type="pct"/>
            <w:gridSpan w:val="2"/>
            <w:tcBorders>
              <w:top w:val="single" w:sz="4" w:space="0" w:color="auto"/>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Místa na 1 000 obyvatel</w:t>
            </w:r>
          </w:p>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ve věku 65 a více let</w:t>
            </w:r>
          </w:p>
        </w:tc>
      </w:tr>
      <w:tr w:rsidR="00B174B8" w:rsidRPr="002B6530" w:rsidTr="000562C0">
        <w:trPr>
          <w:trHeight w:val="255"/>
        </w:trPr>
        <w:tc>
          <w:tcPr>
            <w:tcW w:w="1016" w:type="pct"/>
            <w:vMerge/>
            <w:tcBorders>
              <w:top w:val="single" w:sz="4" w:space="0" w:color="auto"/>
              <w:left w:val="single" w:sz="4" w:space="0" w:color="auto"/>
              <w:bottom w:val="single" w:sz="4" w:space="0" w:color="000000"/>
              <w:right w:val="single" w:sz="4" w:space="0" w:color="auto"/>
            </w:tcBorders>
            <w:vAlign w:val="center"/>
            <w:hideMark/>
          </w:tcPr>
          <w:p w:rsidR="00B174B8" w:rsidRPr="002B6530" w:rsidRDefault="00B174B8" w:rsidP="000562C0">
            <w:pPr>
              <w:spacing w:after="0"/>
              <w:jc w:val="center"/>
              <w:rPr>
                <w:rFonts w:asciiTheme="minorHAnsi" w:hAnsiTheme="minorHAnsi" w:cs="Arial"/>
                <w:b/>
                <w:sz w:val="20"/>
                <w:szCs w:val="20"/>
              </w:rPr>
            </w:pPr>
          </w:p>
        </w:tc>
        <w:tc>
          <w:tcPr>
            <w:tcW w:w="546" w:type="pct"/>
            <w:tcBorders>
              <w:top w:val="nil"/>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domovy pro seniory</w:t>
            </w:r>
          </w:p>
        </w:tc>
        <w:tc>
          <w:tcPr>
            <w:tcW w:w="704" w:type="pct"/>
            <w:tcBorders>
              <w:top w:val="nil"/>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domovy se zvláštním režimem</w:t>
            </w:r>
          </w:p>
        </w:tc>
        <w:tc>
          <w:tcPr>
            <w:tcW w:w="551" w:type="pct"/>
            <w:tcBorders>
              <w:top w:val="nil"/>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domovy pro seniory</w:t>
            </w:r>
          </w:p>
        </w:tc>
        <w:tc>
          <w:tcPr>
            <w:tcW w:w="779" w:type="pct"/>
            <w:tcBorders>
              <w:top w:val="nil"/>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domovy se zvláštním režimem</w:t>
            </w:r>
          </w:p>
        </w:tc>
        <w:tc>
          <w:tcPr>
            <w:tcW w:w="629" w:type="pct"/>
            <w:tcBorders>
              <w:top w:val="nil"/>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domovy pro seniory</w:t>
            </w:r>
          </w:p>
        </w:tc>
        <w:tc>
          <w:tcPr>
            <w:tcW w:w="775" w:type="pct"/>
            <w:tcBorders>
              <w:top w:val="nil"/>
              <w:left w:val="nil"/>
              <w:bottom w:val="single" w:sz="4" w:space="0" w:color="auto"/>
              <w:right w:val="single" w:sz="4" w:space="0" w:color="auto"/>
            </w:tcBorders>
            <w:shd w:val="clear" w:color="auto" w:fill="auto"/>
            <w:noWrap/>
            <w:vAlign w:val="center"/>
            <w:hideMark/>
          </w:tcPr>
          <w:p w:rsidR="00B174B8" w:rsidRPr="002B6530" w:rsidRDefault="00B174B8" w:rsidP="000562C0">
            <w:pPr>
              <w:spacing w:after="0"/>
              <w:jc w:val="center"/>
              <w:rPr>
                <w:rFonts w:asciiTheme="minorHAnsi" w:hAnsiTheme="minorHAnsi" w:cs="Arial"/>
                <w:b/>
                <w:sz w:val="20"/>
                <w:szCs w:val="20"/>
              </w:rPr>
            </w:pPr>
            <w:r w:rsidRPr="002B6530">
              <w:rPr>
                <w:rFonts w:asciiTheme="minorHAnsi" w:hAnsiTheme="minorHAnsi" w:cs="Arial"/>
                <w:b/>
                <w:sz w:val="20"/>
                <w:szCs w:val="20"/>
              </w:rPr>
              <w:t>domovy se zvláštním režimem</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b/>
                <w:sz w:val="20"/>
                <w:szCs w:val="20"/>
              </w:rPr>
            </w:pPr>
            <w:r w:rsidRPr="002B6530">
              <w:rPr>
                <w:rFonts w:asciiTheme="minorHAnsi" w:hAnsiTheme="minorHAnsi" w:cs="Arial"/>
                <w:b/>
                <w:sz w:val="20"/>
                <w:szCs w:val="20"/>
              </w:rPr>
              <w:t>ČR</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501</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263</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37 338</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14 345</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19,9</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7,6</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Hl. m. Praha</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25</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10</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2 191</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529</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9,5</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2,3</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Středočeský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69</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37</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5 028</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1 789</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22,9</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8,1</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Jihočeský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39</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15</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3 039</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641</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26,5</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5,6</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noWrap/>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Plzeňský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24</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9</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1 815</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741</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17,2</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7,0</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b/>
                <w:sz w:val="20"/>
                <w:szCs w:val="20"/>
              </w:rPr>
            </w:pPr>
            <w:r w:rsidRPr="002B6530">
              <w:rPr>
                <w:rFonts w:asciiTheme="minorHAnsi" w:hAnsiTheme="minorHAnsi" w:cs="Arial"/>
                <w:b/>
                <w:sz w:val="20"/>
                <w:szCs w:val="20"/>
              </w:rPr>
              <w:t>Karlovarský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15</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8</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889</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479</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17,0</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b/>
                <w:sz w:val="20"/>
                <w:szCs w:val="20"/>
              </w:rPr>
            </w:pPr>
            <w:r w:rsidRPr="002B6530">
              <w:rPr>
                <w:rFonts w:asciiTheme="minorHAnsi" w:hAnsiTheme="minorHAnsi" w:cs="Arial"/>
                <w:b/>
                <w:sz w:val="20"/>
                <w:szCs w:val="20"/>
              </w:rPr>
              <w:t>9,2</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noWrap/>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Ústecký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40</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34</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3 678</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1 963</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26,2</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14,0</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Liberecký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18</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11</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988</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416</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12,8</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5,4</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Královéhradecký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36</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11</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2 363</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532</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22,6</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5,1</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Pardubický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23</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10</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2 122</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930</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22,8</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10,0</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noWrap/>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Vysočina</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25</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15</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2 199</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547</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23,7</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5,9</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Jihomoravský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48</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35</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3 028</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2 816</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14,2</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13,2</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Olomoucký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34</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13</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2 544</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608</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22,0</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5,2</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noWrap/>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Zlínský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38</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19</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2 681</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854</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25,0</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8,0</w:t>
            </w:r>
          </w:p>
        </w:tc>
      </w:tr>
      <w:tr w:rsidR="00B174B8" w:rsidRPr="002B6530" w:rsidTr="00B174B8">
        <w:trPr>
          <w:trHeight w:val="255"/>
        </w:trPr>
        <w:tc>
          <w:tcPr>
            <w:tcW w:w="1016" w:type="pct"/>
            <w:tcBorders>
              <w:top w:val="nil"/>
              <w:left w:val="single" w:sz="4" w:space="0" w:color="auto"/>
              <w:bottom w:val="single" w:sz="4" w:space="0" w:color="auto"/>
              <w:right w:val="single" w:sz="4" w:space="0" w:color="auto"/>
            </w:tcBorders>
            <w:shd w:val="clear" w:color="auto" w:fill="auto"/>
            <w:vAlign w:val="center"/>
            <w:hideMark/>
          </w:tcPr>
          <w:p w:rsidR="00B174B8" w:rsidRPr="002B6530" w:rsidRDefault="00B174B8" w:rsidP="002C40B2">
            <w:pPr>
              <w:spacing w:after="0"/>
              <w:jc w:val="left"/>
              <w:rPr>
                <w:rFonts w:asciiTheme="minorHAnsi" w:hAnsiTheme="minorHAnsi" w:cs="Arial"/>
                <w:sz w:val="20"/>
                <w:szCs w:val="20"/>
              </w:rPr>
            </w:pPr>
            <w:r w:rsidRPr="002B6530">
              <w:rPr>
                <w:rFonts w:asciiTheme="minorHAnsi" w:hAnsiTheme="minorHAnsi" w:cs="Arial"/>
                <w:sz w:val="20"/>
                <w:szCs w:val="20"/>
              </w:rPr>
              <w:t>Moravskoslezský</w:t>
            </w:r>
          </w:p>
        </w:tc>
        <w:tc>
          <w:tcPr>
            <w:tcW w:w="546"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67</w:t>
            </w:r>
          </w:p>
        </w:tc>
        <w:tc>
          <w:tcPr>
            <w:tcW w:w="704"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36</w:t>
            </w:r>
          </w:p>
        </w:tc>
        <w:tc>
          <w:tcPr>
            <w:tcW w:w="551"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4 773</w:t>
            </w:r>
          </w:p>
        </w:tc>
        <w:tc>
          <w:tcPr>
            <w:tcW w:w="77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1 500</w:t>
            </w:r>
          </w:p>
        </w:tc>
        <w:tc>
          <w:tcPr>
            <w:tcW w:w="629"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22,4</w:t>
            </w:r>
          </w:p>
        </w:tc>
        <w:tc>
          <w:tcPr>
            <w:tcW w:w="775" w:type="pct"/>
            <w:tcBorders>
              <w:top w:val="nil"/>
              <w:left w:val="nil"/>
              <w:bottom w:val="single" w:sz="4" w:space="0" w:color="auto"/>
              <w:right w:val="single" w:sz="4" w:space="0" w:color="auto"/>
            </w:tcBorders>
            <w:shd w:val="clear" w:color="auto" w:fill="auto"/>
            <w:noWrap/>
            <w:vAlign w:val="bottom"/>
            <w:hideMark/>
          </w:tcPr>
          <w:p w:rsidR="00B174B8" w:rsidRPr="002B6530" w:rsidRDefault="00B174B8" w:rsidP="002C40B2">
            <w:pPr>
              <w:spacing w:after="0"/>
              <w:jc w:val="center"/>
              <w:rPr>
                <w:rFonts w:asciiTheme="minorHAnsi" w:hAnsiTheme="minorHAnsi" w:cs="Arial"/>
                <w:sz w:val="20"/>
                <w:szCs w:val="20"/>
              </w:rPr>
            </w:pPr>
            <w:r w:rsidRPr="002B6530">
              <w:rPr>
                <w:rFonts w:asciiTheme="minorHAnsi" w:hAnsiTheme="minorHAnsi" w:cs="Arial"/>
                <w:sz w:val="20"/>
                <w:szCs w:val="20"/>
              </w:rPr>
              <w:t>7,0</w:t>
            </w:r>
          </w:p>
        </w:tc>
      </w:tr>
    </w:tbl>
    <w:p w:rsidR="00B174B8" w:rsidRPr="00413FA0" w:rsidRDefault="00B174B8" w:rsidP="002C40B2">
      <w:pPr>
        <w:pStyle w:val="poznzdroj"/>
        <w:spacing w:line="276" w:lineRule="auto"/>
      </w:pPr>
      <w:r>
        <w:t>Zdroj: ČSÚ</w:t>
      </w:r>
      <w:r w:rsidR="002B6530">
        <w:t xml:space="preserve"> -</w:t>
      </w:r>
      <w:r w:rsidRPr="00413FA0">
        <w:t xml:space="preserve"> Senioři v Karlovarském kraji </w:t>
      </w:r>
      <w:r>
        <w:t>–</w:t>
      </w:r>
      <w:r w:rsidRPr="00413FA0">
        <w:t xml:space="preserve"> 2015</w:t>
      </w:r>
      <w:r>
        <w:t>, vlastní úpravy</w:t>
      </w:r>
    </w:p>
    <w:bookmarkEnd w:id="315"/>
    <w:bookmarkEnd w:id="316"/>
    <w:bookmarkEnd w:id="317"/>
    <w:bookmarkEnd w:id="318"/>
    <w:p w:rsidR="00B174B8" w:rsidRDefault="00B174B8" w:rsidP="002C40B2">
      <w:r w:rsidRPr="006A0300">
        <w:t>Vedle pobytových služeb je na území kraje</w:t>
      </w:r>
      <w:r w:rsidRPr="00761655">
        <w:t xml:space="preserve"> rozšířena ambulantní a terénní forma pečovatelské sl</w:t>
      </w:r>
      <w:r w:rsidRPr="00E70E73">
        <w:t>užby</w:t>
      </w:r>
      <w:r w:rsidRPr="004D1196">
        <w:t xml:space="preserve">, neboť u seniorů převládá </w:t>
      </w:r>
      <w:r w:rsidRPr="009A0E15">
        <w:t xml:space="preserve">jednoznačná preference setrvání ve vlastní domácnosti a </w:t>
      </w:r>
      <w:r>
        <w:t>v</w:t>
      </w:r>
      <w:r w:rsidRPr="006A0300">
        <w:t xml:space="preserve"> rámci dané komunity</w:t>
      </w:r>
      <w:r w:rsidRPr="00761655">
        <w:t>, a to za pomoci rodiny a sociálních pracovníků.</w:t>
      </w:r>
      <w:r>
        <w:t xml:space="preserve"> Pečovatelská služba musí být zároveň dostupná pro obyvatele všech lokalit a umožňovat nastavení individuálních úkonů na základě potřeb konkrétních uživatelů. Vedle pečovatelské služby jsou v kraji dva denní stacionáře poskytující ambulantní formu sociálních služeb pro seniory a dva subjekty zajišťující odlehčovací služby.</w:t>
      </w:r>
      <w:r w:rsidRPr="006018F9">
        <w:t xml:space="preserve"> </w:t>
      </w:r>
    </w:p>
    <w:p w:rsidR="00B174B8" w:rsidRDefault="002F684C" w:rsidP="000B3B9C">
      <w:pPr>
        <w:pStyle w:val="Titulek"/>
      </w:pPr>
      <w:bookmarkStart w:id="330" w:name="_Ref468949151"/>
      <w:bookmarkStart w:id="331" w:name="_Toc488234396"/>
      <w:r w:rsidRPr="002F684C">
        <w:lastRenderedPageBreak/>
        <w:t xml:space="preserve">Obrázek </w:t>
      </w:r>
      <w:r w:rsidR="004F2330">
        <w:fldChar w:fldCharType="begin"/>
      </w:r>
      <w:r w:rsidR="004F2330">
        <w:instrText xml:space="preserve"> STYLEREF 1 \s </w:instrText>
      </w:r>
      <w:r w:rsidR="004F2330">
        <w:fldChar w:fldCharType="separate"/>
      </w:r>
      <w:r w:rsidR="00CB29BD">
        <w:t>12</w:t>
      </w:r>
      <w:r w:rsidR="004F2330">
        <w:fldChar w:fldCharType="end"/>
      </w:r>
      <w:r w:rsidRPr="002F684C">
        <w:t>.</w:t>
      </w:r>
      <w:r w:rsidR="004F2330">
        <w:fldChar w:fldCharType="begin"/>
      </w:r>
      <w:r w:rsidR="004F2330">
        <w:instrText xml:space="preserve"> SEQ Obrázek \* ARABIC \s 1 </w:instrText>
      </w:r>
      <w:r w:rsidR="004F2330">
        <w:fldChar w:fldCharType="separate"/>
      </w:r>
      <w:r w:rsidR="00CB29BD">
        <w:t>2</w:t>
      </w:r>
      <w:r w:rsidR="004F2330">
        <w:fldChar w:fldCharType="end"/>
      </w:r>
      <w:bookmarkEnd w:id="330"/>
      <w:r w:rsidRPr="002F684C">
        <w:t>: Územní rozložení pečovatelské služby, domovů pro seniory a domovů se zvláštním režimem v Karlovarském kraji v roce 2016</w:t>
      </w:r>
      <w:bookmarkEnd w:id="331"/>
    </w:p>
    <w:p w:rsidR="00AC6180" w:rsidRDefault="009E424D" w:rsidP="002C40B2">
      <w:pPr>
        <w:spacing w:after="160"/>
        <w:jc w:val="left"/>
        <w:rPr>
          <w:lang w:eastAsia="en-US"/>
        </w:rPr>
      </w:pPr>
      <w:r>
        <w:rPr>
          <w:noProof/>
        </w:rPr>
        <w:drawing>
          <wp:inline distT="0" distB="0" distL="0" distR="0">
            <wp:extent cx="5760720" cy="4075364"/>
            <wp:effectExtent l="19050" t="0" r="0" b="0"/>
            <wp:docPr id="51" name="obrázek 1" descr="C:\Users\Kajakami\AppData\Local\Temp\soc_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jakami\AppData\Local\Temp\soc_sl2.jpg"/>
                    <pic:cNvPicPr>
                      <a:picLocks noChangeAspect="1" noChangeArrowheads="1"/>
                    </pic:cNvPicPr>
                  </pic:nvPicPr>
                  <pic:blipFill>
                    <a:blip r:embed="rId123" cstate="print"/>
                    <a:srcRect/>
                    <a:stretch>
                      <a:fillRect/>
                    </a:stretch>
                  </pic:blipFill>
                  <pic:spPr bwMode="auto">
                    <a:xfrm>
                      <a:off x="0" y="0"/>
                      <a:ext cx="5760720" cy="4075364"/>
                    </a:xfrm>
                    <a:prstGeom prst="rect">
                      <a:avLst/>
                    </a:prstGeom>
                    <a:noFill/>
                    <a:ln w="9525">
                      <a:noFill/>
                      <a:miter lim="800000"/>
                      <a:headEnd/>
                      <a:tailEnd/>
                    </a:ln>
                  </pic:spPr>
                </pic:pic>
              </a:graphicData>
            </a:graphic>
          </wp:inline>
        </w:drawing>
      </w:r>
    </w:p>
    <w:p w:rsidR="003F08E6" w:rsidRDefault="00B174B8" w:rsidP="002C40B2">
      <w:pPr>
        <w:spacing w:before="120"/>
        <w:rPr>
          <w:i/>
          <w:sz w:val="20"/>
          <w:szCs w:val="20"/>
          <w:lang w:eastAsia="en-US"/>
        </w:rPr>
      </w:pPr>
      <w:r w:rsidRPr="006C3C94">
        <w:rPr>
          <w:i/>
          <w:sz w:val="20"/>
          <w:szCs w:val="20"/>
          <w:lang w:eastAsia="en-US"/>
        </w:rPr>
        <w:t>Zdroj: Odbor sociálních věcí KÚKK</w:t>
      </w:r>
    </w:p>
    <w:p w:rsidR="00B174B8" w:rsidRDefault="00782C5E" w:rsidP="002C40B2">
      <w:r>
        <w:t xml:space="preserve">Regionální rozložení </w:t>
      </w:r>
      <w:r w:rsidRPr="006A7D6F">
        <w:t>nejvyužívanějších služeb sociální péče</w:t>
      </w:r>
      <w:r>
        <w:t xml:space="preserve"> (</w:t>
      </w:r>
      <w:r w:rsidRPr="006A7D6F">
        <w:t>domovů</w:t>
      </w:r>
      <w:r>
        <w:t xml:space="preserve"> pro seniory, domovů se zvláštním režimem a pečovatelské služby) ukazuje obrázek výše. </w:t>
      </w:r>
      <w:r w:rsidR="00B174B8" w:rsidRPr="005A531D">
        <w:t>Rozložení sociálních služeb v rámci kraje není rovnoměrné, většina jich je soustředěna do větších měst, která svou vybaveností zabezpečují obsluhu příslušných spádových území.</w:t>
      </w:r>
      <w:r w:rsidR="00B174B8" w:rsidRPr="005A531D" w:rsidDel="00BA0E18">
        <w:t xml:space="preserve"> </w:t>
      </w:r>
      <w:r w:rsidR="00B174B8" w:rsidRPr="005A531D">
        <w:t>P</w:t>
      </w:r>
      <w:r w:rsidR="00B174B8" w:rsidRPr="005A531D" w:rsidDel="00BA0E18">
        <w:t xml:space="preserve">roblémy s dostupností služeb mají </w:t>
      </w:r>
      <w:r w:rsidR="00B174B8" w:rsidRPr="005A531D">
        <w:t xml:space="preserve">tedy </w:t>
      </w:r>
      <w:r w:rsidR="00B174B8" w:rsidRPr="005A531D" w:rsidDel="00BA0E18">
        <w:t>malé obce I. typu a v případě terénních služeb i okrajové části větších obcí.</w:t>
      </w:r>
      <w:r w:rsidR="00B174B8">
        <w:t xml:space="preserve"> </w:t>
      </w:r>
    </w:p>
    <w:p w:rsidR="00B174B8" w:rsidRPr="003F08E6" w:rsidRDefault="00B174B8" w:rsidP="002C40B2">
      <w:pPr>
        <w:pStyle w:val="Nadpis2"/>
      </w:pPr>
      <w:r w:rsidRPr="003F08E6">
        <w:t xml:space="preserve">Průzkum potřeb a názorů občanů na sociální služby v Karlovarském kraji </w:t>
      </w:r>
    </w:p>
    <w:p w:rsidR="00B174B8" w:rsidRPr="00421939" w:rsidRDefault="00B174B8" w:rsidP="002C40B2">
      <w:r w:rsidRPr="00421939">
        <w:t xml:space="preserve">V rámci projektu </w:t>
      </w:r>
      <w:r w:rsidRPr="009D54C8">
        <w:rPr>
          <w:rFonts w:eastAsiaTheme="minorHAnsi" w:cs="Times New Roman"/>
          <w:i/>
          <w:lang w:eastAsia="en-US"/>
        </w:rPr>
        <w:t xml:space="preserve">V </w:t>
      </w:r>
      <w:r w:rsidRPr="008C0512">
        <w:rPr>
          <w:rFonts w:eastAsiaTheme="minorHAnsi" w:cs="Times New Roman"/>
          <w:i/>
          <w:lang w:eastAsia="en-US"/>
        </w:rPr>
        <w:t>Karlovarském kraji spole</w:t>
      </w:r>
      <w:r w:rsidRPr="008C0512">
        <w:rPr>
          <w:rFonts w:eastAsiaTheme="minorHAnsi" w:cs="TimesNewRoman"/>
          <w:i/>
          <w:lang w:eastAsia="en-US"/>
        </w:rPr>
        <w:t>č</w:t>
      </w:r>
      <w:r w:rsidRPr="008C0512">
        <w:rPr>
          <w:rFonts w:eastAsiaTheme="minorHAnsi" w:cs="Times New Roman"/>
          <w:i/>
          <w:lang w:eastAsia="en-US"/>
        </w:rPr>
        <w:t>n</w:t>
      </w:r>
      <w:r w:rsidRPr="008C0512">
        <w:rPr>
          <w:rFonts w:eastAsiaTheme="minorHAnsi" w:cs="TimesNewRoman"/>
          <w:i/>
          <w:lang w:eastAsia="en-US"/>
        </w:rPr>
        <w:t xml:space="preserve">ě </w:t>
      </w:r>
      <w:r w:rsidRPr="008C0512">
        <w:rPr>
          <w:rFonts w:eastAsiaTheme="minorHAnsi" w:cs="Times New Roman"/>
          <w:i/>
          <w:lang w:eastAsia="en-US"/>
        </w:rPr>
        <w:t>plánujeme sociální služby</w:t>
      </w:r>
      <w:r w:rsidRPr="00421939">
        <w:t xml:space="preserve"> byl v roce 201</w:t>
      </w:r>
      <w:r>
        <w:t xml:space="preserve">2 proveden sociologický výzkum </w:t>
      </w:r>
      <w:r w:rsidRPr="008C0512">
        <w:rPr>
          <w:i/>
        </w:rPr>
        <w:t>Sociální služby: Potřeby a ná</w:t>
      </w:r>
      <w:r w:rsidR="003F08E6">
        <w:rPr>
          <w:i/>
        </w:rPr>
        <w:t>zory občanů v Karlovarském kraj</w:t>
      </w:r>
      <w:r w:rsidR="00CD7E94">
        <w:rPr>
          <w:i/>
        </w:rPr>
        <w:t xml:space="preserve">i </w:t>
      </w:r>
      <w:r w:rsidR="00CD7E94">
        <w:t>(</w:t>
      </w:r>
      <w:r w:rsidR="003F08E6">
        <w:t>Buriánek, Kuchař</w:t>
      </w:r>
      <w:r w:rsidR="00252878">
        <w:t xml:space="preserve"> </w:t>
      </w:r>
      <w:r w:rsidR="00CD7E94">
        <w:t>2012)</w:t>
      </w:r>
      <w:r w:rsidRPr="00421939">
        <w:t xml:space="preserve">, ze kterého vyplynulo, že stále </w:t>
      </w:r>
      <w:r w:rsidRPr="008C0512">
        <w:rPr>
          <w:b/>
        </w:rPr>
        <w:t>dlouhodobě dominuje zájem o služby pro staré občany</w:t>
      </w:r>
      <w:r w:rsidRPr="00421939">
        <w:t>. Mírně</w:t>
      </w:r>
      <w:r w:rsidRPr="008C0512">
        <w:rPr>
          <w:b/>
        </w:rPr>
        <w:t xml:space="preserve"> stoupl podíl občanů využívajících služby spojené s otázkami zaměstnání a s řešením dluhů a exekucí</w:t>
      </w:r>
      <w:r w:rsidRPr="00CD20D4">
        <w:t>.</w:t>
      </w:r>
      <w:r w:rsidRPr="00421939">
        <w:t xml:space="preserve"> </w:t>
      </w:r>
    </w:p>
    <w:p w:rsidR="00B174B8" w:rsidRPr="008C0512" w:rsidRDefault="00B174B8" w:rsidP="002C40B2">
      <w:pPr>
        <w:rPr>
          <w:b/>
        </w:rPr>
      </w:pPr>
      <w:r w:rsidRPr="008C0512">
        <w:t xml:space="preserve">Celková spokojenost občanů s jednotlivými službami se mírně zhoršila, klesá zejména podíl spokojených jedinců, naopak stoupá podíl hodnocení „průměrného“. Zlepšilo se hodnocení dostupnosti služeb, ovšem jako dostupná se jeví pouze péče o starší občany, jako relativně málo dostupné se ukazují služby psychologické pomoci a práce se závislostmi. V rámci celkového hodnocení sociálních služeb se jako relativně lepší ukazuje aspekt profesionality a kvality, jako průměrná je hodnocena dostupnost služeb dopravními prostředky. Slabší stránku představuje péče </w:t>
      </w:r>
      <w:r w:rsidRPr="008C0512">
        <w:lastRenderedPageBreak/>
        <w:t xml:space="preserve">odpovídající individuálním potřebám lidí. Lidé jsou u většiny služeb více přesvědčeni o jejich užitečnosti, nejvlažnější postoj v této oblasti zaznamenáváme v otázce podpory sociálně vyloučených skupin nebo minorit, kde se již setkáváme u části populace s odporem. </w:t>
      </w:r>
      <w:r w:rsidRPr="008C0512">
        <w:rPr>
          <w:b/>
        </w:rPr>
        <w:t>Lidé u služeb oceňují možnost zůstat doma, tedy neřešit vše pobytem v zařízeních.</w:t>
      </w:r>
    </w:p>
    <w:p w:rsidR="00B174B8" w:rsidRPr="008C0512" w:rsidRDefault="00B174B8" w:rsidP="002C40B2">
      <w:r w:rsidRPr="008C0512">
        <w:t>Pokud jde o osobní strategie řešení případného problému v rodině, je kladen větší důraz na služby nežli na řešení formou svépomoci. Překážkou je ovšem často vyžadovaná spoluúčast na financování služby. Chybí osvěta, pokud nejde o aktuální situaci, většina oslovených se o informace související se zákonem o sociálních službách zatím nezajímala. Na druhé straně se projevuje zájem o služby typu občasné výpomoci, podpory klienta nebo různé formy asistence.</w:t>
      </w:r>
    </w:p>
    <w:p w:rsidR="00B174B8" w:rsidRPr="008C0512" w:rsidRDefault="00B174B8" w:rsidP="002C40B2">
      <w:r w:rsidRPr="008C0512">
        <w:t>Za specifický námět lze považovat zvyšování finanční gramotnosti obyvatel.</w:t>
      </w:r>
      <w:r w:rsidRPr="008C0512">
        <w:rPr>
          <w:b/>
        </w:rPr>
        <w:t xml:space="preserve"> Problémy s půjčkami a exekucemi řeší skoro každá pátá domácnost v kraji, problém gamblerství se objevil zhruba u desetiny </w:t>
      </w:r>
      <w:r w:rsidRPr="008C0512">
        <w:t>(výrazněji v Chebu a Sokolově). Důležitá je primární i sekundární prevence.</w:t>
      </w:r>
    </w:p>
    <w:p w:rsidR="00B174B8" w:rsidRDefault="00B174B8" w:rsidP="002C40B2">
      <w:r w:rsidRPr="00A64A48">
        <w:t xml:space="preserve">Z hlediska regionální dimenze problémů se ukázalo, že největší zátěž nenesou obce postižené strukturálními změnami, že větší využití služeb charakterizuje oblasti venkovského typu, jakési vnitřní periferie. Zde je třeba se věnovat kvalitě a profesionalitě </w:t>
      </w:r>
      <w:r w:rsidRPr="006B5B00">
        <w:t xml:space="preserve">služeb i jejich dostupnosti. </w:t>
      </w:r>
      <w:r w:rsidRPr="005C7459">
        <w:t>V těchto lokalitách je třeba zdůraznit</w:t>
      </w:r>
      <w:r w:rsidRPr="00421939">
        <w:t xml:space="preserve"> význam prevence kriminality a pomoci s finančními problémy, i zde lze očekávat výskyt výchovných problémů s mládeží. Na druhé straně se v kraji neukázaly výraznější rozdíly mezi jednotlivými typy lokalit, kraj tvoří víceméně homogenní celek.</w:t>
      </w:r>
    </w:p>
    <w:p w:rsidR="00B174B8" w:rsidRPr="00421939" w:rsidRDefault="00B174B8" w:rsidP="002C40B2">
      <w:r w:rsidRPr="00421939">
        <w:t xml:space="preserve">Z obecného pohledu všude platí základní </w:t>
      </w:r>
      <w:r w:rsidRPr="008C0512">
        <w:rPr>
          <w:b/>
        </w:rPr>
        <w:t>hierarchie priorit:</w:t>
      </w:r>
      <w:r>
        <w:rPr>
          <w:b/>
        </w:rPr>
        <w:t xml:space="preserve"> </w:t>
      </w:r>
      <w:r w:rsidRPr="008C0512">
        <w:rPr>
          <w:b/>
        </w:rPr>
        <w:t>péče o seniory, pomoc při hledání zaměstnání a řešení finančních problémů</w:t>
      </w:r>
      <w:r w:rsidRPr="00421939">
        <w:t>. Část těchto problémů je ovšem nutno řešit i mimo rámec sociálních služeb, které nastupují až ve fázi výskytu problému. Jde jednak o realizaci aktivní politiky zaměstnanosti, a v neposlední řadě o osvětu v otázkách finanční gramotnosti a odpovědnosti nejširších vrstev obyvatelstva. Lze odhadovat, že možnosti finanční participace budou na straně klientů v nejbližších letech dosti omezeny.</w:t>
      </w:r>
    </w:p>
    <w:p w:rsidR="00B174B8" w:rsidRPr="00252878" w:rsidRDefault="00B174B8" w:rsidP="002C40B2">
      <w:pPr>
        <w:pStyle w:val="Nadpis2"/>
      </w:pPr>
      <w:r w:rsidRPr="00252878">
        <w:t>Transformační procesy</w:t>
      </w:r>
    </w:p>
    <w:p w:rsidR="00B174B8" w:rsidRPr="005D1680" w:rsidRDefault="00B174B8" w:rsidP="002C40B2">
      <w:pPr>
        <w:rPr>
          <w:bCs/>
          <w:kern w:val="32"/>
        </w:rPr>
      </w:pPr>
      <w:r>
        <w:t xml:space="preserve">Mezi problémové oblasti, kterým Karlovarský kraj věnuje intenzivní pozornost, jsou </w:t>
      </w:r>
      <w:r w:rsidRPr="005D1680">
        <w:t>transformace pobytových zařízení sociálních služeb</w:t>
      </w:r>
      <w:r>
        <w:t>,</w:t>
      </w:r>
      <w:r w:rsidRPr="005D1680">
        <w:t xml:space="preserve"> a to zejména služeb pro osoby se zdravotním – mentálním postižením, zaměstnávání osob s mentálním postižením, služby pro osoby s duševním onemocněním, odborné sociální poradenství v kraji, problematice péče o ohrožené děti a v souvislosti se sociální reformou důraz na sociální práci na obcích a kraji.</w:t>
      </w:r>
    </w:p>
    <w:p w:rsidR="00B174B8" w:rsidRDefault="00B174B8" w:rsidP="002C40B2">
      <w:pPr>
        <w:rPr>
          <w:rFonts w:eastAsia="Batang"/>
        </w:rPr>
      </w:pPr>
      <w:r w:rsidRPr="005D1680">
        <w:rPr>
          <w:lang w:eastAsia="en-US"/>
        </w:rPr>
        <w:t>Osobám</w:t>
      </w:r>
      <w:r w:rsidRPr="005D1680">
        <w:t xml:space="preserve"> se sníženou soběstačností z důvodu zdravotního postižení je v Karlovarském kraji k dispozici celkem </w:t>
      </w:r>
      <w:r>
        <w:t>6</w:t>
      </w:r>
      <w:r w:rsidRPr="005D1680">
        <w:t xml:space="preserve"> zařízení.</w:t>
      </w:r>
      <w:r w:rsidRPr="005D1680">
        <w:rPr>
          <w:rFonts w:eastAsia="Batang"/>
        </w:rPr>
        <w:t xml:space="preserve"> Zřizovatelem </w:t>
      </w:r>
      <w:r>
        <w:rPr>
          <w:rFonts w:eastAsia="Batang"/>
        </w:rPr>
        <w:t xml:space="preserve">5 </w:t>
      </w:r>
      <w:r w:rsidRPr="005D1680">
        <w:rPr>
          <w:rFonts w:eastAsia="Batang"/>
        </w:rPr>
        <w:t>domovů je Karlovarský kraj a jeden</w:t>
      </w:r>
      <w:r w:rsidRPr="009A0E15">
        <w:t xml:space="preserve"> </w:t>
      </w:r>
      <w:r w:rsidRPr="005D1680">
        <w:rPr>
          <w:rFonts w:eastAsia="Batang"/>
        </w:rPr>
        <w:t xml:space="preserve">je zřizován </w:t>
      </w:r>
      <w:r>
        <w:rPr>
          <w:rFonts w:eastAsia="Batang"/>
        </w:rPr>
        <w:t>m</w:t>
      </w:r>
      <w:r w:rsidRPr="005D1680">
        <w:rPr>
          <w:rFonts w:eastAsia="Batang"/>
        </w:rPr>
        <w:t xml:space="preserve">ěstem Cheb. Všechny domovy </w:t>
      </w:r>
      <w:r>
        <w:rPr>
          <w:rFonts w:eastAsia="Batang"/>
        </w:rPr>
        <w:t>byly</w:t>
      </w:r>
      <w:r w:rsidRPr="005D1680">
        <w:rPr>
          <w:rFonts w:eastAsia="Batang"/>
        </w:rPr>
        <w:t xml:space="preserve"> zapojeny do procesu strategického plánování a mají zpracovány své plány rozvoje. Dva největší domov</w:t>
      </w:r>
      <w:r>
        <w:rPr>
          <w:rFonts w:eastAsia="Batang"/>
        </w:rPr>
        <w:t>y – v Mariánské a „PATA“ Hazlov</w:t>
      </w:r>
      <w:r w:rsidRPr="005D1680">
        <w:rPr>
          <w:rFonts w:eastAsia="Batang"/>
        </w:rPr>
        <w:t xml:space="preserve"> byly zapojeny do individuálního projektu </w:t>
      </w:r>
      <w:r>
        <w:rPr>
          <w:rFonts w:eastAsia="Batang"/>
        </w:rPr>
        <w:t>MPSV</w:t>
      </w:r>
      <w:r w:rsidRPr="005D1680">
        <w:rPr>
          <w:rFonts w:eastAsia="Batang"/>
        </w:rPr>
        <w:t xml:space="preserve"> ČR s názvem </w:t>
      </w:r>
      <w:r w:rsidRPr="00413FA0">
        <w:rPr>
          <w:rFonts w:eastAsia="Batang"/>
          <w:i/>
        </w:rPr>
        <w:t>Podpora transformace sociálních služeb</w:t>
      </w:r>
      <w:r w:rsidRPr="005D1680">
        <w:rPr>
          <w:rFonts w:eastAsia="Batang"/>
        </w:rPr>
        <w:t xml:space="preserve">. Oba domovy v rámci uvedeného projektu vypracovaly transformační plány, které byly schváleny orgány KK. Domov „PATA“ v Hazlově v současné době realizuje investiční část projektu, velká část uživatelů již přešla do nově vybudovaných domků, zrekonstruovaných bytů nebo odešla do svých rodin či ke svým blízkým. Ostatní domovy byly zapojeny do transformačního procesu, který byl realizován v rámci </w:t>
      </w:r>
      <w:r>
        <w:rPr>
          <w:rFonts w:eastAsia="Batang"/>
        </w:rPr>
        <w:t>i</w:t>
      </w:r>
      <w:r w:rsidRPr="005D1680">
        <w:rPr>
          <w:rFonts w:eastAsia="Batang"/>
        </w:rPr>
        <w:t xml:space="preserve">ndividuálního projektu Karlovarského kraje </w:t>
      </w:r>
      <w:r w:rsidRPr="00413FA0">
        <w:rPr>
          <w:rFonts w:eastAsia="Batang"/>
          <w:i/>
        </w:rPr>
        <w:t xml:space="preserve">Poskytování sociálních služeb v Karlovarském kraji, které </w:t>
      </w:r>
      <w:r w:rsidRPr="00413FA0">
        <w:rPr>
          <w:rFonts w:eastAsia="Batang"/>
          <w:i/>
        </w:rPr>
        <w:lastRenderedPageBreak/>
        <w:t>jsou dostupné a kvalitní z pohledu uživatele</w:t>
      </w:r>
      <w:r w:rsidRPr="005D1680">
        <w:rPr>
          <w:rFonts w:eastAsia="Batang"/>
        </w:rPr>
        <w:t xml:space="preserve">, kdy část uživatelů přešla do sociální služby chráněné bydlení nebo do podpory samostatného bydlení. </w:t>
      </w:r>
      <w:r>
        <w:rPr>
          <w:rFonts w:eastAsia="Batang"/>
        </w:rPr>
        <w:t xml:space="preserve">V rámci návazného individuálního projektu Karlovarského kraje </w:t>
      </w:r>
      <w:r w:rsidRPr="00413FA0">
        <w:rPr>
          <w:rFonts w:eastAsia="Batang"/>
          <w:i/>
        </w:rPr>
        <w:t>Udržitelnost dostupnosti krajské sítě sociálních služeb Karlovarského kraje</w:t>
      </w:r>
      <w:r>
        <w:rPr>
          <w:rFonts w:eastAsia="Batang"/>
        </w:rPr>
        <w:t xml:space="preserve"> byly vytvořeny transformační plá</w:t>
      </w:r>
      <w:r w:rsidR="00781500">
        <w:rPr>
          <w:rFonts w:eastAsia="Batang"/>
        </w:rPr>
        <w:t>ny dalších dvou zařízení, a to d</w:t>
      </w:r>
      <w:r>
        <w:rPr>
          <w:rFonts w:eastAsia="Batang"/>
        </w:rPr>
        <w:t>omovů pro osoby se zdravotním postižením v Lubech a Radošově.</w:t>
      </w:r>
      <w:r w:rsidR="00781500">
        <w:rPr>
          <w:rFonts w:eastAsia="Batang"/>
        </w:rPr>
        <w:t xml:space="preserve"> </w:t>
      </w:r>
      <w:r>
        <w:rPr>
          <w:rFonts w:eastAsia="Batang"/>
        </w:rPr>
        <w:t>Další související aktivitou je i problematika zapojování osob s mentálním postižením na trh práce v Karlovarském kraji a podpora služeb sociální rehabilitace.</w:t>
      </w:r>
    </w:p>
    <w:p w:rsidR="00B174B8" w:rsidRDefault="00B174B8" w:rsidP="002C40B2">
      <w:pPr>
        <w:rPr>
          <w:rFonts w:eastAsia="Batang"/>
        </w:rPr>
      </w:pPr>
      <w:r>
        <w:t xml:space="preserve">Z pohledu služeb sociální prevence jsou v Karlovarském kraji registrovány celkem 3 služby sociálně terapeutické dílny, všechny tři byly zařazeny do procesu strategického plánování a vytvořily finální verze plánů rozvoje. Dále pak v kraji působí </w:t>
      </w:r>
      <w:r>
        <w:rPr>
          <w:rFonts w:eastAsia="Batang"/>
        </w:rPr>
        <w:t>4 poskytovatelé služby azylový dům pro matky s dětmi a 2 domy na půl cesty.</w:t>
      </w:r>
    </w:p>
    <w:p w:rsidR="00B174B8" w:rsidRPr="00252878" w:rsidRDefault="00B174B8" w:rsidP="002C40B2">
      <w:pPr>
        <w:pStyle w:val="Nadpis2"/>
      </w:pPr>
      <w:bookmarkStart w:id="332" w:name="_Ref317499045"/>
      <w:bookmarkStart w:id="333" w:name="_Toc321406442"/>
      <w:r w:rsidRPr="00252878">
        <w:t>Sociálně vyloučené lokality</w:t>
      </w:r>
    </w:p>
    <w:bookmarkEnd w:id="332"/>
    <w:bookmarkEnd w:id="333"/>
    <w:p w:rsidR="00B174B8" w:rsidRDefault="00BB00DE" w:rsidP="002C40B2">
      <w:r w:rsidRPr="00DF1B1B">
        <w:t>Chudoba a sociální vyloučení představuj</w:t>
      </w:r>
      <w:r w:rsidR="00FF165F">
        <w:t>í</w:t>
      </w:r>
      <w:r w:rsidRPr="00DF1B1B">
        <w:t xml:space="preserve"> jeden z aktuálních klíčových problémů. Podíl osob ohrožených chudobou nebo sociálním vyloučením stále stoupá. Za poslední dekádu výrazně vzrostla </w:t>
      </w:r>
      <w:r>
        <w:br/>
      </w:r>
      <w:r w:rsidRPr="00DF1B1B">
        <w:t xml:space="preserve">i zadluženost chudých domácností. Dle dat ČSÚ za rok 2014 dosahovala v České republice hodnota míry ohrožení chudobou 9,7 %, míra materiální deprivace 6,7 % a míra nízké pracovní </w:t>
      </w:r>
      <w:r w:rsidRPr="00DF1B1B">
        <w:rPr>
          <w:rFonts w:eastAsiaTheme="minorHAnsi"/>
          <w:color w:val="000000"/>
          <w:lang w:eastAsia="en-US"/>
        </w:rPr>
        <w:t xml:space="preserve">intenzity 7,6 %. Souhrnný indikátor sociálního vyloučení </w:t>
      </w:r>
      <w:r w:rsidRPr="00DF1B1B">
        <w:t xml:space="preserve">byl </w:t>
      </w:r>
      <w:r w:rsidRPr="00DF1B1B">
        <w:rPr>
          <w:rFonts w:eastAsiaTheme="minorHAnsi"/>
          <w:color w:val="000000"/>
          <w:lang w:eastAsia="en-US"/>
        </w:rPr>
        <w:t>v České republi</w:t>
      </w:r>
      <w:r w:rsidRPr="00DF1B1B">
        <w:t>ce za rok 2014 na úrovni 14,8 % (</w:t>
      </w:r>
      <w:r w:rsidRPr="00DF1B1B">
        <w:rPr>
          <w:rFonts w:eastAsiaTheme="minorHAnsi"/>
          <w:color w:val="000000"/>
          <w:lang w:eastAsia="en-US"/>
        </w:rPr>
        <w:t>Životní podmínky seniorů v Česku a Evropě</w:t>
      </w:r>
      <w:r>
        <w:rPr>
          <w:rFonts w:eastAsiaTheme="minorHAnsi"/>
          <w:color w:val="000000"/>
          <w:lang w:eastAsia="en-US"/>
        </w:rPr>
        <w:t>, 2015</w:t>
      </w:r>
      <w:r w:rsidRPr="00DF1B1B">
        <w:rPr>
          <w:rFonts w:eastAsiaTheme="minorHAnsi"/>
          <w:color w:val="000000"/>
          <w:lang w:eastAsia="en-US"/>
        </w:rPr>
        <w:t>)</w:t>
      </w:r>
      <w:r w:rsidRPr="00DF1B1B">
        <w:t>.</w:t>
      </w:r>
      <w:r>
        <w:t xml:space="preserve"> </w:t>
      </w:r>
      <w:r w:rsidR="00B174B8" w:rsidRPr="00D90D5A">
        <w:t xml:space="preserve">Pozornost je </w:t>
      </w:r>
      <w:r>
        <w:t xml:space="preserve">proto </w:t>
      </w:r>
      <w:r w:rsidR="00B174B8" w:rsidRPr="00D90D5A">
        <w:t>ve spolupráci s dalšími subjekty věnována také řešení problémů sociálně vyloučených lokalit (SVL).</w:t>
      </w:r>
      <w:r w:rsidR="00781500">
        <w:t xml:space="preserve"> </w:t>
      </w:r>
      <w:r w:rsidR="00B174B8">
        <w:t xml:space="preserve">Již v  roce 2006 byly tyto lokality identifikovány v rámci </w:t>
      </w:r>
      <w:r w:rsidR="00B174B8" w:rsidRPr="009A0E15">
        <w:rPr>
          <w:rFonts w:asciiTheme="minorHAnsi" w:hAnsiTheme="minorHAnsi" w:cs="Times New Roman"/>
        </w:rPr>
        <w:t xml:space="preserve">projektu </w:t>
      </w:r>
      <w:r w:rsidR="00782C5E">
        <w:rPr>
          <w:rFonts w:asciiTheme="minorHAnsi" w:hAnsiTheme="minorHAnsi" w:cs="Times New Roman"/>
        </w:rPr>
        <w:t xml:space="preserve">MPSV </w:t>
      </w:r>
      <w:r w:rsidR="00B174B8" w:rsidRPr="00413FA0">
        <w:rPr>
          <w:rFonts w:asciiTheme="minorHAnsi" w:hAnsiTheme="minorHAnsi" w:cs="Times New Roman"/>
          <w:i/>
        </w:rPr>
        <w:t>Analýza sociálně vyloučených romských lokalit a absorpční kapacity subjektů působících v této oblasti</w:t>
      </w:r>
      <w:r w:rsidR="00B174B8" w:rsidRPr="009A0E15">
        <w:rPr>
          <w:rFonts w:asciiTheme="minorHAnsi" w:hAnsiTheme="minorHAnsi" w:cs="Times New Roman"/>
        </w:rPr>
        <w:t>, na který navázal</w:t>
      </w:r>
      <w:r w:rsidR="00782C5E">
        <w:rPr>
          <w:rFonts w:asciiTheme="minorHAnsi" w:hAnsiTheme="minorHAnsi" w:cs="Times New Roman"/>
        </w:rPr>
        <w:t>a</w:t>
      </w:r>
      <w:r w:rsidR="00B174B8" w:rsidRPr="009A0E15">
        <w:rPr>
          <w:rFonts w:asciiTheme="minorHAnsi" w:hAnsiTheme="minorHAnsi" w:cs="Times New Roman"/>
        </w:rPr>
        <w:t xml:space="preserve"> </w:t>
      </w:r>
      <w:r w:rsidR="00B174B8" w:rsidRPr="00413FA0">
        <w:rPr>
          <w:rFonts w:asciiTheme="minorHAnsi" w:hAnsiTheme="minorHAnsi" w:cs="Times New Roman"/>
          <w:i/>
        </w:rPr>
        <w:t>Analýza sociálně vyloučených lokalit v</w:t>
      </w:r>
      <w:r w:rsidR="00782C5E">
        <w:rPr>
          <w:rFonts w:asciiTheme="minorHAnsi" w:hAnsiTheme="minorHAnsi" w:cs="Times New Roman"/>
          <w:i/>
        </w:rPr>
        <w:t> </w:t>
      </w:r>
      <w:r w:rsidR="00B174B8" w:rsidRPr="00413FA0">
        <w:rPr>
          <w:rFonts w:asciiTheme="minorHAnsi" w:hAnsiTheme="minorHAnsi" w:cs="Times New Roman"/>
          <w:i/>
        </w:rPr>
        <w:t>ČR</w:t>
      </w:r>
      <w:r w:rsidR="00782C5E">
        <w:rPr>
          <w:rFonts w:asciiTheme="minorHAnsi" w:hAnsiTheme="minorHAnsi" w:cs="Times New Roman"/>
          <w:i/>
        </w:rPr>
        <w:t xml:space="preserve"> </w:t>
      </w:r>
      <w:r w:rsidR="00782C5E" w:rsidRPr="00782C5E">
        <w:rPr>
          <w:rFonts w:asciiTheme="minorHAnsi" w:hAnsiTheme="minorHAnsi" w:cs="Times New Roman"/>
        </w:rPr>
        <w:t>(</w:t>
      </w:r>
      <w:r w:rsidR="00782C5E" w:rsidRPr="009A0E15">
        <w:rPr>
          <w:rFonts w:asciiTheme="minorHAnsi" w:eastAsiaTheme="minorHAnsi" w:hAnsiTheme="minorHAnsi" w:cs="Times New Roman"/>
          <w:lang w:eastAsia="en-US"/>
        </w:rPr>
        <w:t>GAC spol. s r. o.</w:t>
      </w:r>
      <w:r w:rsidR="00782C5E">
        <w:rPr>
          <w:rFonts w:asciiTheme="minorHAnsi" w:eastAsiaTheme="minorHAnsi" w:hAnsiTheme="minorHAnsi" w:cs="Times New Roman"/>
          <w:lang w:eastAsia="en-US"/>
        </w:rPr>
        <w:t xml:space="preserve"> 2015)</w:t>
      </w:r>
      <w:r w:rsidR="00B174B8" w:rsidRPr="009A0E15">
        <w:rPr>
          <w:rFonts w:asciiTheme="minorHAnsi" w:hAnsiTheme="minorHAnsi" w:cs="Times New Roman"/>
        </w:rPr>
        <w:t xml:space="preserve">. Ze srovnání zjištěných dat vyplývá </w:t>
      </w:r>
      <w:r w:rsidR="00B174B8" w:rsidRPr="00782C5E">
        <w:rPr>
          <w:rFonts w:asciiTheme="minorHAnsi" w:hAnsiTheme="minorHAnsi" w:cs="Times New Roman"/>
          <w:b/>
        </w:rPr>
        <w:t>zvýšení počtu SVL v Karlovarském kraji v porovnání s rokem 2006 více než trojnásobně</w:t>
      </w:r>
      <w:r w:rsidR="00B174B8" w:rsidRPr="009A0E15">
        <w:rPr>
          <w:rFonts w:asciiTheme="minorHAnsi" w:hAnsiTheme="minorHAnsi" w:cs="Times New Roman"/>
        </w:rPr>
        <w:t xml:space="preserve">, z identifikovaných 18 SVL v roce 2006 se v roce 2014 zvýšil jejich počet </w:t>
      </w:r>
      <w:r w:rsidR="00B174B8" w:rsidRPr="00782C5E">
        <w:rPr>
          <w:rFonts w:asciiTheme="minorHAnsi" w:hAnsiTheme="minorHAnsi" w:cs="Times New Roman"/>
          <w:b/>
        </w:rPr>
        <w:t>na 61</w:t>
      </w:r>
      <w:r w:rsidR="00B174B8" w:rsidRPr="009A0E15">
        <w:rPr>
          <w:rFonts w:asciiTheme="minorHAnsi" w:hAnsiTheme="minorHAnsi" w:cs="Times New Roman"/>
        </w:rPr>
        <w:t>.</w:t>
      </w:r>
    </w:p>
    <w:p w:rsidR="00B174B8" w:rsidRPr="009A0E15" w:rsidRDefault="00B174B8" w:rsidP="002C40B2">
      <w:r w:rsidRPr="009A0E15">
        <w:t xml:space="preserve">Počet obyvatel žijících v sociálně vyloučených lokalitách se zvýšil </w:t>
      </w:r>
      <w:r>
        <w:t>dvojnásobně na téměř 8</w:t>
      </w:r>
      <w:r w:rsidR="00782C5E">
        <w:t xml:space="preserve"> </w:t>
      </w:r>
      <w:r>
        <w:t>000.</w:t>
      </w:r>
      <w:r w:rsidRPr="009A0E15">
        <w:t xml:space="preserve"> </w:t>
      </w:r>
      <w:r>
        <w:t>I</w:t>
      </w:r>
      <w:r w:rsidRPr="003F40B4">
        <w:t xml:space="preserve">dentifikován </w:t>
      </w:r>
      <w:r>
        <w:t>byl e</w:t>
      </w:r>
      <w:r w:rsidRPr="003F40B4">
        <w:t>normní nárůst počtu lidí ž</w:t>
      </w:r>
      <w:r>
        <w:t>ijící v ubytovnách a zjištěn p</w:t>
      </w:r>
      <w:r w:rsidRPr="008442E3">
        <w:t xml:space="preserve">odíl nezaměstnaných </w:t>
      </w:r>
      <w:r w:rsidR="003C2F1D">
        <w:br/>
      </w:r>
      <w:r w:rsidRPr="008442E3">
        <w:t xml:space="preserve">v sociálně vyloučených </w:t>
      </w:r>
      <w:r>
        <w:t>lokalitách ve výši cca</w:t>
      </w:r>
      <w:r w:rsidRPr="008442E3">
        <w:t xml:space="preserve"> 85 </w:t>
      </w:r>
      <w:r>
        <w:t>%</w:t>
      </w:r>
      <w:r w:rsidRPr="008442E3">
        <w:t>.</w:t>
      </w:r>
      <w:r w:rsidRPr="009A0E15">
        <w:t xml:space="preserve"> Přibývá lokalit, kde Romové netvoří většinu obyvatel. V lokalitách přibývají obecně chudí, velmi</w:t>
      </w:r>
      <w:r>
        <w:t xml:space="preserve"> </w:t>
      </w:r>
      <w:r w:rsidRPr="009A0E15">
        <w:t xml:space="preserve">často nezaměstnaní lidé, jejichž životní situace </w:t>
      </w:r>
      <w:r w:rsidR="003C2F1D">
        <w:br/>
      </w:r>
      <w:r w:rsidRPr="009A0E15">
        <w:t>v zásadě replikuje situaci romské</w:t>
      </w:r>
      <w:r>
        <w:t xml:space="preserve"> </w:t>
      </w:r>
      <w:r w:rsidRPr="009A0E15">
        <w:t>populace (zadluženost, nízké vzdělání apod.). Vedle nich také přibývá</w:t>
      </w:r>
      <w:r>
        <w:t xml:space="preserve"> </w:t>
      </w:r>
      <w:r w:rsidRPr="009A0E15">
        <w:t>v lokalitách seniorů z majoritní populace.</w:t>
      </w:r>
    </w:p>
    <w:p w:rsidR="00B174B8" w:rsidRPr="00E44CDD" w:rsidRDefault="00B174B8" w:rsidP="002C40B2">
      <w:r w:rsidRPr="009A0E15">
        <w:t>SVL se častěji rozpadají do většího počtu menších celků, a tak sociální vyloučení v České republice přestává mít svůj dominantně městský charakter</w:t>
      </w:r>
      <w:r>
        <w:t>.</w:t>
      </w:r>
      <w:r w:rsidRPr="009A0E15">
        <w:t xml:space="preserve"> </w:t>
      </w:r>
      <w:r>
        <w:t>V</w:t>
      </w:r>
      <w:r w:rsidRPr="009A0E15">
        <w:t>znikají klastry sociálně vyloučených lokalit sice s nižší hustotou, ale s větší celkovou rozlohou než v</w:t>
      </w:r>
      <w:r w:rsidRPr="002E749C">
        <w:t xml:space="preserve"> </w:t>
      </w:r>
      <w:r w:rsidRPr="009A0E15">
        <w:t>městských lokalitách. Sociálně vyloučení se stěhují nebo jsou stěhováni do více odlehlých obcí s málo funkční infrastrukturou</w:t>
      </w:r>
      <w:r w:rsidRPr="002E749C">
        <w:t>.</w:t>
      </w:r>
    </w:p>
    <w:p w:rsidR="00782C5E" w:rsidRPr="00782C5E" w:rsidRDefault="00B174B8" w:rsidP="002C40B2">
      <w:pPr>
        <w:rPr>
          <w:b/>
        </w:rPr>
      </w:pPr>
      <w:r w:rsidRPr="00E44CDD">
        <w:t xml:space="preserve">V roce 2013 byla pro Karlovarský kraj </w:t>
      </w:r>
      <w:r w:rsidRPr="00377AB0">
        <w:t xml:space="preserve">zpracována </w:t>
      </w:r>
      <w:r w:rsidRPr="00413FA0">
        <w:rPr>
          <w:i/>
        </w:rPr>
        <w:t>Analýza sociálně vyloučených romských lokalit v Karlovarském kraji</w:t>
      </w:r>
      <w:r w:rsidRPr="00E44CDD">
        <w:t>, v rámci které bylo identifikováno celkem 31 obcí se SVL</w:t>
      </w:r>
      <w:r>
        <w:t xml:space="preserve"> a 9 obcí s potenciálně vyloučenými sociálními lokalitami</w:t>
      </w:r>
      <w:r w:rsidRPr="00E44CDD">
        <w:t xml:space="preserve">. </w:t>
      </w:r>
      <w:r w:rsidR="00782C5E">
        <w:t>Podle tohoto dokumentu jsou</w:t>
      </w:r>
      <w:r w:rsidR="00782C5E" w:rsidRPr="00782C5E">
        <w:rPr>
          <w:b/>
        </w:rPr>
        <w:t xml:space="preserve"> nejvíce vyloučené lokality v obci Chodov, Nejdek, Dasnice, Svatava, některé lokality v Chebu a Ostrově.</w:t>
      </w:r>
    </w:p>
    <w:p w:rsidR="00B174B8" w:rsidRPr="005D1680" w:rsidRDefault="00B174B8" w:rsidP="0016180B">
      <w:r w:rsidRPr="002E749C">
        <w:t xml:space="preserve">Od roku 2009 působí v Karlovarském kraji </w:t>
      </w:r>
      <w:r w:rsidRPr="00413FA0">
        <w:rPr>
          <w:b/>
        </w:rPr>
        <w:t>Agentura pro sociální začleňování v romských lokalitách</w:t>
      </w:r>
      <w:r w:rsidRPr="002E749C">
        <w:t xml:space="preserve">. Jejím posláním je propojovat subjekty na místní úrovni tak, aby spolupracovaly při sociálním </w:t>
      </w:r>
      <w:r w:rsidRPr="005D1680">
        <w:t xml:space="preserve">začleňování, podporuje propojování působení veřejné správy a neziskového sektoru. </w:t>
      </w:r>
    </w:p>
    <w:p w:rsidR="00B174B8" w:rsidRDefault="00B174B8" w:rsidP="002C40B2">
      <w:r w:rsidRPr="009A0E15">
        <w:lastRenderedPageBreak/>
        <w:t xml:space="preserve">Nástrojem pomoci městům a obcím při sociálním začleňování sociálně vyloučených obyvatel je za místní podpory </w:t>
      </w:r>
      <w:r w:rsidRPr="00FF7A91">
        <w:t>Agentury pro sociální začleňování</w:t>
      </w:r>
      <w:r w:rsidRPr="009A0E15">
        <w:t xml:space="preserve"> tzv. </w:t>
      </w:r>
      <w:r>
        <w:t>k</w:t>
      </w:r>
      <w:r w:rsidRPr="009A0E15">
        <w:t xml:space="preserve">oordinovaný přístup k sociálně vyloučeným lokalitám. Od 1. ledna 2016 do 31. prosince 2020 je realizován v rámci individuálního projektu </w:t>
      </w:r>
      <w:hyperlink r:id="rId124" w:history="1">
        <w:r w:rsidRPr="00413FA0">
          <w:rPr>
            <w:i/>
          </w:rPr>
          <w:t>Systémové zajištění sociálního vyloučení</w:t>
        </w:r>
      </w:hyperlink>
      <w:r w:rsidRPr="009A0E15">
        <w:t xml:space="preserve"> a je financován z prostředků </w:t>
      </w:r>
      <w:r w:rsidR="00782C5E">
        <w:t>ESF</w:t>
      </w:r>
      <w:r w:rsidRPr="009A0E15">
        <w:t xml:space="preserve"> v rámci Operačního programu zaměstnanost. </w:t>
      </w:r>
      <w:r>
        <w:t>Agentura v současné době spolupracuje zejména s lokalitami Kraslice, Chodov, Žluticko a Sokolov.</w:t>
      </w:r>
    </w:p>
    <w:p w:rsidR="00B174B8" w:rsidRPr="003A732F" w:rsidRDefault="00B174B8" w:rsidP="002C40B2">
      <w:pPr>
        <w:pStyle w:val="Odstavecseseznamem"/>
        <w:numPr>
          <w:ilvl w:val="0"/>
          <w:numId w:val="14"/>
        </w:numPr>
        <w:rPr>
          <w:b/>
        </w:rPr>
      </w:pPr>
      <w:r w:rsidRPr="003A732F">
        <w:rPr>
          <w:b/>
        </w:rPr>
        <w:t>Lokalita Kraslice</w:t>
      </w:r>
    </w:p>
    <w:p w:rsidR="00B174B8" w:rsidRPr="009A0E15" w:rsidRDefault="00B174B8" w:rsidP="002C40B2">
      <w:r w:rsidRPr="009A0E15">
        <w:t xml:space="preserve">V Kraslicích se nachází několik sociálně vyloučených lokalit. Lidé v těchto lokalitách se nacházejí </w:t>
      </w:r>
      <w:r w:rsidR="003A732F">
        <w:br/>
      </w:r>
      <w:r w:rsidRPr="009A0E15">
        <w:t>v tíživých situacích jako je např. zadlužení, exekuce, velká část dluhů bez možnosti oddlužení, dlouhodobé nezaměstnání, bytová tíseň apod. Obec sama se potýká s nedostatkem pracovních příležitostí, nedostatkem sociálních služeb a s tím související migrací obyvatel. Odhad počtu sociálně vyloučených obyvatel celkem v Kraslicích a spádových obcích je cca 600 osob</w:t>
      </w:r>
      <w:r>
        <w:t xml:space="preserve">. </w:t>
      </w:r>
      <w:r w:rsidRPr="009A0E15">
        <w:t xml:space="preserve">V roce 2016 schválilo město Kraslice </w:t>
      </w:r>
      <w:r w:rsidRPr="00413FA0">
        <w:rPr>
          <w:i/>
        </w:rPr>
        <w:t>Strategický plán sociálního začleňování 2016 – 2019</w:t>
      </w:r>
      <w:r w:rsidRPr="009A0E15">
        <w:t>, který má přinést systémové změny v pojetí sociálního bydlení a větší provázanost úřadu práce s místními zaměstnavateli, novými sociálními podniky, vzděláním i sociální prací.</w:t>
      </w:r>
    </w:p>
    <w:p w:rsidR="00B174B8" w:rsidRPr="009A0E15" w:rsidRDefault="00B174B8" w:rsidP="002C40B2">
      <w:r w:rsidRPr="00413FA0">
        <w:rPr>
          <w:i/>
        </w:rPr>
        <w:t>Strategický plán sociálního začleňování</w:t>
      </w:r>
      <w:r w:rsidRPr="009A0E15">
        <w:t xml:space="preserve"> a jednotlivé projekty, které na něj budou navazovat </w:t>
      </w:r>
      <w:r w:rsidR="003A732F">
        <w:br/>
      </w:r>
      <w:r w:rsidRPr="009A0E15">
        <w:t>v následujících třech letech</w:t>
      </w:r>
      <w:r>
        <w:t>,</w:t>
      </w:r>
      <w:r w:rsidRPr="009A0E15">
        <w:t xml:space="preserve"> pomohou zlepšit pracovní uplatnění přímo v Kraslicích, zvýšit kvalifikaci </w:t>
      </w:r>
      <w:r w:rsidR="003A732F">
        <w:br/>
      </w:r>
      <w:r w:rsidRPr="009A0E15">
        <w:t xml:space="preserve">a pracovní zkušenosti nezaměstnaných. Plán si mimo jiné klade za cíl snížit míru zadlužení a zmírnit dopady probíhajících exekucí, ale i zlepšit nepříznivou sociální situaci některých rodin. Mezi opatření, která plán slibuje realizovat, patří například navýšení počtu bytů určených pro sociální bydlení </w:t>
      </w:r>
      <w:r w:rsidR="003A732F">
        <w:br/>
      </w:r>
      <w:r w:rsidRPr="009A0E15">
        <w:t>a zajištění související terénní sociální práce. Plán myslí i na snížení dopadu užívaní drog a prohloubení možností vzdělávání a trávení volného času pro místní děti a mládež.</w:t>
      </w:r>
      <w:r>
        <w:t xml:space="preserve"> </w:t>
      </w:r>
      <w:r w:rsidRPr="009A0E15">
        <w:t xml:space="preserve">V oblasti vzdělání pak mají ze strategie profitovat všechny děti, nejen žáci ze sociálně vyloučených skupin. Kromě rekonstrukce </w:t>
      </w:r>
      <w:r w:rsidR="003A732F">
        <w:br/>
      </w:r>
      <w:r w:rsidRPr="009A0E15">
        <w:t>a vybavení dílen jsou do škol naplánovány další opatření jako asistenti, volnočasový klub, doučování, aktivity pro rodiče a veřejnost. Přímo v Kraslicích by dle plánu také mohly vzniknout dva menší sociální podniky, kde by se zaměstnanci, kteří přicházejí z evidence Úřadu práce, měli postupně seznamovat s pracovním prostředím, získávat pracovní návyky, rekvalifikovat se a připravovat se na přechod na běžný trh práce.</w:t>
      </w:r>
    </w:p>
    <w:p w:rsidR="00B174B8" w:rsidRPr="009A0E15" w:rsidRDefault="00B174B8" w:rsidP="002C40B2">
      <w:pPr>
        <w:pStyle w:val="Odstavecseseznamem"/>
        <w:numPr>
          <w:ilvl w:val="1"/>
          <w:numId w:val="5"/>
        </w:numPr>
        <w:ind w:left="567" w:hanging="283"/>
        <w:rPr>
          <w:b/>
        </w:rPr>
      </w:pPr>
      <w:r w:rsidRPr="009A0E15">
        <w:rPr>
          <w:b/>
        </w:rPr>
        <w:t>Lokalita Chodov</w:t>
      </w:r>
    </w:p>
    <w:p w:rsidR="0016180B" w:rsidRDefault="00B174B8" w:rsidP="002C40B2">
      <w:r w:rsidRPr="009A0E15">
        <w:t xml:space="preserve">V Chodově se </w:t>
      </w:r>
      <w:r>
        <w:t>nachází několik</w:t>
      </w:r>
      <w:r w:rsidRPr="009A0E15">
        <w:t xml:space="preserve"> lokalit, jež vykazují znaky sociálního vyloučení. Obyvatelé těchto lokalit se potýkají především </w:t>
      </w:r>
      <w:r>
        <w:t>s</w:t>
      </w:r>
      <w:r w:rsidRPr="009A0E15">
        <w:t xml:space="preserve"> dlouhodobou nezaměstnanost</w:t>
      </w:r>
      <w:r>
        <w:t>í a vysokou mírou</w:t>
      </w:r>
      <w:r w:rsidRPr="009A0E15">
        <w:t xml:space="preserve"> zadlužení. V Chodově také zaznamenáváme značný problém spojený se závislostním chováním</w:t>
      </w:r>
      <w:r>
        <w:t>,</w:t>
      </w:r>
      <w:r w:rsidRPr="009A0E15">
        <w:t xml:space="preserve"> a to jak na nealkoholových drogách</w:t>
      </w:r>
      <w:r>
        <w:t>,</w:t>
      </w:r>
      <w:r w:rsidRPr="009A0E15">
        <w:t xml:space="preserve"> tak se závislostní spojenou s výherními automaty. I tato skutečnost následně významně ovlivňuje dění a kriminalitu ve městě.</w:t>
      </w:r>
      <w:r>
        <w:t xml:space="preserve"> </w:t>
      </w:r>
      <w:r w:rsidRPr="009A0E15">
        <w:t xml:space="preserve">Vzájemná spolupráce </w:t>
      </w:r>
      <w:r>
        <w:t xml:space="preserve">s Agenturou </w:t>
      </w:r>
      <w:r w:rsidRPr="009A0E15">
        <w:t>se bude zaměřovat na posílení sociálních služeb ve městě, provázání spolupráce jednotlivých subjektů zejména v souvislosti se zneužíváním návykových látek a v oblasti péče o děti a rodinu. V oblasti vzdělávání dojde k úzkému propojení činnosti neziskových organizací a škol a vytvoření jednotného podpůrného systému pro žáky z vyloučeného prostředí. Vzhledem k uvedenému problému s nezaměstnaností ve městě i v prostředí sociálně vyloučených lokalit bude věnována veliká pozornost tvorbě nových pracovních míst s podporou nástrojů aktivní politiky zaměstnanosti i strukturálních fondů.</w:t>
      </w:r>
    </w:p>
    <w:p w:rsidR="0016180B" w:rsidRDefault="0016180B">
      <w:pPr>
        <w:spacing w:after="160" w:line="259" w:lineRule="auto"/>
        <w:jc w:val="left"/>
      </w:pPr>
      <w:r>
        <w:br w:type="page"/>
      </w:r>
    </w:p>
    <w:p w:rsidR="009E424D" w:rsidRDefault="00B174B8">
      <w:pPr>
        <w:pStyle w:val="Odstavecseseznamem"/>
        <w:numPr>
          <w:ilvl w:val="1"/>
          <w:numId w:val="5"/>
        </w:numPr>
        <w:ind w:left="567" w:hanging="283"/>
        <w:rPr>
          <w:b/>
        </w:rPr>
      </w:pPr>
      <w:r w:rsidRPr="00DF1B1B">
        <w:rPr>
          <w:b/>
        </w:rPr>
        <w:lastRenderedPageBreak/>
        <w:t>Lokalita Žluticko</w:t>
      </w:r>
    </w:p>
    <w:p w:rsidR="00B174B8" w:rsidRPr="009A0E15" w:rsidRDefault="00B174B8" w:rsidP="002C40B2">
      <w:r w:rsidRPr="009A0E15">
        <w:t>V celém mikroregionu Žluticka bydlí cca 400 obyvatel ohrožených sociálním vyloučením, cca 160 z 983 domácností pobírá dávky ze sociálního systému (příspěvek na živobytí, příspěvek na bydlení</w:t>
      </w:r>
      <w:r>
        <w:t xml:space="preserve"> aj.</w:t>
      </w:r>
      <w:r w:rsidRPr="009A0E15">
        <w:t>). Vzdělání obyvatel uvedených lokalit je většinou základní, poměrně velká část ekonomicky aktivních obyvatel je bez legálního zaměstnání, nezaměstnanost se pohybuje mezi 16</w:t>
      </w:r>
      <w:r w:rsidR="00DF1B1B">
        <w:t xml:space="preserve"> </w:t>
      </w:r>
      <w:r w:rsidRPr="009A0E15">
        <w:t>-</w:t>
      </w:r>
      <w:r w:rsidR="00DF1B1B">
        <w:t xml:space="preserve"> </w:t>
      </w:r>
      <w:r w:rsidRPr="009A0E15">
        <w:t xml:space="preserve">20%. </w:t>
      </w:r>
    </w:p>
    <w:p w:rsidR="00B174B8" w:rsidRPr="009A0E15" w:rsidRDefault="00B174B8" w:rsidP="002C40B2">
      <w:r w:rsidRPr="009A0E15">
        <w:t xml:space="preserve">Problémem je vysoká zadluženost a probíhající exekuce. V území se v posledním roce zvyšuje počet přestupků proti občanskému soužití, dochází také ke vzestupu drobných majetkových deliktů a místní drogové scény. Síť sociálních služeb je v regionu výrazně nedostatečná, existuje zde dům s pečovatelskou službou a terénní pečovatelská služba, částečně terénní sociální práce a sociálně aktivizační služby pro rodiny s dětmi a dluhová poradna. </w:t>
      </w:r>
    </w:p>
    <w:p w:rsidR="00B174B8" w:rsidRDefault="00B174B8" w:rsidP="002C40B2">
      <w:r w:rsidRPr="009A0E15">
        <w:t xml:space="preserve">Lokálním partnerstvím byl zpracován </w:t>
      </w:r>
      <w:r w:rsidRPr="00413FA0">
        <w:rPr>
          <w:i/>
        </w:rPr>
        <w:t>Strategický plán sociálního začleňování Žluticko na období 2016-2018</w:t>
      </w:r>
      <w:r w:rsidRPr="009A0E15">
        <w:t xml:space="preserve">, jehož účelem je koordinované řešení problémů a změna podmínek života na daném území prostřednictvím konkrétních aktivit na podporu zaměstnanosti, sociální služby, komunitní aktivity, preventivní programy či programy na podporu bydlení, včetně sociálního bydlení. </w:t>
      </w:r>
    </w:p>
    <w:p w:rsidR="009E424D" w:rsidRDefault="00B174B8">
      <w:pPr>
        <w:pStyle w:val="Odstavecseseznamem"/>
        <w:numPr>
          <w:ilvl w:val="1"/>
          <w:numId w:val="5"/>
        </w:numPr>
        <w:ind w:left="567" w:hanging="283"/>
        <w:rPr>
          <w:b/>
        </w:rPr>
      </w:pPr>
      <w:r w:rsidRPr="00DF1B1B">
        <w:rPr>
          <w:b/>
        </w:rPr>
        <w:t>Lokalita Sokolov</w:t>
      </w:r>
    </w:p>
    <w:p w:rsidR="00B174B8" w:rsidRPr="005D1680" w:rsidRDefault="00B174B8" w:rsidP="002C40B2">
      <w:r w:rsidRPr="005D1680">
        <w:t>Na území města se nachází celkem dvě sociálně vyloučené lokality</w:t>
      </w:r>
      <w:r w:rsidR="00FF42C4">
        <w:t xml:space="preserve">, ve kterých žije cca 1 400 </w:t>
      </w:r>
      <w:r w:rsidRPr="005D1680">
        <w:t>sociálně vyloučených osob</w:t>
      </w:r>
      <w:r>
        <w:t>,</w:t>
      </w:r>
      <w:r w:rsidRPr="005D1680">
        <w:t xml:space="preserve"> převážně Romů. Většina obyvatel lokality je nezaměstnaná a objevují se zde sociálně patologické jevy jako je záškoláctví, lichva, distribuce a užívání drog. Problémem obou lokalit je vysoká míra nezaměstnanosti, zadluženost</w:t>
      </w:r>
      <w:r w:rsidR="00FF165F">
        <w:t xml:space="preserve"> </w:t>
      </w:r>
      <w:r w:rsidRPr="005D1680">
        <w:t>a nízká vzdělanost jejich obyvatel. Město nedisponuje sociálními byty pro sociálně vyloučené, i přes fungující azylové domy pro jednotlivce a pro matky s dětmi, které spravuje nezisková organizace</w:t>
      </w:r>
      <w:r>
        <w:t>,</w:t>
      </w:r>
      <w:r w:rsidRPr="005D1680">
        <w:t xml:space="preserve"> je ve městě nedostatečná kapacita ubytovacích zařízení. Výrazným nedostatkem je i chybějící nízkoprahové zařízení pro děti a mládež.</w:t>
      </w:r>
    </w:p>
    <w:p w:rsidR="00B174B8" w:rsidRPr="00DF1B1B" w:rsidRDefault="00B174B8" w:rsidP="002C40B2">
      <w:pPr>
        <w:pStyle w:val="Nadpis2"/>
      </w:pPr>
      <w:r w:rsidRPr="00DF1B1B">
        <w:t>Klíčové výzvy/problémy</w:t>
      </w:r>
    </w:p>
    <w:p w:rsidR="00B174B8" w:rsidRPr="00DF1B1B" w:rsidRDefault="00B174B8" w:rsidP="002C40B2">
      <w:pPr>
        <w:rPr>
          <w:b/>
        </w:rPr>
      </w:pPr>
      <w:r w:rsidRPr="00DF1B1B">
        <w:rPr>
          <w:b/>
        </w:rPr>
        <w:t xml:space="preserve">Kapacita zařízení poskytujících sociální služby pro seniory z hlediska budoucích potřeb </w:t>
      </w:r>
    </w:p>
    <w:p w:rsidR="00B174B8" w:rsidRPr="00DF1B1B" w:rsidRDefault="00B174B8" w:rsidP="002C40B2">
      <w:r w:rsidRPr="00DF1B1B">
        <w:rPr>
          <w:bCs/>
        </w:rPr>
        <w:t>Podle</w:t>
      </w:r>
      <w:r w:rsidRPr="00DF1B1B">
        <w:t xml:space="preserve"> populační projekce obyvatelstva lze očekávat, že bude podíl seniorů v populaci KK stále narůstat. Karlovarský kraj čeká po roce 2016 výrazný nárůst </w:t>
      </w:r>
      <w:r w:rsidR="00DF1B1B">
        <w:t xml:space="preserve">obyvatel ve </w:t>
      </w:r>
      <w:r w:rsidRPr="00DF1B1B">
        <w:t>věkové kategori</w:t>
      </w:r>
      <w:r w:rsidR="00DF1B1B">
        <w:t>i</w:t>
      </w:r>
      <w:r w:rsidRPr="00DF1B1B">
        <w:t xml:space="preserve"> nad 65 let, nejintenzivnější nárůst je pak očekáván u věkové skupiny nad 80 let věku. Očekávaný populační vývoj bude zvyšovat nároky na sociální služby Karlovarského kraje. </w:t>
      </w:r>
    </w:p>
    <w:p w:rsidR="00B174B8" w:rsidRPr="00DF1B1B" w:rsidRDefault="00B174B8" w:rsidP="002C40B2">
      <w:pPr>
        <w:rPr>
          <w:b/>
          <w:i/>
          <w:iCs/>
        </w:rPr>
      </w:pPr>
      <w:r w:rsidRPr="00DF1B1B">
        <w:rPr>
          <w:b/>
          <w:i/>
          <w:iCs/>
        </w:rPr>
        <w:t>Příčiny</w:t>
      </w:r>
    </w:p>
    <w:p w:rsidR="00FF42C4" w:rsidRDefault="00B174B8" w:rsidP="002C40B2">
      <w:r w:rsidRPr="00DF1B1B">
        <w:t xml:space="preserve">Růst počtu osob ve starším věku je způsoben rychlejším snižováním míry úmrtnosti ve vyšším věku. To vede k prodlužování naděje dožití a tím k častějšímu dožívání se vyššího a vysokého věku. </w:t>
      </w:r>
    </w:p>
    <w:p w:rsidR="00B174B8" w:rsidRPr="00DF1B1B" w:rsidRDefault="00B174B8" w:rsidP="002C40B2">
      <w:pPr>
        <w:rPr>
          <w:b/>
        </w:rPr>
      </w:pPr>
      <w:r w:rsidRPr="00DF1B1B">
        <w:rPr>
          <w:b/>
          <w:i/>
        </w:rPr>
        <w:t>Důsledky</w:t>
      </w:r>
    </w:p>
    <w:p w:rsidR="00B174B8" w:rsidRPr="00DF1B1B" w:rsidRDefault="00B174B8" w:rsidP="002C40B2">
      <w:r w:rsidRPr="00DF1B1B">
        <w:t>Na oblast sociální péče v kraji bude mít vliv především růst počtu i podílu osob ve věku nad 70 let resp. 80 let. Zlepšování zdravotního stavu této věkové skupiny bude provázeno posunem výskytu nemocí do vyššího věku a nutně tak přinese zvyšování nákladů na sociální a zdravotní péči a samozřejmě i požadavků na péči rodinnou.</w:t>
      </w:r>
    </w:p>
    <w:p w:rsidR="00B174B8" w:rsidRPr="00DF1B1B" w:rsidRDefault="00B174B8" w:rsidP="002C40B2">
      <w:r w:rsidRPr="00DF1B1B">
        <w:lastRenderedPageBreak/>
        <w:t xml:space="preserve">Populační změny budou zvyšovat nároky na sociální služby Karlovarského kraje, </w:t>
      </w:r>
      <w:r w:rsidR="00DF1B1B">
        <w:rPr>
          <w:bCs/>
          <w:kern w:val="32"/>
        </w:rPr>
        <w:t xml:space="preserve">zejména na </w:t>
      </w:r>
      <w:r w:rsidRPr="00DF1B1B">
        <w:rPr>
          <w:bCs/>
          <w:kern w:val="32"/>
        </w:rPr>
        <w:t>rozšiřování nabídky terénních služeb sociální péče, které umožní uživatelům zůstat v jejich domácím, přirozeném prostředí při zachování sociálních vazeb (např. pečovatelská služba, služby osobní asistence atd.).</w:t>
      </w:r>
      <w:r w:rsidRPr="00DF1B1B">
        <w:t xml:space="preserve"> </w:t>
      </w:r>
    </w:p>
    <w:p w:rsidR="00B174B8" w:rsidRPr="00DF1B1B" w:rsidRDefault="00B174B8" w:rsidP="002C40B2">
      <w:r w:rsidRPr="00DF1B1B">
        <w:t>Za předpokladu, že služby budou poskytovány tradičním způsobem, tedy zejména jako služby pobytové (standardizovaná zařízení), budou neustále narůstat také náklady na tyto druhy služeb. Zvyšující náklady si však od určité meze veřejné rozpočty nemohou dovolit. Klíčovým úkolem je proto nastavení nejvýhodnější kombinace bydlení, ubytování a služeb</w:t>
      </w:r>
      <w:r w:rsidRPr="00DF1B1B">
        <w:rPr>
          <w:bCs/>
          <w:kern w:val="32"/>
        </w:rPr>
        <w:t xml:space="preserve"> sociální péče</w:t>
      </w:r>
      <w:r w:rsidRPr="00DF1B1B">
        <w:t xml:space="preserve">, které umožní klientům co nejdéle zachovávat aktivitu a co největší díl soběstačnosti, a to zejména </w:t>
      </w:r>
      <w:r w:rsidR="00DF1B1B">
        <w:t xml:space="preserve">v jejich přirozeném prostředí. </w:t>
      </w:r>
    </w:p>
    <w:p w:rsidR="00B174B8" w:rsidRPr="00DF1B1B" w:rsidRDefault="00B174B8" w:rsidP="002C40B2">
      <w:pPr>
        <w:rPr>
          <w:b/>
        </w:rPr>
      </w:pPr>
      <w:r w:rsidRPr="00DF1B1B">
        <w:rPr>
          <w:b/>
        </w:rPr>
        <w:t xml:space="preserve">Zvýšení kvality a dostupnosti sociálních služeb pro zdravotně postižené </w:t>
      </w:r>
    </w:p>
    <w:p w:rsidR="00B174B8" w:rsidRPr="00DF1B1B" w:rsidRDefault="00B174B8" w:rsidP="002C40B2">
      <w:r w:rsidRPr="00DF1B1B">
        <w:t xml:space="preserve">Pokračují transformační procesy v pobytových zařízeních </w:t>
      </w:r>
      <w:r w:rsidR="00FF42C4">
        <w:t>(</w:t>
      </w:r>
      <w:r w:rsidRPr="00DF1B1B">
        <w:t xml:space="preserve">zejména pro osoby se zdravotním </w:t>
      </w:r>
      <w:r w:rsidR="00DF1B1B">
        <w:br/>
      </w:r>
      <w:r w:rsidRPr="00DF1B1B">
        <w:t>a mentálním postižením</w:t>
      </w:r>
      <w:r w:rsidR="00FF42C4">
        <w:t>), které vedou</w:t>
      </w:r>
      <w:r w:rsidRPr="00DF1B1B">
        <w:t xml:space="preserve"> k nutnosti rozšiřování nabídky, zefektivnění a zkvalitnění poskytování alternativních pobytových služeb (tj. chráněné bydlení, podpora samostatného bydlení) </w:t>
      </w:r>
      <w:r w:rsidR="00DF1B1B">
        <w:br/>
      </w:r>
      <w:r w:rsidRPr="00DF1B1B">
        <w:t xml:space="preserve">a dále terénních sociálních služeb (pečovatelská služba, osobní asistence atd.), které umožní uživatelům žít v přirozeném prostředí, které se co nejvíce podobá životu v rodině, podle jejich přání </w:t>
      </w:r>
      <w:r w:rsidR="00DF1B1B">
        <w:br/>
      </w:r>
      <w:r w:rsidRPr="00DF1B1B">
        <w:t>a potřeb a v rámci jejich tělesných a duševních schopností. Důležitá je rovněž problematika zapojování těchto osob na trh práce a rozvoj služeb sociální prevence (např. sociálně terapeutické dílny, sociální rehabilitace atd.)</w:t>
      </w:r>
    </w:p>
    <w:p w:rsidR="00B174B8" w:rsidRPr="00BB00DE" w:rsidRDefault="00B174B8" w:rsidP="002C40B2">
      <w:pPr>
        <w:rPr>
          <w:rFonts w:ascii="TimesNewRomanPSMT" w:eastAsiaTheme="minorHAnsi" w:hAnsi="TimesNewRomanPSMT" w:cs="TimesNewRomanPSMT"/>
          <w:b/>
          <w:lang w:eastAsia="en-US"/>
        </w:rPr>
      </w:pPr>
      <w:r w:rsidRPr="00BB00DE">
        <w:rPr>
          <w:b/>
        </w:rPr>
        <w:t>Služby pro osoby sociálně vyloučené nebo sociálním vyloučením ohrožené</w:t>
      </w:r>
      <w:r w:rsidRPr="00BB00DE">
        <w:rPr>
          <w:rFonts w:ascii="TimesNewRomanPSMT" w:eastAsiaTheme="minorHAnsi" w:hAnsi="TimesNewRomanPSMT" w:cs="TimesNewRomanPSMT"/>
          <w:b/>
          <w:lang w:eastAsia="en-US"/>
        </w:rPr>
        <w:t xml:space="preserve"> </w:t>
      </w:r>
    </w:p>
    <w:p w:rsidR="00B174B8" w:rsidRPr="00DF1B1B" w:rsidRDefault="00B174B8" w:rsidP="002C40B2">
      <w:pPr>
        <w:rPr>
          <w:rFonts w:eastAsiaTheme="minorHAnsi"/>
          <w:color w:val="000000"/>
          <w:lang w:eastAsia="en-US"/>
        </w:rPr>
      </w:pPr>
      <w:r w:rsidRPr="00DF1B1B">
        <w:rPr>
          <w:rFonts w:eastAsiaTheme="minorHAnsi"/>
          <w:color w:val="000000"/>
          <w:lang w:eastAsia="en-US"/>
        </w:rPr>
        <w:t>Stanovení míry potřebnosti sociálních služeb pro sociálně vyloučené osoby nebo osoby ohrožené sociálním vyloučením je obtížné, přesto je třeba realizovat kroky k jeho zmírnění. V oblasti sociálních služeb jde zejména o posílení služeb sociální prevence zaměřené na mládež (tj. nízkoprahová zařízení pro děti a mládež) a práce s rodinou (tj. sociálně aktivizační služby, terénní programy). Dále jde o služby připravující tyto osoby na trh práce (např. sociální rehabil</w:t>
      </w:r>
      <w:r w:rsidR="00BB00DE">
        <w:rPr>
          <w:rFonts w:eastAsiaTheme="minorHAnsi"/>
          <w:color w:val="000000"/>
          <w:lang w:eastAsia="en-US"/>
        </w:rPr>
        <w:t xml:space="preserve">itace) a sociální poradenství. </w:t>
      </w:r>
    </w:p>
    <w:p w:rsidR="00B174B8" w:rsidRPr="00BB00DE" w:rsidRDefault="00B174B8" w:rsidP="002C40B2">
      <w:pPr>
        <w:pStyle w:val="Nadpis3"/>
        <w:tabs>
          <w:tab w:val="left" w:pos="1380"/>
        </w:tabs>
        <w:spacing w:line="276" w:lineRule="auto"/>
        <w:rPr>
          <w:rStyle w:val="Odkazjemn"/>
          <w:b w:val="0"/>
        </w:rPr>
      </w:pPr>
      <w:r w:rsidRPr="00BB00DE">
        <w:rPr>
          <w:rStyle w:val="Odkazjemn"/>
          <w:b w:val="0"/>
        </w:rPr>
        <w:t>Literatura:</w:t>
      </w:r>
    </w:p>
    <w:p w:rsidR="002747AE" w:rsidRDefault="002747AE" w:rsidP="000562C0">
      <w:pPr>
        <w:spacing w:after="120"/>
        <w:jc w:val="left"/>
      </w:pPr>
      <w:r>
        <w:t>Buriánek, J., Kuchař, P.</w:t>
      </w:r>
      <w:r>
        <w:rPr>
          <w:i/>
        </w:rPr>
        <w:t xml:space="preserve"> </w:t>
      </w:r>
      <w:r w:rsidRPr="00673754">
        <w:rPr>
          <w:i/>
        </w:rPr>
        <w:t>Sociální služby: Potřeby a názory občanů v Karlovarském kraji</w:t>
      </w:r>
      <w:r>
        <w:t>. Zpráva ze sociologického výzkumu. Praha, 2012.</w:t>
      </w:r>
    </w:p>
    <w:p w:rsidR="002747AE" w:rsidRDefault="002747AE" w:rsidP="000562C0">
      <w:pPr>
        <w:jc w:val="left"/>
      </w:pPr>
      <w:r w:rsidRPr="00AE46CF">
        <w:t>ČSÚ.</w:t>
      </w:r>
      <w:r>
        <w:t xml:space="preserve"> </w:t>
      </w:r>
      <w:r w:rsidRPr="0018538F">
        <w:rPr>
          <w:i/>
        </w:rPr>
        <w:t>Statistická ročenka Karlovarského kraje 2015</w:t>
      </w:r>
      <w:r>
        <w:rPr>
          <w:i/>
        </w:rPr>
        <w:t xml:space="preserve"> </w:t>
      </w:r>
      <w:r w:rsidRPr="0018538F">
        <w:rPr>
          <w:color w:val="000000"/>
        </w:rPr>
        <w:t>[online]</w:t>
      </w:r>
      <w:r w:rsidRPr="0018538F">
        <w:rPr>
          <w:bCs/>
          <w:i/>
        </w:rPr>
        <w:t>.</w:t>
      </w:r>
      <w:r>
        <w:rPr>
          <w:bCs/>
        </w:rPr>
        <w:t xml:space="preserve"> 2015.</w:t>
      </w:r>
      <w:r w:rsidRPr="0018538F">
        <w:t xml:space="preserve"> </w:t>
      </w:r>
      <w:r>
        <w:rPr>
          <w:bCs/>
        </w:rPr>
        <w:t>Dostupné z:</w:t>
      </w:r>
      <w:r>
        <w:t xml:space="preserve"> </w:t>
      </w:r>
      <w:hyperlink r:id="rId125" w:history="1">
        <w:r w:rsidRPr="00EA7742">
          <w:rPr>
            <w:rStyle w:val="Hypertextovodkaz"/>
          </w:rPr>
          <w:t>https://www.czso.cz/csu/czso/statisticka-rocenka-karlovarskeho-kraje-2015</w:t>
        </w:r>
      </w:hyperlink>
      <w:r>
        <w:t>.</w:t>
      </w:r>
    </w:p>
    <w:p w:rsidR="002747AE" w:rsidRDefault="002747AE" w:rsidP="000562C0">
      <w:pPr>
        <w:spacing w:after="120"/>
        <w:jc w:val="left"/>
      </w:pPr>
      <w:r>
        <w:t xml:space="preserve">ČSÚ. </w:t>
      </w:r>
      <w:r w:rsidRPr="00BB00DE">
        <w:rPr>
          <w:rFonts w:eastAsiaTheme="minorHAnsi"/>
          <w:i/>
          <w:color w:val="000000"/>
          <w:lang w:eastAsia="en-US"/>
        </w:rPr>
        <w:t>Životní podmínky seniorů v Česku a Evropě</w:t>
      </w:r>
      <w:r>
        <w:rPr>
          <w:rFonts w:eastAsiaTheme="minorHAnsi"/>
          <w:color w:val="000000"/>
          <w:lang w:eastAsia="en-US"/>
        </w:rPr>
        <w:t xml:space="preserve"> </w:t>
      </w:r>
      <w:r>
        <w:rPr>
          <w:color w:val="000000"/>
        </w:rPr>
        <w:t>[online].</w:t>
      </w:r>
      <w:r w:rsidRPr="00F22BDB">
        <w:rPr>
          <w:i/>
        </w:rPr>
        <w:t xml:space="preserve"> </w:t>
      </w:r>
      <w:r>
        <w:t xml:space="preserve">2015. Dostupné z: </w:t>
      </w:r>
      <w:hyperlink r:id="rId126" w:history="1">
        <w:r w:rsidRPr="00DC0265">
          <w:rPr>
            <w:rStyle w:val="Hypertextovodkaz"/>
          </w:rPr>
          <w:t>https://www.czso.cz/csu/czso/seniori-v-cr-v-datech-2015</w:t>
        </w:r>
      </w:hyperlink>
      <w:r>
        <w:t>.</w:t>
      </w:r>
    </w:p>
    <w:p w:rsidR="002747AE" w:rsidRDefault="002747AE" w:rsidP="000562C0">
      <w:pPr>
        <w:spacing w:after="120"/>
        <w:jc w:val="left"/>
        <w:rPr>
          <w:rFonts w:asciiTheme="minorHAnsi" w:hAnsiTheme="minorHAnsi" w:cs="Times New Roman"/>
        </w:rPr>
      </w:pPr>
      <w:r w:rsidRPr="00966386">
        <w:rPr>
          <w:rFonts w:eastAsiaTheme="minorHAnsi"/>
        </w:rPr>
        <w:t>GAC spol. s r. o.</w:t>
      </w:r>
      <w:r>
        <w:rPr>
          <w:rFonts w:ascii="TimesNewRomanPSMT" w:eastAsiaTheme="minorHAnsi" w:hAnsi="TimesNewRomanPSMT" w:cs="TimesNewRomanPSMT"/>
          <w:sz w:val="24"/>
          <w:szCs w:val="24"/>
          <w:lang w:eastAsia="en-US"/>
        </w:rPr>
        <w:t xml:space="preserve"> </w:t>
      </w:r>
      <w:r w:rsidRPr="00413FA0">
        <w:rPr>
          <w:rFonts w:asciiTheme="minorHAnsi" w:hAnsiTheme="minorHAnsi" w:cs="Times New Roman"/>
          <w:i/>
        </w:rPr>
        <w:t>Analýza sociálně vyloučených romských lokalit a absorpční kapacity subjektů působících v této oblasti</w:t>
      </w:r>
      <w:r>
        <w:rPr>
          <w:rFonts w:asciiTheme="minorHAnsi" w:hAnsiTheme="minorHAnsi" w:cs="Times New Roman"/>
        </w:rPr>
        <w:t xml:space="preserve"> </w:t>
      </w:r>
      <w:r>
        <w:rPr>
          <w:color w:val="000000"/>
        </w:rPr>
        <w:t>[online].</w:t>
      </w:r>
      <w:r w:rsidRPr="00F22BDB">
        <w:rPr>
          <w:i/>
        </w:rPr>
        <w:t xml:space="preserve"> </w:t>
      </w:r>
      <w:r>
        <w:rPr>
          <w:rFonts w:asciiTheme="minorHAnsi" w:hAnsiTheme="minorHAnsi" w:cs="Times New Roman"/>
        </w:rPr>
        <w:t xml:space="preserve">Praha, 2006. </w:t>
      </w:r>
      <w:r>
        <w:t xml:space="preserve">Dostupné z: </w:t>
      </w:r>
      <w:hyperlink r:id="rId127" w:history="1">
        <w:r w:rsidRPr="00DC0265">
          <w:rPr>
            <w:rStyle w:val="Hypertextovodkaz"/>
          </w:rPr>
          <w:t>H</w:t>
        </w:r>
        <w:r w:rsidRPr="00DC0265">
          <w:rPr>
            <w:rStyle w:val="Hypertextovodkaz"/>
            <w:rFonts w:asciiTheme="minorHAnsi" w:hAnsiTheme="minorHAnsi" w:cs="Times New Roman"/>
          </w:rPr>
          <w:t>ttp://www.gac.cz/userfiles/File/nase_prace_vystupy/GAC_MAPA_analyza_SVL_aAK_CJ.pdf?langSEO=documents&amp;parentSEO=nase_prace_vystupy&amp;midSEO=GAC_MAPA_analyza_SVL_aAK_CJ.pdf</w:t>
        </w:r>
      </w:hyperlink>
      <w:r>
        <w:rPr>
          <w:rFonts w:asciiTheme="minorHAnsi" w:hAnsiTheme="minorHAnsi" w:cs="Times New Roman"/>
        </w:rPr>
        <w:t>.</w:t>
      </w:r>
    </w:p>
    <w:p w:rsidR="002747AE" w:rsidRDefault="002747AE" w:rsidP="000562C0">
      <w:pPr>
        <w:spacing w:after="120"/>
        <w:jc w:val="left"/>
      </w:pPr>
      <w:r>
        <w:t xml:space="preserve">GAC spol. s.r.o. </w:t>
      </w:r>
      <w:r w:rsidRPr="00673754">
        <w:rPr>
          <w:i/>
        </w:rPr>
        <w:t>Analýza sociálně vyloučených lokalit v</w:t>
      </w:r>
      <w:r>
        <w:rPr>
          <w:i/>
        </w:rPr>
        <w:t> </w:t>
      </w:r>
      <w:r w:rsidRPr="00673754">
        <w:rPr>
          <w:i/>
        </w:rPr>
        <w:t>ČR</w:t>
      </w:r>
      <w:r>
        <w:rPr>
          <w:i/>
        </w:rPr>
        <w:t xml:space="preserve"> </w:t>
      </w:r>
      <w:r>
        <w:rPr>
          <w:color w:val="000000"/>
        </w:rPr>
        <w:t>[online].</w:t>
      </w:r>
      <w:r>
        <w:t xml:space="preserve"> 2015.</w:t>
      </w:r>
      <w:r w:rsidRPr="00966386">
        <w:t xml:space="preserve"> </w:t>
      </w:r>
      <w:r>
        <w:t>Dostupné z:</w:t>
      </w:r>
      <w:r w:rsidRPr="00673754">
        <w:t xml:space="preserve"> </w:t>
      </w:r>
      <w:hyperlink r:id="rId128" w:history="1">
        <w:r w:rsidRPr="00DC0265">
          <w:rPr>
            <w:rStyle w:val="Hypertextovodkaz"/>
          </w:rPr>
          <w:t>https://www.esfcr.cz/mapa-svl-2015/www/analyza_socialne_vyloucenych_lokalit_gac.pdf</w:t>
        </w:r>
      </w:hyperlink>
      <w:r>
        <w:t>.</w:t>
      </w:r>
    </w:p>
    <w:p w:rsidR="002747AE" w:rsidRDefault="002747AE" w:rsidP="000562C0">
      <w:pPr>
        <w:spacing w:after="120"/>
        <w:jc w:val="left"/>
      </w:pPr>
      <w:r>
        <w:lastRenderedPageBreak/>
        <w:t xml:space="preserve">GI projekt, o.p.s. </w:t>
      </w:r>
      <w:r w:rsidRPr="00673754">
        <w:rPr>
          <w:i/>
        </w:rPr>
        <w:t>Dlouhodobé směřování Karlovarského kraje v oblasti zajištění a rozvoje podpory péče o seniory a osoby se zdravotním postižením</w:t>
      </w:r>
      <w:r>
        <w:t>. 2013.</w:t>
      </w:r>
    </w:p>
    <w:p w:rsidR="002747AE" w:rsidRDefault="002747AE" w:rsidP="000562C0">
      <w:pPr>
        <w:spacing w:after="120"/>
        <w:jc w:val="left"/>
      </w:pPr>
      <w:r w:rsidRPr="00673754">
        <w:t>KÚKK</w:t>
      </w:r>
      <w:r>
        <w:rPr>
          <w:i/>
        </w:rPr>
        <w:t xml:space="preserve">. </w:t>
      </w:r>
      <w:r w:rsidRPr="00673754">
        <w:rPr>
          <w:i/>
        </w:rPr>
        <w:t>Akční plán rozvoje sociálních služeb v Karlovarském kraji na rok 2017</w:t>
      </w:r>
      <w:r>
        <w:t xml:space="preserve"> </w:t>
      </w:r>
      <w:r>
        <w:rPr>
          <w:color w:val="000000"/>
        </w:rPr>
        <w:t>[online].</w:t>
      </w:r>
      <w:r w:rsidRPr="00F22BDB">
        <w:rPr>
          <w:i/>
        </w:rPr>
        <w:t xml:space="preserve"> </w:t>
      </w:r>
      <w:r>
        <w:t>2016. Dostupné z:</w:t>
      </w:r>
      <w:r w:rsidRPr="00673754">
        <w:t xml:space="preserve"> </w:t>
      </w:r>
      <w:hyperlink r:id="rId129" w:history="1">
        <w:r w:rsidRPr="00EA7742">
          <w:rPr>
            <w:rStyle w:val="Hypertextovodkaz"/>
          </w:rPr>
          <w:t>http://www.kr-karlovarsky.cz/samosprava/dokumenty/Stranky/koncepce/seznam/SPRSS.aspx</w:t>
        </w:r>
      </w:hyperlink>
      <w:r>
        <w:t>.</w:t>
      </w:r>
    </w:p>
    <w:p w:rsidR="002747AE" w:rsidRDefault="002747AE" w:rsidP="000562C0">
      <w:pPr>
        <w:spacing w:after="120"/>
        <w:jc w:val="left"/>
      </w:pPr>
      <w:r w:rsidRPr="00673754">
        <w:t>KÚKK</w:t>
      </w:r>
      <w:r>
        <w:t xml:space="preserve">. </w:t>
      </w:r>
      <w:r w:rsidRPr="00673754">
        <w:rPr>
          <w:i/>
        </w:rPr>
        <w:t xml:space="preserve">Střednědobý plán rozvoje sociálních služeb v Karlovarském kraji na období 2014 </w:t>
      </w:r>
      <w:r>
        <w:rPr>
          <w:i/>
        </w:rPr>
        <w:t>–</w:t>
      </w:r>
      <w:r w:rsidRPr="00673754">
        <w:rPr>
          <w:i/>
        </w:rPr>
        <w:t xml:space="preserve"> 2017</w:t>
      </w:r>
      <w:r>
        <w:t xml:space="preserve"> </w:t>
      </w:r>
      <w:r>
        <w:rPr>
          <w:color w:val="000000"/>
        </w:rPr>
        <w:t>[online].</w:t>
      </w:r>
      <w:r w:rsidRPr="00F22BDB">
        <w:rPr>
          <w:i/>
        </w:rPr>
        <w:t xml:space="preserve"> </w:t>
      </w:r>
      <w:r>
        <w:t xml:space="preserve">2013. Dostupné z: </w:t>
      </w:r>
      <w:hyperlink r:id="rId130" w:history="1">
        <w:r w:rsidRPr="00EA7742">
          <w:rPr>
            <w:rStyle w:val="Hypertextovodkaz"/>
          </w:rPr>
          <w:t>http://www.kr-karlovarsky.cz/samosprava/dokumenty/Stranky/koncepce/seznam/SPRSS.aspx</w:t>
        </w:r>
      </w:hyperlink>
      <w:r>
        <w:t>.</w:t>
      </w:r>
    </w:p>
    <w:p w:rsidR="002747AE" w:rsidRDefault="002747AE" w:rsidP="000562C0">
      <w:pPr>
        <w:spacing w:after="120"/>
        <w:jc w:val="left"/>
      </w:pPr>
      <w:r w:rsidRPr="00673754">
        <w:t>KÚKK</w:t>
      </w:r>
      <w:r>
        <w:rPr>
          <w:i/>
        </w:rPr>
        <w:t>. Zásady</w:t>
      </w:r>
      <w:r w:rsidRPr="00413FA0">
        <w:rPr>
          <w:i/>
        </w:rPr>
        <w:t xml:space="preserve"> rozvoje sociálních služeb v Karlovarském kraji pro období let 2007 – 2017</w:t>
      </w:r>
      <w:r>
        <w:rPr>
          <w:i/>
        </w:rPr>
        <w:t xml:space="preserve"> </w:t>
      </w:r>
      <w:r>
        <w:rPr>
          <w:color w:val="000000"/>
        </w:rPr>
        <w:t>[online].</w:t>
      </w:r>
      <w:r>
        <w:t xml:space="preserve"> 2006.</w:t>
      </w:r>
      <w:r w:rsidRPr="00673754">
        <w:t xml:space="preserve"> </w:t>
      </w:r>
      <w:r>
        <w:t xml:space="preserve">Dostupné z: </w:t>
      </w:r>
      <w:hyperlink r:id="rId131" w:history="1">
        <w:r w:rsidRPr="00EA7742">
          <w:rPr>
            <w:rStyle w:val="Hypertextovodkaz"/>
          </w:rPr>
          <w:t>http://www.kr-karlovarsky.cz/samosprava/dokumenty/Stranky/koncepce/seznam/SS_zasady.aspx</w:t>
        </w:r>
      </w:hyperlink>
      <w:r>
        <w:t>.</w:t>
      </w:r>
    </w:p>
    <w:p w:rsidR="002747AE" w:rsidRDefault="002747AE" w:rsidP="000562C0">
      <w:pPr>
        <w:spacing w:after="120"/>
        <w:jc w:val="left"/>
      </w:pPr>
      <w:r>
        <w:t xml:space="preserve">TD kontext. </w:t>
      </w:r>
      <w:r w:rsidRPr="00673754">
        <w:rPr>
          <w:i/>
        </w:rPr>
        <w:t>Analýza sociálně vyloučených romských lokalit v Karlovarském kraji</w:t>
      </w:r>
      <w:r w:rsidRPr="00673754">
        <w:rPr>
          <w:color w:val="000000"/>
        </w:rPr>
        <w:t xml:space="preserve"> </w:t>
      </w:r>
      <w:r>
        <w:rPr>
          <w:color w:val="000000"/>
        </w:rPr>
        <w:t>[online].</w:t>
      </w:r>
      <w:r>
        <w:rPr>
          <w:i/>
        </w:rPr>
        <w:t xml:space="preserve"> </w:t>
      </w:r>
      <w:r>
        <w:t xml:space="preserve">2013. Dostupné z: </w:t>
      </w:r>
      <w:hyperlink r:id="rId132" w:history="1">
        <w:r w:rsidRPr="00264DE7">
          <w:rPr>
            <w:rStyle w:val="Hypertextovodkaz"/>
          </w:rPr>
          <w:t>http://www.kr-karlovarsky.cz/krajsky-urad/cinnosti/documents/analyza_final_final.pdf</w:t>
        </w:r>
      </w:hyperlink>
      <w:r>
        <w:t>.</w:t>
      </w:r>
    </w:p>
    <w:p w:rsidR="00005545" w:rsidRDefault="00005545" w:rsidP="002C40B2">
      <w:pPr>
        <w:spacing w:after="160"/>
        <w:jc w:val="left"/>
      </w:pPr>
      <w:r>
        <w:br w:type="page"/>
      </w:r>
    </w:p>
    <w:p w:rsidR="00005545" w:rsidRPr="003E4046" w:rsidRDefault="00BB135B" w:rsidP="00094A5B">
      <w:pPr>
        <w:pStyle w:val="Nadpis1"/>
      </w:pPr>
      <w:bookmarkStart w:id="334" w:name="_Toc321405936"/>
      <w:r w:rsidRPr="003E4046">
        <w:lastRenderedPageBreak/>
        <w:t xml:space="preserve"> </w:t>
      </w:r>
      <w:bookmarkStart w:id="335" w:name="_Toc488233398"/>
      <w:r w:rsidR="00005545" w:rsidRPr="003E4046">
        <w:t>Zdravotnictví</w:t>
      </w:r>
      <w:bookmarkEnd w:id="334"/>
      <w:bookmarkEnd w:id="335"/>
    </w:p>
    <w:p w:rsidR="00005545" w:rsidRDefault="00005545" w:rsidP="002C40B2">
      <w:pPr>
        <w:rPr>
          <w:rFonts w:ascii="Arial" w:hAnsi="Arial" w:cs="Arial"/>
          <w:color w:val="231F20"/>
          <w:sz w:val="21"/>
          <w:szCs w:val="21"/>
        </w:rPr>
      </w:pPr>
      <w:r>
        <w:t xml:space="preserve">Oblast zdravotnictví prošla </w:t>
      </w:r>
      <w:r w:rsidRPr="006D77B4">
        <w:t xml:space="preserve">v posledních letech výraznými změnami jak v oblasti legislativy tak strukturální. </w:t>
      </w:r>
      <w:r>
        <w:t xml:space="preserve">Karlovarský kraj </w:t>
      </w:r>
      <w:r w:rsidRPr="00445B3B">
        <w:t>jako</w:t>
      </w:r>
      <w:r>
        <w:rPr>
          <w:rFonts w:ascii="Arial" w:hAnsi="Arial" w:cs="Arial"/>
          <w:color w:val="231F20"/>
          <w:sz w:val="21"/>
          <w:szCs w:val="21"/>
        </w:rPr>
        <w:t xml:space="preserve"> </w:t>
      </w:r>
      <w:r w:rsidRPr="00B1565F">
        <w:t xml:space="preserve">zřizovatel </w:t>
      </w:r>
      <w:r>
        <w:t xml:space="preserve">a zakladatel </w:t>
      </w:r>
      <w:r w:rsidRPr="00B1565F">
        <w:t>zdravotnických zařízení</w:t>
      </w:r>
      <w:r>
        <w:t xml:space="preserve"> (dále ZZ)</w:t>
      </w:r>
      <w:r w:rsidRPr="00B1565F">
        <w:t xml:space="preserve"> a současně jako subjekt, na nějž byly přeneseny povinnosti ze zákonů č. 372/2011 Sb., o zdravotních službách </w:t>
      </w:r>
      <w:r w:rsidR="003E4046">
        <w:br/>
      </w:r>
      <w:r w:rsidRPr="00B1565F">
        <w:t xml:space="preserve">a podmínkách jejich poskytování, ve znění pozdějších předpisů a č. 374/2011 Sb., o zdravotnické záchranné službě, ve znění pozdějších předpisů, odborně dohlíží na organizaci, dostupnost a zabezpečení zdravotní péče </w:t>
      </w:r>
      <w:r>
        <w:t xml:space="preserve">v jím založených a zřízených ZZ tak, aby byla </w:t>
      </w:r>
      <w:r w:rsidRPr="00B1565F">
        <w:t>poskytovan</w:t>
      </w:r>
      <w:r>
        <w:t>á</w:t>
      </w:r>
      <w:r w:rsidRPr="00B1565F">
        <w:t xml:space="preserve"> v souladu se současnými poznatky lékařské vědy a ekonomickými možnostmi a sleduje úroveň poskytované zdravotní péče</w:t>
      </w:r>
      <w:r>
        <w:t>.</w:t>
      </w:r>
      <w:r>
        <w:rPr>
          <w:rFonts w:ascii="Arial" w:hAnsi="Arial" w:cs="Arial"/>
          <w:color w:val="231F20"/>
          <w:sz w:val="21"/>
          <w:szCs w:val="21"/>
        </w:rPr>
        <w:t xml:space="preserve"> </w:t>
      </w:r>
    </w:p>
    <w:p w:rsidR="00005545" w:rsidRPr="00AE46CF" w:rsidRDefault="00005545" w:rsidP="002C40B2">
      <w:pPr>
        <w:rPr>
          <w:i/>
          <w:iCs/>
        </w:rPr>
      </w:pPr>
      <w:r>
        <w:rPr>
          <w:i/>
          <w:iCs/>
        </w:rPr>
        <w:t>O</w:t>
      </w:r>
      <w:r w:rsidRPr="00AE46CF">
        <w:rPr>
          <w:i/>
          <w:iCs/>
        </w:rPr>
        <w:t>tázka:</w:t>
      </w:r>
    </w:p>
    <w:p w:rsidR="009E424D" w:rsidRDefault="00005545">
      <w:pPr>
        <w:pStyle w:val="Odstavecseseznamem"/>
        <w:numPr>
          <w:ilvl w:val="0"/>
          <w:numId w:val="14"/>
        </w:numPr>
        <w:rPr>
          <w:i/>
          <w:iCs/>
        </w:rPr>
      </w:pPr>
      <w:r w:rsidRPr="003E4046">
        <w:rPr>
          <w:i/>
          <w:iCs/>
        </w:rPr>
        <w:t>Jaká je kvalita a dostupnost zdravotnických služeb v </w:t>
      </w:r>
      <w:r w:rsidR="00FF42C4">
        <w:rPr>
          <w:i/>
          <w:iCs/>
        </w:rPr>
        <w:t>KK</w:t>
      </w:r>
      <w:r w:rsidRPr="003E4046">
        <w:rPr>
          <w:i/>
          <w:iCs/>
        </w:rPr>
        <w:t xml:space="preserve"> z pohledu územních potřeb? </w:t>
      </w:r>
    </w:p>
    <w:p w:rsidR="00005545" w:rsidRDefault="00005545" w:rsidP="002C40B2">
      <w:r>
        <w:t>Díky své historii usiluje Karlovarský kraj v první řadě o svébytnost regionálního zdravotnictví a určitou nezávislost pokud se týká specializované péče. Proto kraj v posledních letech investuje do zdravotnictví v kraji tak, aby nešlo jen o pouhou reprodukci, ale především o rozvoj této oblasti.</w:t>
      </w:r>
    </w:p>
    <w:p w:rsidR="00005545" w:rsidRDefault="00005545" w:rsidP="002C40B2">
      <w:r>
        <w:t>V současné době fungují na území kraje v oblasti zdravotnictví tyto</w:t>
      </w:r>
      <w:r w:rsidRPr="006D77B4">
        <w:t xml:space="preserve"> </w:t>
      </w:r>
      <w:r w:rsidR="00F20CC7">
        <w:t xml:space="preserve">příspěvkové </w:t>
      </w:r>
      <w:r w:rsidRPr="006D77B4">
        <w:t>organizace</w:t>
      </w:r>
      <w:r w:rsidR="00F20CC7">
        <w:t>:</w:t>
      </w:r>
      <w:r>
        <w:t xml:space="preserve"> Zdravotnická záchranná služba Karlovarského kraje</w:t>
      </w:r>
      <w:r w:rsidR="00F20CC7">
        <w:t xml:space="preserve">, </w:t>
      </w:r>
      <w:r>
        <w:t>Krajský dětský domov pro děti do 3 let, Zařízení následné</w:t>
      </w:r>
      <w:r w:rsidR="00F20CC7">
        <w:t xml:space="preserve"> rehabilitační a hospicové péče. Z nemocničních zařízení zde působí</w:t>
      </w:r>
      <w:r>
        <w:t xml:space="preserve"> </w:t>
      </w:r>
      <w:r w:rsidRPr="006D77B4">
        <w:t>Karlovarská krajská nemocnice</w:t>
      </w:r>
      <w:r>
        <w:t xml:space="preserve">, </w:t>
      </w:r>
      <w:r w:rsidR="00774D48">
        <w:t>a. s. (</w:t>
      </w:r>
      <w:r w:rsidRPr="006D77B4">
        <w:t xml:space="preserve">KKN), </w:t>
      </w:r>
      <w:r>
        <w:t>kterou tvoří Nemocnice Karlovy Vary a Nemocnice Cheb</w:t>
      </w:r>
      <w:r w:rsidR="00F20CC7">
        <w:t xml:space="preserve"> a</w:t>
      </w:r>
      <w:r>
        <w:t xml:space="preserve"> soukromé nemocnice v Sokolově a Ostrově</w:t>
      </w:r>
      <w:r w:rsidR="00F20CC7">
        <w:t xml:space="preserve"> (n</w:t>
      </w:r>
      <w:r>
        <w:t xml:space="preserve">emocnice Sokolov </w:t>
      </w:r>
      <w:r w:rsidR="00F20CC7">
        <w:t xml:space="preserve">byla </w:t>
      </w:r>
      <w:r>
        <w:t xml:space="preserve">od 1. 1. 2011 </w:t>
      </w:r>
      <w:r w:rsidRPr="006D77B4">
        <w:t>vyčleněn</w:t>
      </w:r>
      <w:r>
        <w:t xml:space="preserve">a </w:t>
      </w:r>
      <w:r w:rsidR="00F20CC7">
        <w:t xml:space="preserve">z KKN </w:t>
      </w:r>
      <w:r>
        <w:t>a prona</w:t>
      </w:r>
      <w:r w:rsidRPr="006D77B4">
        <w:t>j</w:t>
      </w:r>
      <w:r>
        <w:t>ata soukromému subjektu</w:t>
      </w:r>
      <w:r w:rsidR="00F20CC7">
        <w:t>)</w:t>
      </w:r>
      <w:r w:rsidRPr="006D77B4">
        <w:t>.</w:t>
      </w:r>
    </w:p>
    <w:p w:rsidR="00005545" w:rsidRPr="00774D48" w:rsidRDefault="00005545" w:rsidP="002C40B2">
      <w:r>
        <w:t xml:space="preserve">V roce 2009 byla vytvořena </w:t>
      </w:r>
      <w:r w:rsidRPr="00606465">
        <w:rPr>
          <w:i/>
        </w:rPr>
        <w:t>Strategie zdravotnictví v Karlovarském kraji</w:t>
      </w:r>
      <w:r>
        <w:rPr>
          <w:i/>
        </w:rPr>
        <w:t>,</w:t>
      </w:r>
      <w:r w:rsidRPr="006D77B4">
        <w:t xml:space="preserve"> </w:t>
      </w:r>
      <w:r>
        <w:t>která představuje hlavní směry rozvoje zdravotní péče pro období 2009 – 2019.</w:t>
      </w:r>
      <w:r w:rsidR="00774D48">
        <w:t xml:space="preserve"> </w:t>
      </w:r>
      <w:r>
        <w:t xml:space="preserve">V roce 2015 pak vznikla </w:t>
      </w:r>
      <w:r w:rsidRPr="00DC1392">
        <w:rPr>
          <w:i/>
        </w:rPr>
        <w:t>Koncepce uspořádání akutní lůžkové péče</w:t>
      </w:r>
      <w:r w:rsidRPr="006D77B4">
        <w:t>, kter</w:t>
      </w:r>
      <w:r>
        <w:t xml:space="preserve">ou je řešeno </w:t>
      </w:r>
      <w:r w:rsidRPr="009A5916">
        <w:t>zmapov</w:t>
      </w:r>
      <w:r>
        <w:t>ání</w:t>
      </w:r>
      <w:r w:rsidRPr="009A5916">
        <w:t xml:space="preserve"> současn</w:t>
      </w:r>
      <w:r>
        <w:t>ého</w:t>
      </w:r>
      <w:r w:rsidRPr="009A5916">
        <w:t xml:space="preserve"> stav</w:t>
      </w:r>
      <w:r>
        <w:t>u</w:t>
      </w:r>
      <w:r w:rsidRPr="009A5916">
        <w:t xml:space="preserve"> lůžkové péče v Karlovarském kraji </w:t>
      </w:r>
      <w:r w:rsidR="00774D48">
        <w:br/>
      </w:r>
      <w:r w:rsidRPr="009A5916">
        <w:t xml:space="preserve">a </w:t>
      </w:r>
      <w:r>
        <w:t>navržení takové</w:t>
      </w:r>
      <w:r w:rsidRPr="009A5916">
        <w:t xml:space="preserve"> </w:t>
      </w:r>
      <w:r>
        <w:t xml:space="preserve">budoucí struktury, která </w:t>
      </w:r>
      <w:r w:rsidRPr="00C83F17">
        <w:t xml:space="preserve">občanům zajistí co nejlepší zdravotní péči poskytovanou co nejefektivnějším způsobem. </w:t>
      </w:r>
    </w:p>
    <w:p w:rsidR="00005545" w:rsidRDefault="00005545" w:rsidP="002C40B2">
      <w:bookmarkStart w:id="336" w:name="_Ref310519469"/>
      <w:bookmarkStart w:id="337" w:name="_Toc321406443"/>
      <w:bookmarkStart w:id="338" w:name="_Ref310523638"/>
      <w:r>
        <w:t>Na konci roku 2013 působilo v</w:t>
      </w:r>
      <w:r w:rsidRPr="006D77B4">
        <w:t> Karlovarském kraji</w:t>
      </w:r>
      <w:r>
        <w:t xml:space="preserve"> </w:t>
      </w:r>
      <w:r w:rsidRPr="006D77B4">
        <w:t>celkem 5</w:t>
      </w:r>
      <w:r>
        <w:t> </w:t>
      </w:r>
      <w:r w:rsidRPr="006D77B4">
        <w:t>nemocnic, ve kterých pracovalo celkem 3</w:t>
      </w:r>
      <w:r>
        <w:t>79</w:t>
      </w:r>
      <w:r w:rsidRPr="006D77B4">
        <w:t xml:space="preserve"> lékařů, což je v absolutním počtu o 5</w:t>
      </w:r>
      <w:r>
        <w:t>2 více než v roce 2010</w:t>
      </w:r>
      <w:r w:rsidRPr="006D77B4">
        <w:t xml:space="preserve">. V lůžkové části působilo </w:t>
      </w:r>
      <w:r>
        <w:t>245</w:t>
      </w:r>
      <w:r w:rsidRPr="006D77B4">
        <w:t xml:space="preserve"> lékařů, v přepočtu na 10 000 obyvatel </w:t>
      </w:r>
      <w:r>
        <w:t>8,18</w:t>
      </w:r>
      <w:r w:rsidRPr="006D77B4">
        <w:t xml:space="preserve">. Nemocnice disponovaly celkem </w:t>
      </w:r>
      <w:r>
        <w:t>1372</w:t>
      </w:r>
      <w:r w:rsidRPr="006D77B4">
        <w:t xml:space="preserve"> lůžky (v porovnání s rokem 20</w:t>
      </w:r>
      <w:r>
        <w:t>10</w:t>
      </w:r>
      <w:r w:rsidRPr="006D77B4">
        <w:t xml:space="preserve"> pokles o </w:t>
      </w:r>
      <w:r>
        <w:t>241</w:t>
      </w:r>
      <w:r w:rsidRPr="006D77B4">
        <w:t xml:space="preserve"> lůžek), přičemž roční využití lůžek činilo </w:t>
      </w:r>
      <w:r>
        <w:t>260 dnů</w:t>
      </w:r>
      <w:r w:rsidRPr="006D77B4">
        <w:t xml:space="preserve">. Dále v kraji působí 5 odborných léčebných ústavů </w:t>
      </w:r>
      <w:r>
        <w:t xml:space="preserve">– léčeben dlouhodobě nemocných </w:t>
      </w:r>
      <w:r w:rsidRPr="006D77B4">
        <w:t>s celkovým počtem 4</w:t>
      </w:r>
      <w:r>
        <w:t>55</w:t>
      </w:r>
      <w:r w:rsidRPr="006D77B4">
        <w:t xml:space="preserve"> lůžek (</w:t>
      </w:r>
      <w:r>
        <w:t>nárůst</w:t>
      </w:r>
      <w:r w:rsidRPr="006D77B4">
        <w:t xml:space="preserve"> oproti roku 20</w:t>
      </w:r>
      <w:r>
        <w:t>10 o 22</w:t>
      </w:r>
      <w:r w:rsidRPr="006D77B4">
        <w:t xml:space="preserve"> lůžek)</w:t>
      </w:r>
      <w:r>
        <w:t xml:space="preserve"> </w:t>
      </w:r>
      <w:r w:rsidRPr="006D77B4">
        <w:t xml:space="preserve">a </w:t>
      </w:r>
      <w:r w:rsidRPr="00F43CC6">
        <w:t>700 samostatných</w:t>
      </w:r>
      <w:r w:rsidRPr="006D77B4">
        <w:t xml:space="preserve"> ambulantních zařízení. Karlovarský kraj je zřizovatelem </w:t>
      </w:r>
      <w:r w:rsidRPr="008A7D5D">
        <w:t>Z</w:t>
      </w:r>
      <w:hyperlink r:id="rId133" w:history="1">
        <w:r w:rsidRPr="008A7D5D">
          <w:rPr>
            <w:rFonts w:cs="Arial"/>
            <w:bCs/>
          </w:rPr>
          <w:t>ařízení následné rehabilitační a hospicové péče, p</w:t>
        </w:r>
        <w:r w:rsidR="00774D48">
          <w:rPr>
            <w:rFonts w:cs="Arial"/>
            <w:bCs/>
          </w:rPr>
          <w:t>.</w:t>
        </w:r>
      </w:hyperlink>
      <w:r w:rsidR="00774D48">
        <w:rPr>
          <w:rFonts w:cs="Arial"/>
          <w:bCs/>
        </w:rPr>
        <w:t xml:space="preserve"> o.</w:t>
      </w:r>
      <w:r w:rsidRPr="008A7D5D">
        <w:rPr>
          <w:rFonts w:cs="Arial"/>
          <w:bCs/>
        </w:rPr>
        <w:t xml:space="preserve"> O</w:t>
      </w:r>
      <w:r w:rsidRPr="008A7D5D">
        <w:t xml:space="preserve">statní zařízení jsou soukromé </w:t>
      </w:r>
      <w:r w:rsidRPr="006D77B4">
        <w:t>subjekty bez vlastnického podílu kraje nebo obcí (</w:t>
      </w:r>
      <w:r w:rsidR="004F2330">
        <w:fldChar w:fldCharType="begin"/>
      </w:r>
      <w:r w:rsidR="004F2330">
        <w:instrText xml:space="preserve"> REF _Ref464644264 \h  \* MERGEFORMAT </w:instrText>
      </w:r>
      <w:r w:rsidR="004F2330">
        <w:fldChar w:fldCharType="separate"/>
      </w:r>
      <w:r w:rsidR="003E6BE0">
        <w:t>o</w:t>
      </w:r>
      <w:r w:rsidR="00CB29BD" w:rsidRPr="00EB42BF">
        <w:t xml:space="preserve">brázek </w:t>
      </w:r>
      <w:r w:rsidR="00CB29BD">
        <w:rPr>
          <w:noProof/>
        </w:rPr>
        <w:t>13</w:t>
      </w:r>
      <w:r w:rsidR="00CB29BD">
        <w:t>.1</w:t>
      </w:r>
      <w:r w:rsidR="004F2330">
        <w:fldChar w:fldCharType="end"/>
      </w:r>
      <w:r w:rsidRPr="006D77B4">
        <w:t xml:space="preserve">). Karlovarský kraj je také zřizovatelem </w:t>
      </w:r>
      <w:r>
        <w:t xml:space="preserve">Krajského </w:t>
      </w:r>
      <w:r w:rsidRPr="006D77B4">
        <w:t>dětsk</w:t>
      </w:r>
      <w:r>
        <w:t>ého</w:t>
      </w:r>
      <w:r w:rsidRPr="006D77B4">
        <w:t xml:space="preserve"> domov</w:t>
      </w:r>
      <w:r>
        <w:t>a</w:t>
      </w:r>
      <w:r w:rsidRPr="006D77B4">
        <w:t xml:space="preserve"> pro děti</w:t>
      </w:r>
      <w:r>
        <w:t xml:space="preserve"> do 3 let, </w:t>
      </w:r>
      <w:r w:rsidR="00774D48">
        <w:t>p. o.</w:t>
      </w:r>
      <w:r>
        <w:t>, s celkovou kapacitou 5</w:t>
      </w:r>
      <w:r w:rsidRPr="006D77B4">
        <w:t xml:space="preserve">0 lůžek. </w:t>
      </w:r>
      <w:r w:rsidRPr="00F43CC6">
        <w:t>Ambulantní péče</w:t>
      </w:r>
      <w:r w:rsidRPr="00F43CC6">
        <w:rPr>
          <w:rFonts w:cs="Times New Roman"/>
          <w:vertAlign w:val="superscript"/>
        </w:rPr>
        <w:footnoteReference w:id="27"/>
      </w:r>
      <w:r w:rsidRPr="00F43CC6">
        <w:t xml:space="preserve"> je </w:t>
      </w:r>
      <w:r>
        <w:t>k 31.</w:t>
      </w:r>
      <w:r w:rsidR="00774D48">
        <w:t xml:space="preserve"> </w:t>
      </w:r>
      <w:r>
        <w:t>12.</w:t>
      </w:r>
      <w:r w:rsidR="00774D48">
        <w:t xml:space="preserve"> </w:t>
      </w:r>
      <w:r>
        <w:t>2013 </w:t>
      </w:r>
      <w:r w:rsidRPr="00F43CC6">
        <w:t xml:space="preserve">poskytována prostřednictvím více než </w:t>
      </w:r>
      <w:r>
        <w:t>126</w:t>
      </w:r>
      <w:r w:rsidRPr="00F43CC6">
        <w:t xml:space="preserve"> praktických lékařů pro dospělé, </w:t>
      </w:r>
      <w:r>
        <w:t>60</w:t>
      </w:r>
      <w:r w:rsidRPr="00F43CC6">
        <w:t xml:space="preserve"> lékařů pro děti a dorost, 15</w:t>
      </w:r>
      <w:r>
        <w:t>8</w:t>
      </w:r>
      <w:r w:rsidRPr="00F43CC6">
        <w:t xml:space="preserve"> stomatologů a dalších 2</w:t>
      </w:r>
      <w:r>
        <w:t>28</w:t>
      </w:r>
      <w:r w:rsidRPr="00F43CC6">
        <w:t xml:space="preserve"> specialistů.</w:t>
      </w:r>
      <w:r w:rsidRPr="006D77B4">
        <w:t xml:space="preserve"> Velké zastoupení má v Karlovarském kraji </w:t>
      </w:r>
      <w:r w:rsidRPr="006D77B4">
        <w:lastRenderedPageBreak/>
        <w:t>lázeňství (v roce 201</w:t>
      </w:r>
      <w:r>
        <w:t xml:space="preserve">3 bylo evidováno </w:t>
      </w:r>
      <w:r w:rsidRPr="006D77B4">
        <w:t>4</w:t>
      </w:r>
      <w:r>
        <w:t>5</w:t>
      </w:r>
      <w:r w:rsidRPr="006D77B4">
        <w:t xml:space="preserve"> lázeňských léčeben s </w:t>
      </w:r>
      <w:r>
        <w:t>12 36</w:t>
      </w:r>
      <w:r w:rsidRPr="006D77B4">
        <w:t>0 lůžky)</w:t>
      </w:r>
      <w:r>
        <w:t>. J</w:t>
      </w:r>
      <w:r w:rsidRPr="006D77B4">
        <w:t>iné odborné ústavy se v kraji nenachází.</w:t>
      </w:r>
      <w:r w:rsidRPr="0057396D">
        <w:t xml:space="preserve"> </w:t>
      </w:r>
      <w:r>
        <w:t>Ve struktuře sítě zdravotnických zařízení v kraji došlo k jediné změně, a to v nemocnici v Mariánských Lázních, která přestala od 12.</w:t>
      </w:r>
      <w:r w:rsidR="00774D48">
        <w:t xml:space="preserve"> </w:t>
      </w:r>
      <w:r>
        <w:t>8.</w:t>
      </w:r>
      <w:r w:rsidR="00774D48">
        <w:t xml:space="preserve"> </w:t>
      </w:r>
      <w:r>
        <w:t>2014 poskytovat akutní lůžkovou péči (</w:t>
      </w:r>
      <w:r w:rsidRPr="00AB30D5">
        <w:t>ambulantní péči, následnou lůžkovou péči a dlouhodobou lůžkovou péči však poskytuje i nadále)</w:t>
      </w:r>
      <w:r>
        <w:t xml:space="preserve">. </w:t>
      </w:r>
    </w:p>
    <w:p w:rsidR="00005545" w:rsidRPr="00472777" w:rsidRDefault="00D05E50" w:rsidP="000B3B9C">
      <w:pPr>
        <w:pStyle w:val="Titulek"/>
      </w:pPr>
      <w:bookmarkStart w:id="339" w:name="_Ref464644264"/>
      <w:bookmarkEnd w:id="336"/>
      <w:r>
        <w:pict w14:anchorId="5A47514A">
          <v:group id="Skupina 331" o:spid="_x0000_s1026" style="position:absolute;left:0;text-align:left;margin-left:11.85pt;margin-top:-5.2pt;width:444.65pt;height:322.95pt;z-index:-251657216;mso-position-horizontal-relative:margin" coordorigin="-2287,-95" coordsize="61731,40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">
            <v:group id="Skupina 332" o:spid="_x0000_s1027" style="position:absolute;left:-2287;top:-95;width:61731;height:40752" coordorigin="-2424,-515" coordsize="60164,40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Skupina 336" o:spid="_x0000_s1028" style="position:absolute;left:-2424;top:-515;width:60164;height:40752" coordorigin="-3559,-1018" coordsize="60295,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Skupina 337" o:spid="_x0000_s1029" style="position:absolute;left:-840;top:-1018;width:57576;height:40796" coordorigin="-840,-1018" coordsize="57576,4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38" o:spid="_x0000_s1030" type="#_x0000_t75" style="position:absolute;left:-840;top:-1018;width:57576;height:407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6cCDAAAAA2wAAAA8AAABkcnMvZG93bnJldi54bWxEj0GLwjAUhO8L/ofwBG9rqoJoNYoIghcP&#10;WxXx9miebbF5KUm09d+bBcHjMDPfMMt1Z2rxJOcrywpGwwQEcW51xYWC03H3OwPhA7LG2jIpeJGH&#10;9ar3s8RU25b/6JmFQkQI+xQVlCE0qZQ+L8mgH9qGOHo36wyGKF0htcM2wk0tx0kylQYrjgslNrQt&#10;Kb9nD6Og2bTSbPkQRs6eb/5yrCZ4zZQa9LvNAkSgLnzDn/ZeK5jO4f9L/AF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pwIMAAAADbAAAADwAAAAAAAAAAAAAAAACfAgAA&#10;ZHJzL2Rvd25yZXYueG1sUEsFBgAAAAAEAAQA9wAAAIwDAAAAAA==&#10;">
                    <v:imagedata r:id="rId134" o:title=""/>
                    <v:path arrowok="t"/>
                  </v:shape>
                  <v:shapetype id="_x0000_t202" coordsize="21600,21600" o:spt="202" path="m,l,21600r21600,l21600,xe">
                    <v:stroke joinstyle="miter"/>
                    <v:path gradientshapeok="t" o:connecttype="rect"/>
                  </v:shapetype>
                  <v:shape id="Textové pole 339" o:spid="_x0000_s1031" type="#_x0000_t202" style="position:absolute;left:2654;top:-647;width:26899;height:625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4T8AA&#10;AADbAAAADwAAAGRycy9kb3ducmV2LnhtbERPTYvCMBC9C/6HMMLeNLWKlWosIix48LJdUY9DM7bF&#10;ZlKabO366zcHYY+P973NBtOInjpXW1Ywn0UgiAuray4VnL8/p2sQziNrbCyTgl9ykO3Goy2m2j75&#10;i/rclyKEsEtRQeV9m0rpiooMupltiQN3t51BH2BXSt3hM4SbRsZRtJIGaw4NFbZ0qKh45D9GQbx6&#10;LZ1L8uuNSzksLF2KyylW6mMy7DcgPA3+X/x2H7WCJKwPX8IP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s4T8AAAADbAAAADwAAAAAAAAAAAAAAAACYAgAAZHJzL2Rvd25y&#10;ZXYueG1sUEsFBgAAAAAEAAQA9QAAAIUDAAAAAA==&#10;" stroked="f" strokeweight=".5pt">
                    <v:textbox style="mso-next-textbox:#Textové pole 339">
                      <w:txbxContent>
                        <w:p w:rsidR="0095288C" w:rsidRDefault="0095288C" w:rsidP="00005545"/>
                      </w:txbxContent>
                    </v:textbox>
                  </v:shape>
                </v:group>
                <v:shape id="Text Box 8" o:spid="_x0000_s1032" type="#_x0000_t202" style="position:absolute;left:-3559;top:28634;width:17283;height:10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style="mso-next-textbox:#Text Box 8">
                    <w:txbxContent>
                      <w:p w:rsidR="0095288C" w:rsidRPr="000562C0" w:rsidRDefault="0095288C" w:rsidP="00005545">
                        <w:pPr>
                          <w:spacing w:after="20" w:line="240" w:lineRule="auto"/>
                          <w:rPr>
                            <w:sz w:val="16"/>
                            <w:szCs w:val="18"/>
                          </w:rPr>
                        </w:pPr>
                        <w:r w:rsidRPr="000562C0">
                          <w:rPr>
                            <w:rFonts w:cs="Times New Roman"/>
                            <w:noProof/>
                            <w:sz w:val="16"/>
                            <w:szCs w:val="18"/>
                          </w:rPr>
                          <w:drawing>
                            <wp:inline distT="0" distB="0" distL="0" distR="0">
                              <wp:extent cx="104775" cy="104775"/>
                              <wp:effectExtent l="0" t="0" r="9525" b="9525"/>
                              <wp:docPr id="31"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562C0">
                          <w:rPr>
                            <w:sz w:val="16"/>
                            <w:szCs w:val="18"/>
                          </w:rPr>
                          <w:t xml:space="preserve">  KKN a.s. –  zakladatelem kraj</w:t>
                        </w:r>
                      </w:p>
                      <w:p w:rsidR="0095288C" w:rsidRPr="000562C0" w:rsidRDefault="0095288C" w:rsidP="00005545">
                        <w:pPr>
                          <w:spacing w:after="20" w:line="240" w:lineRule="auto"/>
                          <w:rPr>
                            <w:sz w:val="16"/>
                            <w:szCs w:val="18"/>
                          </w:rPr>
                        </w:pPr>
                        <w:r w:rsidRPr="000562C0">
                          <w:rPr>
                            <w:rFonts w:cs="Times New Roman"/>
                            <w:noProof/>
                            <w:sz w:val="16"/>
                            <w:szCs w:val="18"/>
                          </w:rPr>
                          <w:drawing>
                            <wp:inline distT="0" distB="0" distL="0" distR="0">
                              <wp:extent cx="133350" cy="104775"/>
                              <wp:effectExtent l="0" t="0" r="0" b="9525"/>
                              <wp:docPr id="224"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562C0">
                          <w:rPr>
                            <w:sz w:val="16"/>
                            <w:szCs w:val="18"/>
                          </w:rPr>
                          <w:t xml:space="preserve"> nemocnice – soukr. subjekty</w:t>
                        </w:r>
                      </w:p>
                      <w:p w:rsidR="0095288C" w:rsidRPr="000562C0" w:rsidRDefault="0095288C" w:rsidP="00005545">
                        <w:pPr>
                          <w:spacing w:after="20" w:line="240" w:lineRule="auto"/>
                          <w:rPr>
                            <w:sz w:val="16"/>
                            <w:szCs w:val="18"/>
                          </w:rPr>
                        </w:pPr>
                        <w:r w:rsidRPr="000562C0">
                          <w:rPr>
                            <w:noProof/>
                            <w:sz w:val="20"/>
                          </w:rPr>
                          <w:drawing>
                            <wp:inline distT="0" distB="0" distL="0" distR="0">
                              <wp:extent cx="104775" cy="104775"/>
                              <wp:effectExtent l="0" t="0" r="9525" b="9525"/>
                              <wp:docPr id="232"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562C0">
                          <w:rPr>
                            <w:sz w:val="16"/>
                            <w:szCs w:val="18"/>
                          </w:rPr>
                          <w:t xml:space="preserve">  ZZS KK – oblastní středisko</w:t>
                        </w:r>
                      </w:p>
                      <w:p w:rsidR="0095288C" w:rsidRPr="000562C0" w:rsidRDefault="0095288C" w:rsidP="00005545">
                        <w:pPr>
                          <w:spacing w:after="20" w:line="240" w:lineRule="auto"/>
                          <w:rPr>
                            <w:sz w:val="16"/>
                            <w:szCs w:val="18"/>
                          </w:rPr>
                        </w:pPr>
                        <w:r w:rsidRPr="000562C0">
                          <w:rPr>
                            <w:rFonts w:cs="Times New Roman"/>
                            <w:noProof/>
                            <w:sz w:val="16"/>
                            <w:szCs w:val="18"/>
                          </w:rPr>
                          <w:drawing>
                            <wp:inline distT="0" distB="0" distL="0" distR="0">
                              <wp:extent cx="104775" cy="104775"/>
                              <wp:effectExtent l="0" t="0" r="9525" b="9525"/>
                              <wp:docPr id="233"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562C0">
                          <w:rPr>
                            <w:sz w:val="16"/>
                            <w:szCs w:val="18"/>
                          </w:rPr>
                          <w:t xml:space="preserve">  ZZS KK – výjezd. základna </w:t>
                        </w:r>
                      </w:p>
                      <w:p w:rsidR="0095288C" w:rsidRPr="000562C0" w:rsidRDefault="0095288C" w:rsidP="00005545">
                        <w:pPr>
                          <w:spacing w:after="20" w:line="240" w:lineRule="auto"/>
                          <w:rPr>
                            <w:sz w:val="16"/>
                            <w:szCs w:val="18"/>
                          </w:rPr>
                        </w:pPr>
                        <w:r w:rsidRPr="000562C0">
                          <w:rPr>
                            <w:rFonts w:cs="Times New Roman"/>
                            <w:noProof/>
                            <w:sz w:val="16"/>
                            <w:szCs w:val="18"/>
                          </w:rPr>
                          <w:drawing>
                            <wp:inline distT="0" distB="0" distL="0" distR="0">
                              <wp:extent cx="104775" cy="104775"/>
                              <wp:effectExtent l="0" t="0" r="9525" b="9525"/>
                              <wp:docPr id="23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4"/>
                                      <pic:cNvPicPr>
                                        <a:picLocks noChangeAspect="1" noChangeArrowheads="1"/>
                                      </pic:cNvPicPr>
                                    </pic:nvPicPr>
                                    <pic:blipFill>
                                      <a:blip r:embed="rId139">
                                        <a:extLst>
                                          <a:ext uri="{28A0092B-C50C-407E-A947-70E740481C1C}">
                                            <a14:useLocalDpi xmlns:a14="http://schemas.microsoft.com/office/drawing/2010/main" val="0"/>
                                          </a:ext>
                                        </a:extLst>
                                      </a:blip>
                                      <a:srcRect b="-2083"/>
                                      <a:stretch>
                                        <a:fillRect/>
                                      </a:stretch>
                                    </pic:blipFill>
                                    <pic:spPr bwMode="auto">
                                      <a:xfrm>
                                        <a:off x="0" y="0"/>
                                        <a:ext cx="104775" cy="104775"/>
                                      </a:xfrm>
                                      <a:prstGeom prst="rect">
                                        <a:avLst/>
                                      </a:prstGeom>
                                      <a:noFill/>
                                      <a:ln>
                                        <a:noFill/>
                                      </a:ln>
                                    </pic:spPr>
                                  </pic:pic>
                                </a:graphicData>
                              </a:graphic>
                            </wp:inline>
                          </w:drawing>
                        </w:r>
                        <w:r w:rsidRPr="000562C0">
                          <w:rPr>
                            <w:noProof/>
                            <w:sz w:val="16"/>
                            <w:szCs w:val="18"/>
                          </w:rPr>
                          <w:t xml:space="preserve">  REHOS</w:t>
                        </w:r>
                        <w:r w:rsidRPr="000562C0">
                          <w:rPr>
                            <w:sz w:val="16"/>
                            <w:szCs w:val="18"/>
                          </w:rPr>
                          <w:t xml:space="preserve">  – PO kraje</w:t>
                        </w:r>
                      </w:p>
                      <w:p w:rsidR="0095288C" w:rsidRPr="000562C0" w:rsidRDefault="0095288C" w:rsidP="00005545">
                        <w:pPr>
                          <w:spacing w:after="0" w:line="240" w:lineRule="auto"/>
                          <w:rPr>
                            <w:sz w:val="16"/>
                            <w:szCs w:val="18"/>
                          </w:rPr>
                        </w:pPr>
                        <w:r w:rsidRPr="000562C0">
                          <w:rPr>
                            <w:rFonts w:cs="Times New Roman"/>
                            <w:noProof/>
                            <w:sz w:val="16"/>
                            <w:szCs w:val="18"/>
                          </w:rPr>
                          <w:drawing>
                            <wp:inline distT="0" distB="0" distL="0" distR="0">
                              <wp:extent cx="104775" cy="104775"/>
                              <wp:effectExtent l="0" t="0" r="9525" b="9525"/>
                              <wp:docPr id="235"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562C0">
                          <w:rPr>
                            <w:sz w:val="16"/>
                            <w:szCs w:val="18"/>
                          </w:rPr>
                          <w:t xml:space="preserve">  LDN – soukromé subjekty</w:t>
                        </w:r>
                      </w:p>
                    </w:txbxContent>
                  </v:textbox>
                </v:shape>
              </v:group>
              <v:rect id="Obdélník 341" o:spid="_x0000_s1033" style="position:absolute;left:14121;top:33422;width:5381;height:5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ZGsQA&#10;AADbAAAADwAAAGRycy9kb3ducmV2LnhtbESPQWvCQBSE7wX/w/IEb7pRSi2pqxRBSE9qKurxkX3d&#10;hGbfhuxqYn+9Kwg9DjPzDbNY9bYWV2p95VjBdJKAIC6crtgoOHxvxu8gfEDWWDsmBTfysFoOXhaY&#10;atfxnq55MCJC2KeooAyhSaX0RUkW/cQ1xNH7ca3FEGVrpG6xi3Bby1mSvEmLFceFEhtal1T85her&#10;YHczh7++OX2ZYovdMdud8+z8qtRo2H9+gAjUh//ws51pBfM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mRrEAAAA2wAAAA8AAAAAAAAAAAAAAAAAmAIAAGRycy9k&#10;b3ducmV2LnhtbFBLBQYAAAAABAAEAPUAAACJAwAAAAA=&#10;" strokecolor="white" strokeweight="2pt"/>
            </v:group>
            <v:group id="Skupina 342" o:spid="_x0000_s1034" style="position:absolute;left:10169;top:11451;width:37288;height:21200" coordsize="37288,2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oval id="Ovál 343" o:spid="_x0000_s1035" style="position:absolute;left:36234;top:13758;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r98MA&#10;AADbAAAADwAAAGRycy9kb3ducmV2LnhtbESPQWsCMRSE7wX/Q3hCbzVraa3dGkUKWg8erApeH8lz&#10;dzF52Saprv/eCIUeh5n5hpnMOmfFmUJsPCsYDgoQxNqbhisF+93iaQwiJmSD1jMpuFKE2bT3MMHS&#10;+At/03mbKpEhHEtUUKfUllJGXZPDOPAtcfaOPjhMWYZKmoCXDHdWPhfFSDpsOC/U2NJnTfq0/XUK&#10;1su1HdrNezh8nUavdrnQ/MNaqcd+N/8AkahL/+G/9sooeHuB+5f8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5r98MAAADbAAAADwAAAAAAAAAAAAAAAACYAgAAZHJzL2Rv&#10;d25yZXYueG1sUEsFBgAAAAAEAAQA9QAAAIgDAAAAAA==&#10;" fillcolor="#bef397" strokecolor="#00b050" strokeweight="1pt">
                <v:fill color2="#eafae0" rotate="t" angle="45" colors="0 #bef397;.5 #d5f6c0;1 #eafae0" focus="100%" type="gradient"/>
              </v:oval>
              <v:oval id="Ovál 344" o:spid="_x0000_s1036" style="position:absolute;left:29910;top:17689;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ObMQA&#10;AADbAAAADwAAAGRycy9kb3ducmV2LnhtbESPzWsCMRTE7wX/h/AKvWnWgh/dGkUKWg8e/Cj0+khe&#10;dxeTl22S6vrfG0HocZiZ3zCzReesOFOIjWcFw0EBglh703Cl4Ou46k9BxIRs0HomBVeKsJj3nmZY&#10;Gn/hPZ0PqRIZwrFEBXVKbSll1DU5jAPfEmfvxweHKctQSRPwkuHOyteiGEuHDeeFGlv6qEmfDn9O&#10;wXa9tUO7ewvfn6fxyK5Xmn9ZK/Xy3C3fQSTq0n/40d4YBZMR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zmzEAAAA2wAAAA8AAAAAAAAAAAAAAAAAmAIAAGRycy9k&#10;b3ducmV2LnhtbFBLBQYAAAAABAAEAPUAAACJAwAAAAA=&#10;" fillcolor="#bef397" strokecolor="#00b050" strokeweight="1pt">
                <v:fill color2="#eafae0" rotate="t" angle="45" colors="0 #bef397;.5 #d5f6c0;1 #eafae0" focus="100%" type="gradient"/>
              </v:oval>
              <v:oval id="Ovál 345" o:spid="_x0000_s1037" style="position:absolute;left:20253;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QG8MA&#10;AADbAAAADwAAAGRycy9kb3ducmV2LnhtbESPQWsCMRSE7wX/Q3hCbzVrwW27GkUKWg8eWlvo9ZE8&#10;dxeTlzWJuv57IxR6HGbmG2a26J0VZwqx9axgPCpAEGtvWq4V/Hyvnl5BxIRs0HomBVeKsJgPHmZY&#10;GX/hLzrvUi0yhGOFCpqUukrKqBtyGEe+I87e3geHKctQSxPwkuHOyueiKKXDlvNCgx29N6QPu5NT&#10;sF1v7dh+voXfj0M5seuV5iNrpR6H/XIKIlGf/sN/7Y1R8FLC/Uv+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QG8MAAADbAAAADwAAAAAAAAAAAAAAAACYAgAAZHJzL2Rv&#10;d25yZXYueG1sUEsFBgAAAAAEAAQA9QAAAIgDAAAAAA==&#10;" fillcolor="#bef397" strokecolor="#00b050" strokeweight="1pt">
                <v:fill color2="#eafae0" rotate="t" angle="45" colors="0 #bef397;.5 #d5f6c0;1 #eafae0" focus="100%" type="gradient"/>
              </v:oval>
              <v:oval id="Ovál 346" o:spid="_x0000_s1038" style="position:absolute;top:5725;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1gMQA&#10;AADbAAAADwAAAGRycy9kb3ducmV2LnhtbESPzWsCMRTE7wX/h/AKvWnWQtVujSIFPw4e/Cj0+khe&#10;dxeTl22S6vrfG0HocZiZ3zDTeeesOFOIjWcFw0EBglh703Cl4Ou47E9AxIRs0HomBVeKMJ/1nqZY&#10;Gn/hPZ0PqRIZwrFEBXVKbSll1DU5jAPfEmfvxweHKctQSRPwkuHOyteiGEmHDeeFGlv6rEmfDn9O&#10;wXa1tUO7ew/f69Poza6Wmn9ZK/Xy3C0+QCTq0n/40d4YBeMx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9YDEAAAA2wAAAA8AAAAAAAAAAAAAAAAAmAIAAGRycy9k&#10;b3ducmV2LnhtbFBLBQYAAAAABAAEAPUAAACJAwAAAAA=&#10;" fillcolor="#bef397" strokecolor="#00b050" strokeweight="1pt">
                <v:fill color2="#eafae0" rotate="t" angle="45" colors="0 #bef397;.5 #d5f6c0;1 #eafae0" focus="100%" type="gradient"/>
              </v:oval>
              <v:oval id="Ovál 347" o:spid="_x0000_s1039" style="position:absolute;left:17860;top:20253;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h8sEA&#10;AADbAAAADwAAAGRycy9kb3ducmV2LnhtbERPTWsCMRC9C/6HMIXeNGuh1q4bRQpaDx6qFrwOyXR3&#10;2WSyTVLd/ntzKPT4eN/VenBWXCnE1rOC2bQAQay9ablW8HneThYgYkI2aD2Tgl+KsF6NRxWWxt/4&#10;SNdTqkUO4ViigialvpQy6oYcxqnviTP35YPDlGGopQl4y+HOyqeimEuHLeeGBnt6a0h3px+n4LA7&#10;2Jn9eA2X927+bHdbzd+slXp8GDZLEImG9C/+c++Ngpc8Nn/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YfLBAAAA2wAAAA8AAAAAAAAAAAAAAAAAmAIAAGRycy9kb3du&#10;cmV2LnhtbFBLBQYAAAAABAAEAPUAAACGAwAAAAA=&#10;" fillcolor="#bef397" strokecolor="#00b050" strokeweight="1pt">
                <v:fill color2="#eafae0" rotate="t" angle="45" colors="0 #bef397;.5 #d5f6c0;1 #eafae0" focus="100%" type="gradient"/>
              </v:oval>
              <v:oval id="Ovál 348" o:spid="_x0000_s1040" style="position:absolute;left:21962;top:11024;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acQA&#10;AADbAAAADwAAAGRycy9kb3ducmV2LnhtbESPzWsCMRTE74X+D+EVetOsQv3YGqUIWg8e/Cj0+khe&#10;dxeTl22S6vrfG0HocZiZ3zCzReesOFOIjWcFg34Bglh703Cl4Ou46k1AxIRs0HomBVeKsJg/P82w&#10;NP7CezofUiUyhGOJCuqU2lLKqGtyGPu+Jc7ejw8OU5ahkibgJcOdlcOiGEmHDeeFGlta1qRPhz+n&#10;YLve2oHdTcP352n0Ztcrzb+slXp96T7eQSTq0n/40d4YBeMp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GnEAAAA2wAAAA8AAAAAAAAAAAAAAAAAmAIAAGRycy9k&#10;b3ducmV2LnhtbFBLBQYAAAAABAAEAPUAAACJAwAAAAA=&#10;" fillcolor="#bef397" strokecolor="#00b050" strokeweight="1pt">
                <v:fill color2="#eafae0" rotate="t" angle="45" colors="0 #bef397;.5 #d5f6c0;1 #eafae0" focus="100%" type="gradient"/>
              </v:oval>
              <v:oval id="Ovál 349" o:spid="_x0000_s1041" style="position:absolute;left:9742;top:854;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d078A&#10;AADbAAAADwAAAGRycy9kb3ducmV2LnhtbERPTWsCMRC9F/wPYYTeataCoqtRRFB78NCq4HVIxt3F&#10;ZLImqa7/3hwKPT7e93zZOSvuFGLjWcFwUIAg1t40XCk4HTcfExAxIRu0nknBkyIsF723OZbGP/iH&#10;7odUiRzCsUQFdUptKWXUNTmMA98SZ+7ig8OUYaikCfjI4c7Kz6IYS4cN54YaW1rXpK+HX6dgv93b&#10;of2ehvPuOh7Z7UbzjbVS7/1uNQORqEv/4j/3l1Ewyevzl/w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kB3TvwAAANsAAAAPAAAAAAAAAAAAAAAAAJgCAABkcnMvZG93bnJl&#10;di54bWxQSwUGAAAAAAQABAD1AAAAhAMAAAAA&#10;" fillcolor="#bef397" strokecolor="#00b050" strokeweight="1pt">
                <v:fill color2="#eafae0" rotate="t" angle="45" colors="0 #bef397;.5 #d5f6c0;1 #eafae0" focus="100%" type="gradient"/>
              </v:oval>
              <v:oval id="Ovál 350" o:spid="_x0000_s1042" style="position:absolute;left:28542;top:683;width:1055;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4SMMA&#10;AADbAAAADwAAAGRycy9kb3ducmV2LnhtbESPQWsCMRSE7wX/Q3hCbzW7hYpdjSKC2oMHawWvj+S5&#10;u5i8bJOo23/fFIQeh5n5hpktemfFjUJsPSsoRwUIYu1Ny7WC49f6ZQIiJmSD1jMp+KEIi/ngaYaV&#10;8Xf+pNsh1SJDOFaooEmpq6SMuiGHceQ74uydfXCYsgy1NAHvGe6sfC2KsXTYcl5osKNVQ/pyuDoF&#10;u83Olnb/Hk7by/jNbtaav1kr9Tzsl1MQifr0H360P4yCSQl/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4SMMAAADbAAAADwAAAAAAAAAAAAAAAACYAgAAZHJzL2Rv&#10;d25yZXYueG1sUEsFBgAAAAAEAAQA9QAAAIgDAAAAAA==&#10;" fillcolor="#bef397" strokecolor="#00b050" strokeweight="1pt">
                <v:fill color2="#eafae0" rotate="t" angle="45" colors="0 #bef397;.5 #d5f6c0;1 #eafae0" focus="100%" type="gradient"/>
              </v:oval>
              <v:oval id="Ovál 351" o:spid="_x0000_s1043" style="position:absolute;left:24868;top:6152;width:1054;height:947;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gk8IA&#10;AADbAAAADwAAAGRycy9kb3ducmV2LnhtbESPT4vCMBTE74LfITzBm6ZWcKVrWkTw31F3Fzw+mrdt&#10;2ealJFHrtzeCsMdhZn7DrIretOJGzjeWFcymCQji0uqGKwXfX9vJEoQPyBpby6TgQR6KfDhYYabt&#10;nU90O4dKRAj7DBXUIXSZlL6syaCf2o44er/WGQxRukpqh/cIN61Mk2QhDTYcF2rsaFNT+Xe+GgXJ&#10;Md3NLz+NC9udvWweH75f771S41G//gQRqA//4Xf7oBUsU3h9iT9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eCTwgAAANsAAAAPAAAAAAAAAAAAAAAAAJgCAABkcnMvZG93&#10;bnJldi54bWxQSwUGAAAAAAQABAD1AAAAhwMAAAAA&#10;" fillcolor="#92d050" strokecolor="#00b050" strokeweight="1pt"/>
              <v:oval id="Ovál 352" o:spid="_x0000_s1044" style="position:absolute;left:17604;top:9400;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FCMAA&#10;AADbAAAADwAAAGRycy9kb3ducmV2LnhtbESPS6vCMBSE94L/IRzBnaYqeKUaRQRfS1/g8tAc22Jz&#10;UpKo9d8bQbjLYWa+YWaLxlTiSc6XlhUM+gkI4szqknMF59O6NwHhA7LGyjIpeJOHxbzdmmGq7YsP&#10;9DyGXEQI+xQVFCHUqZQ+K8ig79uaOHo36wyGKF0utcNXhJtKDpNkLA2WHBcKrGlVUHY/PoyCZD/c&#10;jK6X0oX1xl5X7z/fLLdeqW6nWU5BBGrCf/jX3mkFkxF8v8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1FCMAAAADbAAAADwAAAAAAAAAAAAAAAACYAgAAZHJzL2Rvd25y&#10;ZXYueG1sUEsFBgAAAAAEAAQA9QAAAIUDAAAAAA==&#10;" fillcolor="#92d050" strokecolor="#00b050" strokeweight="1pt"/>
              <v:oval id="Ovál 353" o:spid="_x0000_s1045" style="position:absolute;left:5640;top:14784;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dfMEA&#10;AADbAAAADwAAAGRycy9kb3ducmV2LnhtbESPS6vCMBSE9xf8D+EI7q6pD65SjSKCr+X1AS4PzbEt&#10;NicliVr/vREEl8PMfMNM542pxJ2cLy0r6HUTEMSZ1SXnCo6H1e8YhA/IGivLpOBJHuaz1s8UU20f&#10;/E/3fchFhLBPUUERQp1K6bOCDPqurYmjd7HOYIjS5VI7fES4qWQ/Sf6kwZLjQoE1LQvKrvubUZDs&#10;+uvB+VS6sFrb8/I58s1i45XqtJvFBESgJnzDn/ZWKxgP4f0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3XzBAAAA2wAAAA8AAAAAAAAAAAAAAAAAmAIAAGRycy9kb3du&#10;cmV2LnhtbFBLBQYAAAAABAAEAPUAAACGAwAAAAA=&#10;" fillcolor="#92d050" strokecolor="#00b050" strokeweight="1pt"/>
              <v:oval id="Ovál 354" o:spid="_x0000_s1046" style="position:absolute;left:26064;top:6238;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ZZMQA&#10;AADbAAAADwAAAGRycy9kb3ducmV2LnhtbESPQWvCQBSE74L/YXlCb7rRNkGiq0hVKHhqKoK3R/aZ&#10;RLNv0+yq8d+7QqHHYWa+YebLztTiRq2rLCsYjyIQxLnVFRcK9j/b4RSE88gaa8uk4EEOlot+b46p&#10;tnf+plvmCxEg7FJUUHrfpFK6vCSDbmQb4uCdbGvQB9kWUrd4D3BTy0kUJdJgxWGhxIY+S8ov2dUo&#10;mOwev+c8OhyTeP1B8Sbh3T57V+pt0K1mIDx1/j/81/7SCqY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s2WTEAAAA2wAAAA8AAAAAAAAAAAAAAAAAmAIAAGRycy9k&#10;b3ducmV2LnhtbFBLBQYAAAAABAAEAPUAAACJAwAAAAA=&#10;" fillcolor="red" strokecolor="red" strokeweight="1pt"/>
              <v:oval id="Ovál 355" o:spid="_x0000_s1047" style="position:absolute;left:6751;top:14869;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HE8QA&#10;AADbAAAADwAAAGRycy9kb3ducmV2LnhtbESPT4vCMBTE74LfIbwFb5quf4pUo4i7C4InqwjeHs2z&#10;7W7zUpus1m9vBMHjMDO/YebL1lTiSo0rLSv4HEQgiDOrS84VHPY//SkI55E1VpZJwZ0cLBfdzhwT&#10;bW+8o2vqcxEg7BJUUHhfJ1K6rCCDbmBr4uCdbWPQB9nkUjd4C3BTyWEUxdJgyWGhwJrWBWV/6b9R&#10;MNzeL79ZdDzFk68xTb5j3h7SkVK9j3Y1A+Gp9e/wq73RCqY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RxPEAAAA2wAAAA8AAAAAAAAAAAAAAAAAmAIAAGRycy9k&#10;b3ducmV2LnhtbFBLBQYAAAAABAAEAPUAAACJAwAAAAA=&#10;" fillcolor="red" strokecolor="red" strokeweight="1pt"/>
              <v:oval id="Ovál 356" o:spid="_x0000_s1048" style="position:absolute;left:29824;top:598;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2DsQA&#10;AADbAAAADwAAAGRycy9kb3ducmV2LnhtbESPQWvCQBSE70L/w/IKvYhuFLSauopWAh48WPUHPLKv&#10;2dDs25DdmuivdwXB4zAz3zCLVWcrcaHGl44VjIYJCOLc6ZILBedTNpiB8AFZY+WYFFzJw2r51ltg&#10;ql3LP3Q5hkJECPsUFZgQ6lRKnxuy6IeuJo7er2sshiibQuoG2wi3lRwnyVRaLDkuGKzp21D+d/y3&#10;Crptif6235hsOj+MxjJbbyb9VqmP9279BSJQF17hZ3unFcw+4f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4dg7EAAAA2wAAAA8AAAAAAAAAAAAAAAAAmAIAAGRycy9k&#10;b3ducmV2LnhtbFBLBQYAAAAABAAEAPUAAACJAwAAAAA=&#10;" fillcolor="#ff8080" strokecolor="red" strokeweight="1pt">
                <v:fill color2="#ffdada" rotate="t" angle="45" colors="0 #ff8080;.5 #ffb3b3;1 #ffdada" focus="100%" type="gradient"/>
              </v:oval>
              <v:oval id="Ovál 357" o:spid="_x0000_s1049" style="position:absolute;left:18886;top:9656;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ifMIA&#10;AADbAAAADwAAAGRycy9kb3ducmV2LnhtbERPS2rDMBDdF3IHMYVsSiLH0JC4UYzTYuiii+ZzgMGa&#10;WqbWyFiK7eT00aLQ5eP9d/lkWzFQ7xvHClbLBARx5XTDtYLLuVxsQPiArLF1TApu5CHfz552mGk3&#10;8pGGU6hFDGGfoQITQpdJ6StDFv3SdcSR+3G9xRBhX0vd4xjDbSvTJFlLiw3HBoMdvRuqfk9Xq2D6&#10;aNDfvw6mXG+/V6ksi8Pry6jU/Hkq3kAEmsK/+M/9qRVs4tj4Jf4A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J8wgAAANsAAAAPAAAAAAAAAAAAAAAAAJgCAABkcnMvZG93&#10;bnJldi54bWxQSwUGAAAAAAQABAD1AAAAhwMAAAAA&#10;" fillcolor="#ff8080" strokecolor="red" strokeweight="1pt">
                <v:fill color2="#ffdada" rotate="t" angle="45" colors="0 #ff8080;.5 #ffb3b3;1 #ffdada" focus="100%" type="gradient"/>
              </v:oval>
              <v:oval id="Ovál 358" o:spid="_x0000_s1050" style="position:absolute;left:19228;top:20253;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H58UA&#10;AADbAAAADwAAAGRycy9kb3ducmV2LnhtbESPzWrDMBCE74W8g9hAL6WRY2hI3CjGSTH00EPz8wCL&#10;tbVMrZWxFNvJ01eFQo/DzHzDbPPJtmKg3jeOFSwXCQjiyumGawWXc/m8BuEDssbWMSm4kYd8N3vY&#10;YqbdyEcaTqEWEcI+QwUmhC6T0leGLPqF64ij9+V6iyHKvpa6xzHCbSvTJFlJiw3HBYMdHQxV36er&#10;VTC9NejvH3tTrjafy1SWxf7laVTqcT4VryACTeE//Nd+1wrWG/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0fnxQAAANsAAAAPAAAAAAAAAAAAAAAAAJgCAABkcnMv&#10;ZG93bnJldi54bWxQSwUGAAAAAAQABAD1AAAAigMAAAAA&#10;" fillcolor="#ff8080" strokecolor="red" strokeweight="1pt">
                <v:fill color2="#ffdada" rotate="t" angle="45" colors="0 #ff8080;.5 #ffb3b3;1 #ffdada" focus="100%" type="gradient"/>
              </v:oval>
              <v:oval id="Ovál 359" o:spid="_x0000_s1051" style="position:absolute;left:1110;top:5725;width:1055;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Mn8AA&#10;AADbAAAADwAAAGRycy9kb3ducmV2LnhtbERPTUsDMRC9C/0PYQRvNtGD2rVpKQWxntS2CN7GzZgs&#10;biZLMm7Xf28OgsfH+16up9irkXLpElu4mhtQxG1yHXsLx8PD5R2oIsgO+8Rk4YcKrFezsyU2Lp34&#10;lca9eFVDuDRoIYgMjdalDRSxzNNAXLnPlCNKhdlrl/FUw2Ovr4250RE7rg0BB9oGar/239HC2L+Z&#10;IE9+9/jsxL9s8ofx77fWXpxPm3tQQpP8i//cO2dhUdfXL/U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vMn8AAAADbAAAADwAAAAAAAAAAAAAAAACYAgAAZHJzL2Rvd25y&#10;ZXYueG1sUEsFBgAAAAAEAAQA9QAAAIUDAAAAAA==&#10;" fillcolor="#b0cffb" strokecolor="#0070c0" strokeweight="1pt">
                <v:fill color2="#e6effd" rotate="t" angle="45" colors="0 #b0cffb;.5 #cee0fc;1 #e6effd" focus="100%" type="gradient"/>
              </v:oval>
              <v:oval id="Ovál 360" o:spid="_x0000_s1052" style="position:absolute;left:7776;top:14869;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pBMMA&#10;AADbAAAADwAAAGRycy9kb3ducmV2LnhtbESPT0sDMRTE74LfITzBm03qwT/bpqUIYj2pVYTenptn&#10;srh5WZLndv32RhB6HGbmN8xyPcVejZRLl9jCfGZAEbfJdewtvL3eX9yAKoLssE9MFn6owHp1erLE&#10;xqUDv9C4E68qhEuDFoLI0Ghd2kARyywNxNX7TDmiVJm9dhkPFR57fWnMlY7YcV0IONBdoPZr9x0t&#10;jP27CfLotw9PTvzzJn8Yv7+29vxs2ixACU1yDP+3t87C7Rz+vtQ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pBMMAAADbAAAADwAAAAAAAAAAAAAAAACYAgAAZHJzL2Rv&#10;d25yZXYueG1sUEsFBgAAAAAEAAQA9QAAAIgDAAAAAA==&#10;" fillcolor="#b0cffb" strokecolor="#0070c0" strokeweight="1pt">
                <v:fill color2="#e6effd" rotate="t" angle="45" colors="0 #b0cffb;.5 #cee0fc;1 #e6effd" focus="100%" type="gradient"/>
              </v:oval>
              <v:oval id="Ovál 361" o:spid="_x0000_s1053" style="position:absolute;left:21449;top:85;width:1055;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sRMUA&#10;AADbAAAADwAAAGRycy9kb3ducmV2LnhtbESPQWsCMRSE74L/ITyhF9GsQkVXo4hFkNqLtgjensnr&#10;7tLNy7qJ6/bfNwXB4zAz3zCLVWtL0VDtC8cKRsMEBLF2puBMwdfndjAF4QOywdIxKfglD6tlt7PA&#10;1Lg7H6g5hkxECPsUFeQhVKmUXudk0Q9dRRy9b1dbDFHWmTQ13iPclnKcJBNpseC4kGNFm5z0z/Fm&#10;FbyfD1s9ee3b65s2m8vHaX8NZq/US69dz0EEasMz/GjvjILZG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OxExQAAANsAAAAPAAAAAAAAAAAAAAAAAJgCAABkcnMv&#10;ZG93bnJldi54bWxQSwUGAAAAAAQABAD1AAAAigMAAAAA&#10;" fillcolor="#8db3e2" strokecolor="#0070c0" strokeweight="1pt"/>
              <v:oval id="Ovál 362" o:spid="_x0000_s1054" style="position:absolute;left:14955;top:7947;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S6MMA&#10;AADbAAAADwAAAGRycy9kb3ducmV2LnhtbESPX0sDMRDE3wW/Q1jBN5uo4J+zaSmCWJ+0VQp9Wy9r&#10;cnjZHMl6Pb+9EQQfh5n5DTNfTrFXI+XSJbZwPjOgiNvkOvYW3l4fzm5AFUF22CcmC99UYLk4Pppj&#10;49KBNzRuxasK4dKghSAyNFqXNlDEMksDcfU+Uo4oVWavXcZDhcdeXxhzpSN2XBcCDnQfqP3cfkUL&#10;Y78zQZ78+vHZiX9Z5Xfj99fWnp5MqztQQpP8h//aa2fh9hJ+v9Qf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lS6MMAAADbAAAADwAAAAAAAAAAAAAAAACYAgAAZHJzL2Rv&#10;d25yZXYueG1sUEsFBgAAAAAEAAQA9QAAAIgDAAAAAA==&#10;" fillcolor="#b0cffb" strokecolor="#0070c0" strokeweight="1pt">
                <v:fill color2="#e6effd" rotate="t" angle="45" colors="0 #b0cffb;.5 #cee0fc;1 #e6effd" focus="100%" type="gradient"/>
              </v:oval>
              <v:oval id="Ovál 363" o:spid="_x0000_s1055" style="position:absolute;left:15980;top:11280;width:1054;height:946;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nMMA&#10;AADbAAAADwAAAGRycy9kb3ducmV2LnhtbESPX0sDMRDE3wW/Q1jBN5so4p+zaSmCWJ+0VQp9Wy9r&#10;cnjZHMl6Pb+9EQQfh5n5DTNfTrFXI+XSJbZwPjOgiNvkOvYW3l4fzm5AFUF22CcmC99UYLk4Pppj&#10;49KBNzRuxasK4dKghSAyNFqXNlDEMksDcfU+Uo4oVWavXcZDhcdeXxhzpSN2XBcCDnQfqP3cfkUL&#10;Y78zQZ78+vHZiX9Z5Xfj99fWnp5MqztQQpP8h//aa2fh9hJ+v9Qfo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DKnMMAAADbAAAADwAAAAAAAAAAAAAAAACYAgAAZHJzL2Rv&#10;d25yZXYueG1sUEsFBgAAAAAEAAQA9QAAAIgDAAAAAA==&#10;" fillcolor="#b0cffb" strokecolor="#0070c0" strokeweight="1pt">
                <v:fill color2="#e6effd" rotate="t" angle="45" colors="0 #b0cffb;.5 #cee0fc;1 #e6effd" focus="100%" type="gradient"/>
              </v:oval>
            </v:group>
            <w10:wrap anchorx="margin"/>
          </v:group>
        </w:pict>
      </w:r>
      <w:bookmarkStart w:id="340" w:name="_Toc488234397"/>
      <w:r w:rsidR="00005545" w:rsidRPr="00EB42BF">
        <w:t xml:space="preserve">Obrázek </w:t>
      </w:r>
      <w:r w:rsidR="008965FE">
        <w:fldChar w:fldCharType="begin"/>
      </w:r>
      <w:r w:rsidR="00564668">
        <w:instrText xml:space="preserve"> STYLEREF 1 \s </w:instrText>
      </w:r>
      <w:r w:rsidR="008965FE">
        <w:fldChar w:fldCharType="separate"/>
      </w:r>
      <w:r w:rsidR="00CB29BD">
        <w:t>13</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1</w:t>
      </w:r>
      <w:r w:rsidR="008965FE">
        <w:fldChar w:fldCharType="end"/>
      </w:r>
      <w:bookmarkEnd w:id="339"/>
      <w:r w:rsidR="00005545" w:rsidRPr="00EB42BF">
        <w:t>: Dostupnost zdravotnických zařízení v Karlovarském kraji</w:t>
      </w:r>
      <w:bookmarkEnd w:id="337"/>
      <w:bookmarkEnd w:id="338"/>
      <w:r w:rsidR="00005545" w:rsidRPr="00EB42BF">
        <w:t xml:space="preserve"> v roce 2009</w:t>
      </w:r>
      <w:bookmarkEnd w:id="340"/>
    </w:p>
    <w:p w:rsidR="00005545" w:rsidRPr="006D77B4" w:rsidRDefault="00005545" w:rsidP="002C40B2"/>
    <w:p w:rsidR="00005545" w:rsidRPr="006D77B4" w:rsidRDefault="00005545" w:rsidP="002C40B2"/>
    <w:p w:rsidR="00005545" w:rsidRPr="006D77B4" w:rsidRDefault="00005545" w:rsidP="002C40B2"/>
    <w:p w:rsidR="00005545" w:rsidRPr="006D77B4" w:rsidRDefault="00005545" w:rsidP="002C40B2"/>
    <w:p w:rsidR="00005545" w:rsidRPr="006D77B4" w:rsidRDefault="00005545" w:rsidP="002C40B2"/>
    <w:p w:rsidR="00005545" w:rsidRPr="006D77B4" w:rsidRDefault="00005545" w:rsidP="002C40B2"/>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ind w:left="7088" w:hanging="7088"/>
        <w:contextualSpacing/>
        <w:rPr>
          <w:rFonts w:eastAsia="Calibri" w:cs="Times New Roman"/>
          <w:sz w:val="16"/>
        </w:rPr>
      </w:pPr>
    </w:p>
    <w:p w:rsidR="00005545" w:rsidRDefault="00005545" w:rsidP="002C40B2">
      <w:pPr>
        <w:pStyle w:val="Zdrojdat"/>
        <w:spacing w:line="276" w:lineRule="auto"/>
      </w:pPr>
    </w:p>
    <w:p w:rsidR="00005545" w:rsidRPr="00EB42BF" w:rsidRDefault="00005545" w:rsidP="002C40B2">
      <w:pPr>
        <w:pStyle w:val="poznzdroj"/>
        <w:spacing w:line="276" w:lineRule="auto"/>
      </w:pPr>
      <w:r w:rsidRPr="00EB42BF">
        <w:t>Zdro</w:t>
      </w:r>
      <w:r w:rsidR="00F372C0">
        <w:t>j: Strategie zdravotnictví KVK,</w:t>
      </w:r>
      <w:r w:rsidRPr="00EB42BF">
        <w:t xml:space="preserve"> 2009. </w:t>
      </w:r>
    </w:p>
    <w:p w:rsidR="00F372C0" w:rsidRDefault="00005545" w:rsidP="000562C0">
      <w:r w:rsidRPr="006D77B4">
        <w:t>V rámci mezikrajského srovnání lůžkového a personálního vybavení porovnáváme Karlovarský kraj se třemi regiony (kraj Vysočina, Zlínský a Pardubický), které jsou velikostně kraji nejblíž</w:t>
      </w:r>
      <w:r w:rsidR="00FF42C4">
        <w:t>e</w:t>
      </w:r>
      <w:r w:rsidRPr="006D77B4">
        <w:t xml:space="preserve"> a druhým důvodem je, že v těchto regionech neexistuje fakultní nemocnice a zdravotnická zařízení jsou přibližně stejného významu</w:t>
      </w:r>
      <w:r w:rsidR="00F372C0">
        <w:t xml:space="preserve"> </w:t>
      </w:r>
      <w:r w:rsidR="00F372C0" w:rsidRPr="00760BAD">
        <w:t>(viz</w:t>
      </w:r>
      <w:r w:rsidR="00F372C0">
        <w:t xml:space="preserve"> </w:t>
      </w:r>
      <w:r w:rsidR="008965FE" w:rsidRPr="009F0E91">
        <w:fldChar w:fldCharType="begin"/>
      </w:r>
      <w:r w:rsidR="00F372C0" w:rsidRPr="009F0E91">
        <w:instrText xml:space="preserve"> REF _Ref464645330 \h  \* MERGEFORMAT </w:instrText>
      </w:r>
      <w:r w:rsidR="008965FE" w:rsidRPr="009F0E91">
        <w:fldChar w:fldCharType="separate"/>
      </w:r>
      <w:r w:rsidR="009F0E91" w:rsidRPr="009F0E91">
        <w:rPr>
          <w:bCs/>
        </w:rPr>
        <w:t>graf 13.1 a graf 13.2</w:t>
      </w:r>
      <w:r w:rsidR="008965FE" w:rsidRPr="009F0E91">
        <w:fldChar w:fldCharType="end"/>
      </w:r>
      <w:r w:rsidR="00F372C0" w:rsidRPr="009F0E91">
        <w:t>).</w:t>
      </w:r>
      <w:r w:rsidR="00F372C0">
        <w:t xml:space="preserve"> </w:t>
      </w:r>
      <w:r>
        <w:t>Co se týká</w:t>
      </w:r>
      <w:r w:rsidRPr="006D77B4">
        <w:t xml:space="preserve"> porovnání </w:t>
      </w:r>
      <w:r w:rsidRPr="00760BAD">
        <w:t>počtu lékařů a všeobecných sester působících v nemocnicích, zastává Karlovarský kraj jednu z nejhorších pozic</w:t>
      </w:r>
      <w:r w:rsidR="00F372C0">
        <w:t>.</w:t>
      </w:r>
      <w:r w:rsidRPr="00760BAD">
        <w:t xml:space="preserve"> </w:t>
      </w:r>
      <w:r w:rsidRPr="006D77B4">
        <w:rPr>
          <w:b/>
          <w:bCs/>
        </w:rPr>
        <w:t>Nedostatek lékařů a všeobecných sester</w:t>
      </w:r>
      <w:r w:rsidRPr="006D77B4">
        <w:t xml:space="preserve"> je největším problémem v organizování a zajištění zdravotnické péče v Karlovarském kraji. </w:t>
      </w:r>
    </w:p>
    <w:p w:rsidR="00F372C0" w:rsidRDefault="00005545" w:rsidP="002C40B2">
      <w:r w:rsidRPr="006D77B4">
        <w:t>Karlovarský kraj je dlouhodobě na posledním místě v České republice z pohledu počtu lékařů v lůžkové části nemocnic na 10 tisíc obyvatel (viz</w:t>
      </w:r>
      <w:r w:rsidR="009F0E91">
        <w:t xml:space="preserve"> graf 13.1</w:t>
      </w:r>
      <w:r w:rsidRPr="006D77B4">
        <w:t>)</w:t>
      </w:r>
      <w:r>
        <w:t xml:space="preserve">. </w:t>
      </w:r>
      <w:bookmarkStart w:id="341" w:name="_Toc321406412"/>
      <w:bookmarkStart w:id="342" w:name="_Toc310604103"/>
      <w:bookmarkStart w:id="343" w:name="_Toc310604037"/>
    </w:p>
    <w:p w:rsidR="00F372C0" w:rsidRDefault="00F372C0" w:rsidP="002C40B2">
      <w:r>
        <w:t xml:space="preserve">Pokud jde o </w:t>
      </w:r>
      <w:r w:rsidRPr="006D77B4">
        <w:t xml:space="preserve">pozici </w:t>
      </w:r>
      <w:r>
        <w:t xml:space="preserve">kraje </w:t>
      </w:r>
      <w:r w:rsidRPr="006D77B4">
        <w:t xml:space="preserve">v počtu </w:t>
      </w:r>
      <w:r>
        <w:t xml:space="preserve">všeobecných </w:t>
      </w:r>
      <w:r w:rsidRPr="006D77B4">
        <w:t>zdravotních sester</w:t>
      </w:r>
      <w:r>
        <w:t xml:space="preserve"> a porodních asistentek</w:t>
      </w:r>
      <w:r w:rsidRPr="006D77B4">
        <w:t xml:space="preserve"> v nemocnicích na 10 tisíc obyvatel</w:t>
      </w:r>
      <w:r>
        <w:t xml:space="preserve">, je na tom </w:t>
      </w:r>
      <w:r w:rsidRPr="006D77B4">
        <w:t xml:space="preserve">v porovnání s ostatními regiony </w:t>
      </w:r>
      <w:r>
        <w:t>průměrně</w:t>
      </w:r>
      <w:r w:rsidRPr="006D77B4">
        <w:t xml:space="preserve">. </w:t>
      </w:r>
      <w:r>
        <w:t>Podobně je na tom</w:t>
      </w:r>
      <w:r w:rsidR="00BD2174">
        <w:t>,</w:t>
      </w:r>
      <w:r>
        <w:t xml:space="preserve"> i p</w:t>
      </w:r>
      <w:r w:rsidRPr="006D77B4">
        <w:t>okud relativiz</w:t>
      </w:r>
      <w:r>
        <w:t>ujeme počty sester a porodních asistentek na 1 lékaře</w:t>
      </w:r>
      <w:r w:rsidRPr="006D77B4">
        <w:t xml:space="preserve"> (viz</w:t>
      </w:r>
      <w:r>
        <w:t xml:space="preserve"> </w:t>
      </w:r>
      <w:r w:rsidR="008965FE" w:rsidRPr="00760BAD">
        <w:fldChar w:fldCharType="begin"/>
      </w:r>
      <w:r w:rsidRPr="00760BAD">
        <w:instrText xml:space="preserve"> REF _Ref310320827 \h  \* MERGEFORMAT </w:instrText>
      </w:r>
      <w:r w:rsidR="008965FE" w:rsidRPr="00760BAD">
        <w:fldChar w:fldCharType="separate"/>
      </w:r>
      <w:r w:rsidR="009F0E91">
        <w:t>graf 13.2</w:t>
      </w:r>
      <w:r w:rsidR="008965FE" w:rsidRPr="00760BAD">
        <w:fldChar w:fldCharType="end"/>
      </w:r>
      <w:r w:rsidRPr="009F0E91">
        <w:t>)</w:t>
      </w:r>
      <w:r>
        <w:t xml:space="preserve">. </w:t>
      </w:r>
    </w:p>
    <w:p w:rsidR="00F372C0" w:rsidRPr="006D77B4" w:rsidRDefault="00F372C0" w:rsidP="002C40B2">
      <w:pPr>
        <w:rPr>
          <w:rFonts w:eastAsia="Calibri" w:cs="Times New Roman"/>
          <w:sz w:val="16"/>
        </w:rPr>
      </w:pPr>
      <w:r>
        <w:t>V</w:t>
      </w:r>
      <w:r w:rsidRPr="006D77B4">
        <w:t> porovnání s ostatními kraji ČR v počtu stomatologů</w:t>
      </w:r>
      <w:r w:rsidRPr="005365B0">
        <w:t xml:space="preserve"> </w:t>
      </w:r>
      <w:r w:rsidRPr="006D77B4">
        <w:t>na 10 tisíc obyvatel</w:t>
      </w:r>
      <w:r>
        <w:t xml:space="preserve"> je Karlovarský kraj na třetím nejhorším místě </w:t>
      </w:r>
      <w:r w:rsidRPr="00094ACE">
        <w:t>(</w:t>
      </w:r>
      <w:r>
        <w:t>Zdravotnická ročenka České republiky, 2013)</w:t>
      </w:r>
      <w:r w:rsidRPr="00094ACE">
        <w:t>.</w:t>
      </w:r>
      <w:r w:rsidRPr="006D77B4">
        <w:t xml:space="preserve"> </w:t>
      </w:r>
    </w:p>
    <w:p w:rsidR="005C7AB3" w:rsidRDefault="005C7AB3" w:rsidP="000B3B9C">
      <w:pPr>
        <w:pStyle w:val="Titulek"/>
      </w:pPr>
      <w:bookmarkStart w:id="344" w:name="_Toc488234373"/>
      <w:r>
        <w:lastRenderedPageBreak/>
        <w:t xml:space="preserve">Graf </w:t>
      </w:r>
      <w:r w:rsidR="008965FE">
        <w:fldChar w:fldCharType="begin"/>
      </w:r>
      <w:r w:rsidR="00FD378B">
        <w:instrText xml:space="preserve"> STYLEREF 1 \s </w:instrText>
      </w:r>
      <w:r w:rsidR="008965FE">
        <w:fldChar w:fldCharType="separate"/>
      </w:r>
      <w:r w:rsidR="00CB29BD">
        <w:t>13</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r w:rsidR="00005545" w:rsidRPr="00472777">
        <w:t xml:space="preserve">: Počet lékařů na 10 </w:t>
      </w:r>
      <w:r w:rsidR="006805CC">
        <w:t>000</w:t>
      </w:r>
      <w:r w:rsidR="006805CC" w:rsidRPr="00472777">
        <w:t xml:space="preserve"> </w:t>
      </w:r>
      <w:r w:rsidR="00005545" w:rsidRPr="00472777">
        <w:t>obyv</w:t>
      </w:r>
      <w:r w:rsidR="00FF42C4">
        <w:t>atel</w:t>
      </w:r>
      <w:r w:rsidR="00005545" w:rsidRPr="00472777">
        <w:t xml:space="preserve"> v lůžkové části nemocnic v roce 2013</w:t>
      </w:r>
      <w:bookmarkEnd w:id="344"/>
      <w:r w:rsidR="00005545" w:rsidRPr="001954E7">
        <w:t xml:space="preserve"> </w:t>
      </w:r>
      <w:bookmarkEnd w:id="341"/>
      <w:bookmarkEnd w:id="342"/>
      <w:bookmarkEnd w:id="343"/>
    </w:p>
    <w:p w:rsidR="00005545" w:rsidRPr="006D77B4" w:rsidRDefault="00005545" w:rsidP="000B3B9C">
      <w:pPr>
        <w:pStyle w:val="Titulek"/>
      </w:pPr>
      <w:r w:rsidRPr="006D77B4">
        <w:drawing>
          <wp:inline distT="0" distB="0" distL="0" distR="0">
            <wp:extent cx="5486400" cy="2333625"/>
            <wp:effectExtent l="0" t="0" r="19050" b="9525"/>
            <wp:docPr id="229" name="Graf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05545" w:rsidRPr="00582374" w:rsidRDefault="00005545" w:rsidP="002C40B2">
      <w:pPr>
        <w:pStyle w:val="poznzdroj"/>
        <w:spacing w:line="276" w:lineRule="auto"/>
      </w:pPr>
      <w:r w:rsidRPr="00582374">
        <w:t>Zdroj: ÚZIS - Zdravotnictví Karlovarského kraje</w:t>
      </w:r>
      <w:r w:rsidR="00797213">
        <w:t xml:space="preserve"> 2013</w:t>
      </w:r>
      <w:r w:rsidRPr="00582374">
        <w:t>,</w:t>
      </w:r>
      <w:r w:rsidR="00797213">
        <w:t xml:space="preserve"> Zdravotnictví v </w:t>
      </w:r>
      <w:r w:rsidRPr="00582374">
        <w:t>ČR 2013, vlastní výpočty</w:t>
      </w:r>
    </w:p>
    <w:p w:rsidR="00005545" w:rsidRPr="006D77B4" w:rsidRDefault="005C7AB3" w:rsidP="000B3B9C">
      <w:pPr>
        <w:pStyle w:val="Titulek"/>
      </w:pPr>
      <w:bookmarkStart w:id="345" w:name="_Toc321406413"/>
      <w:bookmarkStart w:id="346" w:name="_Toc310604104"/>
      <w:bookmarkStart w:id="347" w:name="_Toc310604038"/>
      <w:bookmarkStart w:id="348" w:name="_Toc488234374"/>
      <w:r>
        <w:t xml:space="preserve">Graf </w:t>
      </w:r>
      <w:r w:rsidR="008965FE">
        <w:fldChar w:fldCharType="begin"/>
      </w:r>
      <w:r w:rsidR="00FD378B">
        <w:instrText xml:space="preserve"> STYLEREF 1 \s </w:instrText>
      </w:r>
      <w:r w:rsidR="008965FE">
        <w:fldChar w:fldCharType="separate"/>
      </w:r>
      <w:r w:rsidR="00CB29BD">
        <w:t>13</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r w:rsidR="00005545" w:rsidRPr="006D77B4">
        <w:t>: Počet všeobecných sester a porodních asistentek na 1 lékaře</w:t>
      </w:r>
      <w:r w:rsidR="00005545">
        <w:t xml:space="preserve"> v roce</w:t>
      </w:r>
      <w:r w:rsidR="00005545" w:rsidRPr="006D77B4">
        <w:t xml:space="preserve"> </w:t>
      </w:r>
      <w:r w:rsidR="00005545">
        <w:t>2013</w:t>
      </w:r>
      <w:bookmarkEnd w:id="345"/>
      <w:bookmarkEnd w:id="346"/>
      <w:bookmarkEnd w:id="347"/>
      <w:bookmarkEnd w:id="348"/>
    </w:p>
    <w:p w:rsidR="00005545" w:rsidRPr="006D77B4" w:rsidRDefault="00005545" w:rsidP="002C40B2">
      <w:pPr>
        <w:spacing w:after="120"/>
        <w:rPr>
          <w:i/>
          <w:iCs/>
          <w:sz w:val="16"/>
          <w:szCs w:val="16"/>
        </w:rPr>
      </w:pPr>
      <w:r w:rsidRPr="006D77B4">
        <w:rPr>
          <w:i/>
          <w:iCs/>
          <w:noProof/>
          <w:sz w:val="16"/>
          <w:szCs w:val="16"/>
        </w:rPr>
        <w:drawing>
          <wp:inline distT="0" distB="0" distL="0" distR="0">
            <wp:extent cx="5723906" cy="2149433"/>
            <wp:effectExtent l="0" t="0" r="10160" b="22860"/>
            <wp:docPr id="230" name="Graf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005545" w:rsidRPr="00797213" w:rsidRDefault="00005545" w:rsidP="002C40B2">
      <w:pPr>
        <w:pStyle w:val="poznzdroj"/>
        <w:spacing w:after="0" w:line="276" w:lineRule="auto"/>
        <w:rPr>
          <w:szCs w:val="20"/>
        </w:rPr>
      </w:pPr>
      <w:r w:rsidRPr="00797213">
        <w:rPr>
          <w:szCs w:val="20"/>
        </w:rPr>
        <w:t xml:space="preserve">Poznámka: Počty lékařů a všeobecných sester a porodních asistentek jsou evidenční počty zaměstnanců </w:t>
      </w:r>
      <w:r w:rsidR="00F372C0" w:rsidRPr="00797213">
        <w:rPr>
          <w:szCs w:val="20"/>
        </w:rPr>
        <w:br/>
      </w:r>
      <w:r w:rsidRPr="00797213">
        <w:rPr>
          <w:szCs w:val="20"/>
        </w:rPr>
        <w:t>a zaměstnavatelé (přepočtený počet)</w:t>
      </w:r>
      <w:r w:rsidR="00F372C0" w:rsidRPr="00797213">
        <w:rPr>
          <w:szCs w:val="20"/>
        </w:rPr>
        <w:t>.</w:t>
      </w:r>
    </w:p>
    <w:p w:rsidR="00005545" w:rsidRPr="00797213" w:rsidRDefault="00005545" w:rsidP="002C40B2">
      <w:pPr>
        <w:pStyle w:val="poznzdroj"/>
        <w:spacing w:before="0" w:line="276" w:lineRule="auto"/>
        <w:rPr>
          <w:szCs w:val="20"/>
        </w:rPr>
      </w:pPr>
      <w:r w:rsidRPr="00797213">
        <w:rPr>
          <w:szCs w:val="20"/>
        </w:rPr>
        <w:t>Zdroj: ČSÚ - Zdravotnictví v regionálním pohledu, 2013</w:t>
      </w:r>
    </w:p>
    <w:p w:rsidR="00005545" w:rsidRPr="006D77B4" w:rsidRDefault="00005545" w:rsidP="002C40B2">
      <w:pPr>
        <w:rPr>
          <w:kern w:val="32"/>
        </w:rPr>
      </w:pPr>
      <w:r w:rsidRPr="006D77B4">
        <w:rPr>
          <w:kern w:val="32"/>
        </w:rPr>
        <w:t>Porovnáme-li jednotlivé regiony podle počtu lůžek v nemocnicích na 10 </w:t>
      </w:r>
      <w:r>
        <w:rPr>
          <w:kern w:val="32"/>
        </w:rPr>
        <w:t>tisíc</w:t>
      </w:r>
      <w:r w:rsidRPr="006D77B4">
        <w:rPr>
          <w:kern w:val="32"/>
        </w:rPr>
        <w:t xml:space="preserve"> obyvatel</w:t>
      </w:r>
      <w:r>
        <w:rPr>
          <w:kern w:val="32"/>
        </w:rPr>
        <w:t>,</w:t>
      </w:r>
      <w:r w:rsidRPr="006D77B4">
        <w:rPr>
          <w:kern w:val="32"/>
        </w:rPr>
        <w:t xml:space="preserve"> je situace ve všech čtyřech regionech poměrně stejná</w:t>
      </w:r>
      <w:r>
        <w:rPr>
          <w:kern w:val="32"/>
        </w:rPr>
        <w:t>. Ž</w:t>
      </w:r>
      <w:r w:rsidRPr="006D77B4">
        <w:rPr>
          <w:kern w:val="32"/>
        </w:rPr>
        <w:t>ádný z krajů nedosahuje průměru Č</w:t>
      </w:r>
      <w:r>
        <w:rPr>
          <w:kern w:val="32"/>
        </w:rPr>
        <w:t>R</w:t>
      </w:r>
      <w:r w:rsidRPr="006D77B4">
        <w:rPr>
          <w:kern w:val="32"/>
        </w:rPr>
        <w:t>. Mezi kraji je situace nejpříznivější na Vysočině a následně v </w:t>
      </w:r>
      <w:r>
        <w:rPr>
          <w:kern w:val="32"/>
        </w:rPr>
        <w:t>Pardubickém</w:t>
      </w:r>
      <w:r w:rsidRPr="006D77B4">
        <w:rPr>
          <w:kern w:val="32"/>
        </w:rPr>
        <w:t xml:space="preserve"> kraji (viz</w:t>
      </w:r>
      <w:r w:rsidR="0095288C">
        <w:rPr>
          <w:kern w:val="32"/>
        </w:rPr>
        <w:t xml:space="preserve"> graf 13.3</w:t>
      </w:r>
      <w:r w:rsidRPr="006D77B4">
        <w:rPr>
          <w:kern w:val="32"/>
        </w:rPr>
        <w:t xml:space="preserve">). Výrazné rozdíly jsou uvnitř </w:t>
      </w:r>
      <w:r>
        <w:rPr>
          <w:kern w:val="32"/>
        </w:rPr>
        <w:t xml:space="preserve">Karlovarského </w:t>
      </w:r>
      <w:r w:rsidRPr="006D77B4">
        <w:rPr>
          <w:kern w:val="32"/>
        </w:rPr>
        <w:t>kraje, kde okres Cheb dosahuj</w:t>
      </w:r>
      <w:r>
        <w:rPr>
          <w:kern w:val="32"/>
        </w:rPr>
        <w:t>e</w:t>
      </w:r>
      <w:r w:rsidRPr="006D77B4">
        <w:rPr>
          <w:kern w:val="32"/>
        </w:rPr>
        <w:t xml:space="preserve"> počtem lůžek na 10 tis</w:t>
      </w:r>
      <w:r>
        <w:rPr>
          <w:kern w:val="32"/>
        </w:rPr>
        <w:t>íc</w:t>
      </w:r>
      <w:r w:rsidRPr="006D77B4">
        <w:rPr>
          <w:kern w:val="32"/>
        </w:rPr>
        <w:t xml:space="preserve"> obyvatel okolo</w:t>
      </w:r>
      <w:r>
        <w:rPr>
          <w:kern w:val="32"/>
        </w:rPr>
        <w:t xml:space="preserve"> 86% a okres Sokolov 78%</w:t>
      </w:r>
      <w:r w:rsidRPr="006D77B4">
        <w:rPr>
          <w:kern w:val="32"/>
        </w:rPr>
        <w:t xml:space="preserve"> průměru kraje jako celku</w:t>
      </w:r>
      <w:r>
        <w:rPr>
          <w:kern w:val="32"/>
        </w:rPr>
        <w:t>,</w:t>
      </w:r>
      <w:r w:rsidRPr="006D77B4">
        <w:rPr>
          <w:kern w:val="32"/>
        </w:rPr>
        <w:t xml:space="preserve"> a naopak okres Karlovy Vary má počet lůžek na 10 tis</w:t>
      </w:r>
      <w:r>
        <w:rPr>
          <w:kern w:val="32"/>
        </w:rPr>
        <w:t>íc</w:t>
      </w:r>
      <w:r w:rsidRPr="006D77B4">
        <w:rPr>
          <w:kern w:val="32"/>
        </w:rPr>
        <w:t xml:space="preserve"> obyvatel o 28 % vyšší.</w:t>
      </w:r>
    </w:p>
    <w:p w:rsidR="00005545" w:rsidRPr="00472777" w:rsidRDefault="005C7AB3" w:rsidP="000B3B9C">
      <w:pPr>
        <w:pStyle w:val="Titulek"/>
      </w:pPr>
      <w:bookmarkStart w:id="349" w:name="_Toc321406414"/>
      <w:bookmarkStart w:id="350" w:name="_Toc310604105"/>
      <w:bookmarkStart w:id="351" w:name="_Toc310604039"/>
      <w:bookmarkStart w:id="352" w:name="_Toc488234375"/>
      <w:r>
        <w:lastRenderedPageBreak/>
        <w:t xml:space="preserve">Graf </w:t>
      </w:r>
      <w:r w:rsidR="008965FE">
        <w:fldChar w:fldCharType="begin"/>
      </w:r>
      <w:r w:rsidR="00FD378B">
        <w:instrText xml:space="preserve"> STYLEREF 1 \s </w:instrText>
      </w:r>
      <w:r w:rsidR="008965FE">
        <w:fldChar w:fldCharType="separate"/>
      </w:r>
      <w:r w:rsidR="00CB29BD">
        <w:t>13</w:t>
      </w:r>
      <w:r w:rsidR="008965FE">
        <w:fldChar w:fldCharType="end"/>
      </w:r>
      <w:r w:rsidR="00FD378B">
        <w:t>.</w:t>
      </w:r>
      <w:r w:rsidR="008965FE">
        <w:fldChar w:fldCharType="begin"/>
      </w:r>
      <w:r w:rsidR="00FD378B">
        <w:instrText xml:space="preserve"> SEQ Graf \* ARABIC \s 1 </w:instrText>
      </w:r>
      <w:r w:rsidR="008965FE">
        <w:fldChar w:fldCharType="separate"/>
      </w:r>
      <w:r w:rsidR="00CB29BD">
        <w:t>3</w:t>
      </w:r>
      <w:r w:rsidR="008965FE">
        <w:fldChar w:fldCharType="end"/>
      </w:r>
      <w:r w:rsidR="00005545" w:rsidRPr="006D77B4">
        <w:t xml:space="preserve">: Přehled počtu lůžek v nemocnicích na 10 </w:t>
      </w:r>
      <w:r w:rsidR="00005545">
        <w:t>tisíc</w:t>
      </w:r>
      <w:r w:rsidR="00005545" w:rsidRPr="006D77B4">
        <w:t xml:space="preserve"> obyvatel u vybraných krajů (rok 201</w:t>
      </w:r>
      <w:r w:rsidR="00005545">
        <w:t>3</w:t>
      </w:r>
      <w:r w:rsidR="00005545" w:rsidRPr="006D77B4">
        <w:t>)</w:t>
      </w:r>
      <w:bookmarkEnd w:id="349"/>
      <w:bookmarkEnd w:id="350"/>
      <w:bookmarkEnd w:id="351"/>
      <w:bookmarkEnd w:id="352"/>
    </w:p>
    <w:p w:rsidR="00005545" w:rsidRDefault="00005545" w:rsidP="002C40B2">
      <w:pPr>
        <w:spacing w:after="120"/>
        <w:jc w:val="center"/>
        <w:rPr>
          <w:kern w:val="32"/>
        </w:rPr>
      </w:pPr>
      <w:r>
        <w:rPr>
          <w:noProof/>
        </w:rPr>
        <w:drawing>
          <wp:inline distT="0" distB="0" distL="0" distR="0">
            <wp:extent cx="5760720" cy="2610269"/>
            <wp:effectExtent l="0" t="0" r="11430" b="19050"/>
            <wp:docPr id="231" name="Graf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005545" w:rsidRPr="00A51B68" w:rsidRDefault="00005545" w:rsidP="002C40B2">
      <w:pPr>
        <w:pStyle w:val="poznzdroj"/>
        <w:spacing w:line="276" w:lineRule="auto"/>
      </w:pPr>
      <w:r w:rsidRPr="00A51B68">
        <w:t xml:space="preserve">Zdroj: </w:t>
      </w:r>
      <w:r w:rsidR="00797213">
        <w:t>ÚZIS</w:t>
      </w:r>
      <w:r w:rsidRPr="00A51B68">
        <w:t xml:space="preserve"> </w:t>
      </w:r>
    </w:p>
    <w:p w:rsidR="00005545" w:rsidRDefault="00005545" w:rsidP="002C40B2">
      <w:r w:rsidRPr="00F00860">
        <w:t xml:space="preserve">V rámci poskytovaných zdravotních služeb lůžkové péče je ve všech čtyřech nemocnicích zachován lůžkový fond pro základní obory (interna, chirurgie, gynekologie a pediatrie). Co se týká </w:t>
      </w:r>
      <w:r w:rsidRPr="0076533A">
        <w:rPr>
          <w:b/>
        </w:rPr>
        <w:t>specializované a superspecializované péče</w:t>
      </w:r>
      <w:r>
        <w:t xml:space="preserve">, fungují v Karlovarském kraji </w:t>
      </w:r>
      <w:r w:rsidRPr="00582374">
        <w:rPr>
          <w:b/>
        </w:rPr>
        <w:t>čtyři specializovaná centra</w:t>
      </w:r>
      <w:r>
        <w:t>. V Karlových Varech je to iktové centrum, kardiologie a perinatologické centrum a v Sokolově další iktové centrum. Mezi další specializované</w:t>
      </w:r>
      <w:r w:rsidRPr="00F00860">
        <w:t xml:space="preserve"> obor</w:t>
      </w:r>
      <w:r>
        <w:t>y</w:t>
      </w:r>
      <w:r w:rsidRPr="00F00860">
        <w:t xml:space="preserve"> mimo nemocnici Karlovy Vary </w:t>
      </w:r>
      <w:r>
        <w:t xml:space="preserve">patří </w:t>
      </w:r>
      <w:r w:rsidRPr="00F00860">
        <w:t xml:space="preserve">např. onkologická péče v nemocnici Cheb, </w:t>
      </w:r>
      <w:r>
        <w:t xml:space="preserve">či </w:t>
      </w:r>
      <w:r w:rsidRPr="00F00860">
        <w:t xml:space="preserve">oční oddělení v nemocnici Sokolov. </w:t>
      </w:r>
      <w:r w:rsidRPr="00727B9F">
        <w:t xml:space="preserve">Onkologie v Chebu však nemá statut onkologického centra, jelikož </w:t>
      </w:r>
      <w:r>
        <w:t>nesplňuje</w:t>
      </w:r>
      <w:r w:rsidRPr="00727B9F">
        <w:t xml:space="preserve"> náročné legislativní požadavky.</w:t>
      </w:r>
      <w:r w:rsidRPr="00F00860">
        <w:t xml:space="preserve"> </w:t>
      </w:r>
    </w:p>
    <w:p w:rsidR="00005545" w:rsidRDefault="00005545" w:rsidP="002C40B2">
      <w:r>
        <w:t>Z</w:t>
      </w:r>
      <w:r w:rsidRPr="00F00860">
        <w:t xml:space="preserve">řízení </w:t>
      </w:r>
      <w:r>
        <w:t>dalších</w:t>
      </w:r>
      <w:r w:rsidRPr="00F00860">
        <w:t xml:space="preserve"> center v kraji </w:t>
      </w:r>
      <w:r>
        <w:t>komplikuje</w:t>
      </w:r>
      <w:r w:rsidRPr="00F00860">
        <w:t xml:space="preserve"> </w:t>
      </w:r>
      <w:r>
        <w:t xml:space="preserve">mj. </w:t>
      </w:r>
      <w:r w:rsidRPr="00F00860">
        <w:t xml:space="preserve">celkově nízký počet obyvatel Karlovarského kraje. </w:t>
      </w:r>
      <w:r w:rsidRPr="00585FD6">
        <w:t xml:space="preserve">Zdravotnický systém Karlovarského kraje </w:t>
      </w:r>
      <w:r>
        <w:t xml:space="preserve">proto </w:t>
      </w:r>
      <w:r w:rsidRPr="0076533A">
        <w:rPr>
          <w:b/>
        </w:rPr>
        <w:t>neaspiruje</w:t>
      </w:r>
      <w:r>
        <w:t xml:space="preserve"> </w:t>
      </w:r>
      <w:r>
        <w:rPr>
          <w:b/>
        </w:rPr>
        <w:t>na</w:t>
      </w:r>
      <w:r w:rsidRPr="00585FD6">
        <w:rPr>
          <w:b/>
        </w:rPr>
        <w:t xml:space="preserve"> poskytov</w:t>
      </w:r>
      <w:r>
        <w:rPr>
          <w:b/>
        </w:rPr>
        <w:t>ání</w:t>
      </w:r>
      <w:r w:rsidRPr="00585FD6">
        <w:rPr>
          <w:b/>
        </w:rPr>
        <w:t xml:space="preserve"> kompletní</w:t>
      </w:r>
      <w:r>
        <w:rPr>
          <w:b/>
        </w:rPr>
        <w:t>ho spektra</w:t>
      </w:r>
      <w:r w:rsidRPr="00585FD6">
        <w:rPr>
          <w:b/>
        </w:rPr>
        <w:t xml:space="preserve"> zdravotní péče</w:t>
      </w:r>
      <w:r w:rsidRPr="00585FD6">
        <w:t>. V případě některých superspecializovaných odborností (např. transplantace orgánů, léčba popálenin, hyperbaroxie, JIP pro HIV+, vyšší resuscitační péče pro děti atd.) bude zachována návaznost na fakultní a krajské nemocnice (FN Plzeň, pražské FN, Masarykova nemocnice Ústí nad Labem). Karlovarský kraj nebude usilovat o zajištění této superspecializované péče s ohledem na vysoké personální, technické i finanční požadavky pro její zajištění.</w:t>
      </w:r>
    </w:p>
    <w:p w:rsidR="00005545" w:rsidRDefault="00005545" w:rsidP="002C40B2">
      <w:r w:rsidRPr="008A7D5D">
        <w:t>Mezi další klíčové problémy patří nárůst nákladů na poskytování zdravotní péče, který není následován odpovídajícím financováním zdravotních pojišťoven</w:t>
      </w:r>
      <w:r w:rsidRPr="00315FB7">
        <w:t>,</w:t>
      </w:r>
      <w:r w:rsidRPr="00AB30D5">
        <w:t xml:space="preserve"> roztříštěná péče, pokles výkonů v</w:t>
      </w:r>
      <w:r w:rsidR="001C6358">
        <w:t> </w:t>
      </w:r>
      <w:r w:rsidRPr="00AB30D5">
        <w:t>KKN</w:t>
      </w:r>
      <w:r w:rsidR="001C6358">
        <w:t>,</w:t>
      </w:r>
      <w:r w:rsidRPr="00AB30D5">
        <w:t xml:space="preserve"> a.</w:t>
      </w:r>
      <w:r w:rsidR="001C6358">
        <w:t xml:space="preserve"> </w:t>
      </w:r>
      <w:r w:rsidRPr="00AB30D5">
        <w:t xml:space="preserve">s. (zejména operačních výkonů), technicky nevyhovující budovy, zastaralé a dosluhující zdravotnické vybavení a přístroje a nadbytek akutních lůžek v kraji v porovnání s doporučením MZ ČR doprovázený jejich nízkým využitím. </w:t>
      </w:r>
      <w:r w:rsidRPr="00315FB7">
        <w:t>V</w:t>
      </w:r>
      <w:r w:rsidRPr="00120930">
        <w:t> Kraji dochází v posledních letech stále k poklesu akutních lůžek (v roce 2013 v porovnání s rokem 2010 pokles o 241</w:t>
      </w:r>
      <w:r>
        <w:t xml:space="preserve"> lůžek).</w:t>
      </w:r>
      <w:r w:rsidRPr="00120930">
        <w:t xml:space="preserve"> </w:t>
      </w:r>
    </w:p>
    <w:p w:rsidR="00005545" w:rsidRPr="008A7D5D" w:rsidRDefault="00005545" w:rsidP="002C40B2">
      <w:r w:rsidRPr="006D77B4">
        <w:t xml:space="preserve">Dále v Karlovarském kraji </w:t>
      </w:r>
      <w:r w:rsidRPr="006D77B4">
        <w:rPr>
          <w:b/>
          <w:bCs/>
        </w:rPr>
        <w:t>nemají obyvatelé k</w:t>
      </w:r>
      <w:r>
        <w:rPr>
          <w:b/>
          <w:bCs/>
        </w:rPr>
        <w:t> </w:t>
      </w:r>
      <w:r w:rsidRPr="006D77B4">
        <w:rPr>
          <w:b/>
          <w:bCs/>
        </w:rPr>
        <w:t>dispozici</w:t>
      </w:r>
      <w:r>
        <w:rPr>
          <w:b/>
          <w:bCs/>
        </w:rPr>
        <w:t xml:space="preserve"> lůžkové</w:t>
      </w:r>
      <w:r w:rsidRPr="006D77B4">
        <w:rPr>
          <w:b/>
          <w:bCs/>
        </w:rPr>
        <w:t xml:space="preserve"> zařízení hospicového charakteru zajišťující paliativní péči</w:t>
      </w:r>
      <w:r w:rsidRPr="006D77B4">
        <w:rPr>
          <w:rFonts w:cs="Times New Roman"/>
          <w:vertAlign w:val="superscript"/>
        </w:rPr>
        <w:footnoteReference w:id="28"/>
      </w:r>
      <w:r w:rsidRPr="006D77B4">
        <w:t xml:space="preserve">. </w:t>
      </w:r>
      <w:r>
        <w:t>T</w:t>
      </w:r>
      <w:r w:rsidRPr="006D77B4">
        <w:t xml:space="preserve">uto funkci </w:t>
      </w:r>
      <w:r>
        <w:t>zatím naplňuje</w:t>
      </w:r>
      <w:r w:rsidRPr="006D77B4">
        <w:t xml:space="preserve"> krajsk</w:t>
      </w:r>
      <w:r>
        <w:t>á</w:t>
      </w:r>
      <w:r w:rsidRPr="006D77B4">
        <w:t xml:space="preserve"> </w:t>
      </w:r>
      <w:r>
        <w:t xml:space="preserve">organizace </w:t>
      </w:r>
      <w:r w:rsidRPr="008A7D5D">
        <w:rPr>
          <w:kern w:val="32"/>
        </w:rPr>
        <w:t>Z</w:t>
      </w:r>
      <w:hyperlink r:id="rId144" w:history="1">
        <w:r w:rsidRPr="008A7D5D">
          <w:rPr>
            <w:rFonts w:cs="Arial"/>
            <w:bCs/>
          </w:rPr>
          <w:t>ařízení následné rehabilitační a hospicové péče, p</w:t>
        </w:r>
        <w:r w:rsidR="001C6358">
          <w:rPr>
            <w:rFonts w:cs="Arial"/>
            <w:bCs/>
          </w:rPr>
          <w:t>.</w:t>
        </w:r>
      </w:hyperlink>
      <w:r w:rsidR="001C6358">
        <w:rPr>
          <w:rFonts w:cs="Arial"/>
          <w:bCs/>
        </w:rPr>
        <w:t xml:space="preserve"> o.</w:t>
      </w:r>
      <w:r w:rsidRPr="006D77B4">
        <w:t xml:space="preserve"> Karlovarský kraj je společně s Libereckým krajem jedinými regiony v rámci České republiky, kde toto zařízení není provozováno.</w:t>
      </w:r>
      <w:r>
        <w:t xml:space="preserve"> </w:t>
      </w:r>
      <w:r w:rsidRPr="008A7D5D">
        <w:t xml:space="preserve">Nicméně tato otázka se již řeší a </w:t>
      </w:r>
      <w:r w:rsidRPr="008A7D5D">
        <w:lastRenderedPageBreak/>
        <w:t xml:space="preserve">do roku 2018 by měl být při Zařízení následné rehabilitační a hospicové péče, </w:t>
      </w:r>
      <w:r w:rsidR="00FF42C4">
        <w:t>p. o.</w:t>
      </w:r>
      <w:r>
        <w:t>,</w:t>
      </w:r>
      <w:r w:rsidRPr="008A7D5D">
        <w:t xml:space="preserve"> vybudován nový pavilon sloužící jako lůžkový hospic.</w:t>
      </w:r>
    </w:p>
    <w:p w:rsidR="00005545" w:rsidRPr="006D77B4" w:rsidRDefault="00005545" w:rsidP="002C40B2">
      <w:r>
        <w:t>Z</w:t>
      </w:r>
      <w:r w:rsidRPr="006D77B4">
        <w:t>dravotnická záchranná služba Karlovarského kraje</w:t>
      </w:r>
      <w:r>
        <w:t>, příspěvková organizace (ZZS KK),</w:t>
      </w:r>
      <w:r w:rsidRPr="006D77B4">
        <w:t xml:space="preserve"> je krajskou organizací, která má celkem tři oblastní střediska - Karlovy Vary, Sokolov a Cheb. </w:t>
      </w:r>
      <w:r w:rsidRPr="002E61C7">
        <w:t>Tato střediska mají pod sebou celkem 1</w:t>
      </w:r>
      <w:r>
        <w:t>3</w:t>
      </w:r>
      <w:r w:rsidRPr="002E61C7">
        <w:t xml:space="preserve"> výjezdových </w:t>
      </w:r>
      <w:r>
        <w:t>základen</w:t>
      </w:r>
      <w:r w:rsidRPr="002E61C7">
        <w:t>. Oblastní středisko Cheb má výjezdov</w:t>
      </w:r>
      <w:r>
        <w:t>ou</w:t>
      </w:r>
      <w:r w:rsidRPr="002E61C7">
        <w:t xml:space="preserve"> </w:t>
      </w:r>
      <w:r>
        <w:t>základnu</w:t>
      </w:r>
      <w:r w:rsidRPr="002E61C7">
        <w:t xml:space="preserve"> </w:t>
      </w:r>
      <w:r>
        <w:br/>
      </w:r>
      <w:r w:rsidRPr="002E61C7">
        <w:t>v Mariánských Lázních, Chebu,</w:t>
      </w:r>
      <w:r>
        <w:t xml:space="preserve"> </w:t>
      </w:r>
      <w:r w:rsidRPr="002E61C7">
        <w:t>Tep</w:t>
      </w:r>
      <w:r>
        <w:t>lé, Lubech</w:t>
      </w:r>
      <w:r w:rsidRPr="002E61C7">
        <w:t xml:space="preserve"> a Aši. Oblastní středisko Sokolov má </w:t>
      </w:r>
      <w:r>
        <w:t xml:space="preserve">základny </w:t>
      </w:r>
      <w:r>
        <w:br/>
      </w:r>
      <w:r w:rsidRPr="002E61C7">
        <w:t xml:space="preserve">v Kraslicích, Sokolově a Horním Slavkově. Středisko v Karlových Varech má </w:t>
      </w:r>
      <w:r>
        <w:t>základny</w:t>
      </w:r>
      <w:r w:rsidRPr="002E61C7">
        <w:t xml:space="preserve"> v Jáchymově, Nejdku, Žluticích, Toužimi a Karlových Varech.</w:t>
      </w:r>
      <w:r w:rsidRPr="006D77B4">
        <w:t xml:space="preserve"> ZZS </w:t>
      </w:r>
      <w:r>
        <w:t>KK</w:t>
      </w:r>
      <w:r w:rsidRPr="006D77B4">
        <w:t xml:space="preserve"> nemá k dispozici vlastní leteckou záchrannou službu, proto dochází ke spolupráci s leteckou záchrannou službou v Plzeňském a Ústeckém kraji.</w:t>
      </w:r>
    </w:p>
    <w:p w:rsidR="00005545" w:rsidRDefault="00005545" w:rsidP="002C40B2">
      <w:r w:rsidRPr="006D77B4">
        <w:t xml:space="preserve">Karlovarský kraj programově podporuje formou dotačního příspěvku činnost právnických nebo fyzických osob, které </w:t>
      </w:r>
      <w:r>
        <w:t>realizují projekty v oblasti zdravotnictví na osvětu a výchovu zdravého způsobu života, zmírňování následků onemocněním či poškozením zdraví.</w:t>
      </w:r>
      <w:r w:rsidRPr="006D77B4">
        <w:t xml:space="preserve"> </w:t>
      </w:r>
    </w:p>
    <w:p w:rsidR="00005545" w:rsidRDefault="00005545" w:rsidP="002C40B2">
      <w:r w:rsidRPr="006D77B4">
        <w:t>Dále poskytuje finanční prostředky ze svého rozpočtu na zajištění činnosti ZZS KK</w:t>
      </w:r>
      <w:r>
        <w:t xml:space="preserve"> a</w:t>
      </w:r>
      <w:r w:rsidRPr="006D77B4">
        <w:t xml:space="preserve"> Krajského dětského domova pro děti do 3 let</w:t>
      </w:r>
      <w:r>
        <w:t>, příspěvková organizace</w:t>
      </w:r>
      <w:r w:rsidRPr="006D77B4">
        <w:t xml:space="preserve">. </w:t>
      </w:r>
    </w:p>
    <w:p w:rsidR="00005545" w:rsidRPr="006D77B4" w:rsidRDefault="00005545" w:rsidP="002C40B2">
      <w:r w:rsidRPr="006D77B4">
        <w:t>Kraj v neposlední řadě připravuje a realizuje investiční projekty v rámci svých zařízení</w:t>
      </w:r>
      <w:r>
        <w:t xml:space="preserve"> a dále předfinancovává a spolufinancuje projekty v oblasti zdravotnictví z finančních zdrojů EU.</w:t>
      </w:r>
      <w:r w:rsidRPr="006D77B4">
        <w:t xml:space="preserve"> </w:t>
      </w:r>
      <w:r w:rsidR="00FF42C4">
        <w:t>H</w:t>
      </w:r>
      <w:r w:rsidRPr="006D77B4">
        <w:t xml:space="preserve">lavní investiční aktivity </w:t>
      </w:r>
      <w:r>
        <w:t>jsou uvedeny v tabulce níže.</w:t>
      </w:r>
    </w:p>
    <w:p w:rsidR="00495E3A" w:rsidRDefault="00005545" w:rsidP="000B3B9C">
      <w:pPr>
        <w:pStyle w:val="Titulek"/>
      </w:pPr>
      <w:bookmarkStart w:id="353" w:name="_Toc488233509"/>
      <w:r w:rsidRPr="00472777">
        <w:t xml:space="preserve">Tabulka </w:t>
      </w:r>
      <w:r w:rsidR="008965FE">
        <w:fldChar w:fldCharType="begin"/>
      </w:r>
      <w:r w:rsidR="00B33DFE">
        <w:instrText xml:space="preserve"> STYLEREF 1 \s </w:instrText>
      </w:r>
      <w:r w:rsidR="008965FE">
        <w:fldChar w:fldCharType="separate"/>
      </w:r>
      <w:r w:rsidR="00CB29BD">
        <w:t>13</w:t>
      </w:r>
      <w:r w:rsidR="008965FE">
        <w:fldChar w:fldCharType="end"/>
      </w:r>
      <w:r w:rsidR="002C40B2">
        <w:t>.</w:t>
      </w:r>
      <w:r w:rsidR="008965FE">
        <w:fldChar w:fldCharType="begin"/>
      </w:r>
      <w:r w:rsidR="005718A5">
        <w:instrText xml:space="preserve"> SEQ Tabulka \* ARABIC \s 1 </w:instrText>
      </w:r>
      <w:r w:rsidR="008965FE">
        <w:fldChar w:fldCharType="separate"/>
      </w:r>
      <w:r w:rsidR="00CB29BD">
        <w:t>1</w:t>
      </w:r>
      <w:r w:rsidR="008965FE">
        <w:fldChar w:fldCharType="end"/>
      </w:r>
      <w:r w:rsidRPr="00472777">
        <w:t>: Připravované projekty v oblasti zdravotnictví v Karlovarském kraji (k  30.</w:t>
      </w:r>
      <w:r w:rsidR="000562C0">
        <w:t xml:space="preserve"> </w:t>
      </w:r>
      <w:r w:rsidRPr="00472777">
        <w:t>6.</w:t>
      </w:r>
      <w:r w:rsidR="000562C0">
        <w:t xml:space="preserve"> </w:t>
      </w:r>
      <w:r w:rsidRPr="00472777">
        <w:t>2016)</w:t>
      </w:r>
      <w:bookmarkEnd w:id="353"/>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4"/>
        <w:gridCol w:w="1015"/>
        <w:gridCol w:w="1311"/>
        <w:gridCol w:w="2170"/>
      </w:tblGrid>
      <w:tr w:rsidR="00005545" w:rsidRPr="003A16E7" w:rsidTr="000562C0">
        <w:tc>
          <w:tcPr>
            <w:tcW w:w="2551" w:type="pct"/>
            <w:tcBorders>
              <w:top w:val="single" w:sz="4" w:space="0" w:color="auto"/>
              <w:left w:val="single" w:sz="4" w:space="0" w:color="auto"/>
              <w:bottom w:val="single" w:sz="4" w:space="0" w:color="auto"/>
              <w:right w:val="single" w:sz="4" w:space="0" w:color="auto"/>
            </w:tcBorders>
            <w:hideMark/>
          </w:tcPr>
          <w:p w:rsidR="00005545" w:rsidRPr="003A16E7" w:rsidRDefault="00005545" w:rsidP="002C40B2">
            <w:pPr>
              <w:spacing w:after="0"/>
              <w:jc w:val="left"/>
              <w:rPr>
                <w:b/>
                <w:bCs/>
                <w:sz w:val="20"/>
                <w:szCs w:val="20"/>
              </w:rPr>
            </w:pPr>
            <w:r w:rsidRPr="003A16E7">
              <w:rPr>
                <w:b/>
                <w:bCs/>
                <w:sz w:val="20"/>
                <w:szCs w:val="20"/>
              </w:rPr>
              <w:t>Název investiční akce</w:t>
            </w:r>
          </w:p>
        </w:tc>
        <w:tc>
          <w:tcPr>
            <w:tcW w:w="553" w:type="pct"/>
            <w:tcBorders>
              <w:top w:val="single" w:sz="4" w:space="0" w:color="auto"/>
              <w:left w:val="single" w:sz="4" w:space="0" w:color="auto"/>
              <w:bottom w:val="single" w:sz="4" w:space="0" w:color="auto"/>
              <w:right w:val="single" w:sz="4" w:space="0" w:color="auto"/>
            </w:tcBorders>
            <w:hideMark/>
          </w:tcPr>
          <w:p w:rsidR="00005545" w:rsidRPr="003A16E7" w:rsidRDefault="00005545" w:rsidP="002C40B2">
            <w:pPr>
              <w:spacing w:after="0"/>
              <w:jc w:val="center"/>
              <w:rPr>
                <w:b/>
                <w:bCs/>
                <w:sz w:val="20"/>
                <w:szCs w:val="20"/>
              </w:rPr>
            </w:pPr>
            <w:r w:rsidRPr="003A16E7">
              <w:rPr>
                <w:b/>
                <w:bCs/>
                <w:sz w:val="20"/>
                <w:szCs w:val="20"/>
              </w:rPr>
              <w:t>Rozpočet (tis. Kč)</w:t>
            </w:r>
          </w:p>
        </w:tc>
        <w:tc>
          <w:tcPr>
            <w:tcW w:w="714" w:type="pct"/>
            <w:tcBorders>
              <w:top w:val="single" w:sz="4" w:space="0" w:color="auto"/>
              <w:left w:val="single" w:sz="4" w:space="0" w:color="auto"/>
              <w:bottom w:val="single" w:sz="4" w:space="0" w:color="auto"/>
              <w:right w:val="single" w:sz="4" w:space="0" w:color="auto"/>
            </w:tcBorders>
            <w:hideMark/>
          </w:tcPr>
          <w:p w:rsidR="00005545" w:rsidRPr="003A16E7" w:rsidRDefault="00005545" w:rsidP="002C40B2">
            <w:pPr>
              <w:spacing w:after="0"/>
              <w:jc w:val="center"/>
              <w:rPr>
                <w:b/>
                <w:bCs/>
                <w:sz w:val="20"/>
                <w:szCs w:val="20"/>
              </w:rPr>
            </w:pPr>
            <w:r w:rsidRPr="003A16E7">
              <w:rPr>
                <w:b/>
                <w:bCs/>
                <w:sz w:val="20"/>
                <w:szCs w:val="20"/>
              </w:rPr>
              <w:t>Termín podání žádosti</w:t>
            </w:r>
          </w:p>
        </w:tc>
        <w:tc>
          <w:tcPr>
            <w:tcW w:w="1182" w:type="pct"/>
            <w:tcBorders>
              <w:top w:val="single" w:sz="4" w:space="0" w:color="auto"/>
              <w:left w:val="single" w:sz="4" w:space="0" w:color="auto"/>
              <w:bottom w:val="single" w:sz="4" w:space="0" w:color="auto"/>
              <w:right w:val="single" w:sz="4" w:space="0" w:color="auto"/>
            </w:tcBorders>
            <w:hideMark/>
          </w:tcPr>
          <w:p w:rsidR="00005545" w:rsidRPr="003A16E7" w:rsidRDefault="00005545" w:rsidP="002C40B2">
            <w:pPr>
              <w:spacing w:after="0"/>
              <w:jc w:val="center"/>
              <w:rPr>
                <w:b/>
                <w:bCs/>
                <w:sz w:val="20"/>
                <w:szCs w:val="20"/>
              </w:rPr>
            </w:pPr>
            <w:r w:rsidRPr="003A16E7">
              <w:rPr>
                <w:b/>
                <w:bCs/>
                <w:sz w:val="20"/>
                <w:szCs w:val="20"/>
              </w:rPr>
              <w:t>Zdroj financování</w:t>
            </w:r>
          </w:p>
        </w:tc>
      </w:tr>
      <w:tr w:rsidR="00005545" w:rsidRPr="003A16E7" w:rsidTr="000562C0">
        <w:tc>
          <w:tcPr>
            <w:tcW w:w="2551"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rPr>
                <w:sz w:val="20"/>
                <w:szCs w:val="20"/>
              </w:rPr>
            </w:pPr>
            <w:r w:rsidRPr="003A16E7">
              <w:rPr>
                <w:sz w:val="20"/>
                <w:szCs w:val="20"/>
              </w:rPr>
              <w:t>Přístrojové vybavení KKN a.s., návazná péče, projekt I</w:t>
            </w:r>
          </w:p>
        </w:tc>
        <w:tc>
          <w:tcPr>
            <w:tcW w:w="553"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86 000</w:t>
            </w:r>
          </w:p>
        </w:tc>
        <w:tc>
          <w:tcPr>
            <w:tcW w:w="714"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2016</w:t>
            </w:r>
          </w:p>
        </w:tc>
        <w:tc>
          <w:tcPr>
            <w:tcW w:w="1182"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EU fondy/IOP – 85%</w:t>
            </w:r>
          </w:p>
          <w:p w:rsidR="00005545" w:rsidRPr="003A16E7" w:rsidRDefault="00005545" w:rsidP="002C40B2">
            <w:pPr>
              <w:spacing w:after="0"/>
              <w:jc w:val="center"/>
              <w:rPr>
                <w:sz w:val="20"/>
                <w:szCs w:val="20"/>
              </w:rPr>
            </w:pPr>
            <w:r w:rsidRPr="003A16E7">
              <w:rPr>
                <w:sz w:val="20"/>
                <w:szCs w:val="20"/>
              </w:rPr>
              <w:t>Karlovarský kraj – 15%</w:t>
            </w:r>
          </w:p>
        </w:tc>
      </w:tr>
      <w:tr w:rsidR="00005545" w:rsidRPr="003A16E7" w:rsidTr="000562C0">
        <w:tc>
          <w:tcPr>
            <w:tcW w:w="2551"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rPr>
                <w:sz w:val="20"/>
                <w:szCs w:val="20"/>
              </w:rPr>
            </w:pPr>
            <w:r w:rsidRPr="003A16E7">
              <w:rPr>
                <w:sz w:val="20"/>
                <w:szCs w:val="20"/>
              </w:rPr>
              <w:t>Přístrojové vybavení KKN a.s., návazná péče, projekt II</w:t>
            </w:r>
          </w:p>
        </w:tc>
        <w:tc>
          <w:tcPr>
            <w:tcW w:w="553"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66 000</w:t>
            </w:r>
          </w:p>
        </w:tc>
        <w:tc>
          <w:tcPr>
            <w:tcW w:w="714"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2016</w:t>
            </w:r>
          </w:p>
        </w:tc>
        <w:tc>
          <w:tcPr>
            <w:tcW w:w="1182"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EU fondy/IOP – 85%</w:t>
            </w:r>
          </w:p>
          <w:p w:rsidR="00005545" w:rsidRPr="003A16E7" w:rsidRDefault="00005545" w:rsidP="002C40B2">
            <w:pPr>
              <w:spacing w:after="0"/>
              <w:jc w:val="center"/>
              <w:rPr>
                <w:sz w:val="20"/>
                <w:szCs w:val="20"/>
              </w:rPr>
            </w:pPr>
            <w:r w:rsidRPr="003A16E7">
              <w:rPr>
                <w:sz w:val="20"/>
                <w:szCs w:val="20"/>
              </w:rPr>
              <w:t>Karlovarský kraj – 15%</w:t>
            </w:r>
          </w:p>
        </w:tc>
      </w:tr>
      <w:tr w:rsidR="00005545" w:rsidRPr="003A16E7" w:rsidTr="000562C0">
        <w:tc>
          <w:tcPr>
            <w:tcW w:w="2551"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rPr>
                <w:sz w:val="20"/>
                <w:szCs w:val="20"/>
              </w:rPr>
            </w:pPr>
            <w:r w:rsidRPr="003A16E7">
              <w:rPr>
                <w:sz w:val="20"/>
                <w:szCs w:val="20"/>
              </w:rPr>
              <w:t>Přístrojové vybavení KKN a.s., návazná péče, projekt III</w:t>
            </w:r>
          </w:p>
        </w:tc>
        <w:tc>
          <w:tcPr>
            <w:tcW w:w="553"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50 000</w:t>
            </w:r>
          </w:p>
        </w:tc>
        <w:tc>
          <w:tcPr>
            <w:tcW w:w="714"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2016</w:t>
            </w:r>
          </w:p>
        </w:tc>
        <w:tc>
          <w:tcPr>
            <w:tcW w:w="1182"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EU fondy/IOP – 85 %</w:t>
            </w:r>
          </w:p>
          <w:p w:rsidR="00005545" w:rsidRPr="003A16E7" w:rsidRDefault="00005545" w:rsidP="002C40B2">
            <w:pPr>
              <w:spacing w:after="0"/>
              <w:jc w:val="center"/>
              <w:rPr>
                <w:sz w:val="20"/>
                <w:szCs w:val="20"/>
              </w:rPr>
            </w:pPr>
            <w:r w:rsidRPr="003A16E7">
              <w:rPr>
                <w:sz w:val="20"/>
                <w:szCs w:val="20"/>
              </w:rPr>
              <w:t>Karlovarský kraj – 15%</w:t>
            </w:r>
          </w:p>
        </w:tc>
      </w:tr>
      <w:tr w:rsidR="00005545" w:rsidRPr="003A16E7" w:rsidTr="000562C0">
        <w:tc>
          <w:tcPr>
            <w:tcW w:w="2551"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rPr>
                <w:sz w:val="20"/>
                <w:szCs w:val="20"/>
              </w:rPr>
            </w:pPr>
            <w:r w:rsidRPr="003A16E7">
              <w:rPr>
                <w:sz w:val="20"/>
                <w:szCs w:val="20"/>
              </w:rPr>
              <w:t xml:space="preserve">Výstavba výjezdové základny ZZS KK v Ostrově </w:t>
            </w:r>
          </w:p>
        </w:tc>
        <w:tc>
          <w:tcPr>
            <w:tcW w:w="553"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12 339</w:t>
            </w:r>
          </w:p>
        </w:tc>
        <w:tc>
          <w:tcPr>
            <w:tcW w:w="714"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2016</w:t>
            </w:r>
          </w:p>
        </w:tc>
        <w:tc>
          <w:tcPr>
            <w:tcW w:w="1182"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EU fondy/IOP – 85%</w:t>
            </w:r>
          </w:p>
          <w:p w:rsidR="00005545" w:rsidRPr="003A16E7" w:rsidRDefault="00005545" w:rsidP="002C40B2">
            <w:pPr>
              <w:spacing w:after="0"/>
              <w:jc w:val="center"/>
              <w:rPr>
                <w:sz w:val="20"/>
                <w:szCs w:val="20"/>
              </w:rPr>
            </w:pPr>
            <w:r w:rsidRPr="003A16E7">
              <w:rPr>
                <w:sz w:val="20"/>
                <w:szCs w:val="20"/>
              </w:rPr>
              <w:t>státní rozpočet – 5%</w:t>
            </w:r>
          </w:p>
          <w:p w:rsidR="00005545" w:rsidRPr="003A16E7" w:rsidRDefault="00005545" w:rsidP="002C40B2">
            <w:pPr>
              <w:spacing w:after="0"/>
              <w:jc w:val="center"/>
              <w:rPr>
                <w:sz w:val="20"/>
                <w:szCs w:val="20"/>
              </w:rPr>
            </w:pPr>
            <w:r w:rsidRPr="003A16E7">
              <w:rPr>
                <w:sz w:val="20"/>
                <w:szCs w:val="20"/>
              </w:rPr>
              <w:t>Karlovarský kraj – 10%</w:t>
            </w:r>
          </w:p>
        </w:tc>
      </w:tr>
      <w:tr w:rsidR="00005545" w:rsidRPr="003A16E7" w:rsidTr="000562C0">
        <w:tc>
          <w:tcPr>
            <w:tcW w:w="2551"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rPr>
                <w:sz w:val="20"/>
                <w:szCs w:val="20"/>
              </w:rPr>
            </w:pPr>
            <w:r w:rsidRPr="003A16E7">
              <w:rPr>
                <w:sz w:val="20"/>
                <w:szCs w:val="20"/>
              </w:rPr>
              <w:t>Technika pro ZZS KK</w:t>
            </w:r>
          </w:p>
        </w:tc>
        <w:tc>
          <w:tcPr>
            <w:tcW w:w="553"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54 818</w:t>
            </w:r>
          </w:p>
        </w:tc>
        <w:tc>
          <w:tcPr>
            <w:tcW w:w="714"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2016</w:t>
            </w:r>
          </w:p>
        </w:tc>
        <w:tc>
          <w:tcPr>
            <w:tcW w:w="1182"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EU fondy/IOP – 85%</w:t>
            </w:r>
          </w:p>
          <w:p w:rsidR="00005545" w:rsidRPr="003A16E7" w:rsidRDefault="00005545" w:rsidP="002C40B2">
            <w:pPr>
              <w:spacing w:after="0"/>
              <w:jc w:val="center"/>
              <w:rPr>
                <w:sz w:val="20"/>
                <w:szCs w:val="20"/>
              </w:rPr>
            </w:pPr>
            <w:r w:rsidRPr="003A16E7">
              <w:rPr>
                <w:sz w:val="20"/>
                <w:szCs w:val="20"/>
              </w:rPr>
              <w:t>státní rozpočet – 5%</w:t>
            </w:r>
          </w:p>
          <w:p w:rsidR="00005545" w:rsidRPr="003A16E7" w:rsidRDefault="00005545" w:rsidP="002C40B2">
            <w:pPr>
              <w:spacing w:after="0"/>
              <w:jc w:val="center"/>
              <w:rPr>
                <w:sz w:val="20"/>
                <w:szCs w:val="20"/>
              </w:rPr>
            </w:pPr>
            <w:r w:rsidRPr="003A16E7">
              <w:rPr>
                <w:sz w:val="20"/>
                <w:szCs w:val="20"/>
              </w:rPr>
              <w:t>Karlovarský kraj – 10%</w:t>
            </w:r>
          </w:p>
        </w:tc>
      </w:tr>
      <w:tr w:rsidR="00005545" w:rsidRPr="003A16E7" w:rsidTr="000562C0">
        <w:tc>
          <w:tcPr>
            <w:tcW w:w="2551"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rPr>
                <w:sz w:val="20"/>
                <w:szCs w:val="20"/>
              </w:rPr>
            </w:pPr>
            <w:r w:rsidRPr="003A16E7">
              <w:rPr>
                <w:sz w:val="20"/>
                <w:szCs w:val="20"/>
              </w:rPr>
              <w:t>Modernizace a rozšíření vzdělávacích a výcvikových středisek ZZS KK</w:t>
            </w:r>
          </w:p>
        </w:tc>
        <w:tc>
          <w:tcPr>
            <w:tcW w:w="553"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9 388</w:t>
            </w:r>
          </w:p>
        </w:tc>
        <w:tc>
          <w:tcPr>
            <w:tcW w:w="714"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2016</w:t>
            </w:r>
          </w:p>
        </w:tc>
        <w:tc>
          <w:tcPr>
            <w:tcW w:w="1182" w:type="pct"/>
            <w:tcBorders>
              <w:top w:val="single" w:sz="4" w:space="0" w:color="auto"/>
              <w:left w:val="single" w:sz="4" w:space="0" w:color="auto"/>
              <w:bottom w:val="single" w:sz="4" w:space="0" w:color="auto"/>
              <w:right w:val="single" w:sz="4" w:space="0" w:color="auto"/>
            </w:tcBorders>
            <w:vAlign w:val="center"/>
            <w:hideMark/>
          </w:tcPr>
          <w:p w:rsidR="00005545" w:rsidRPr="003A16E7" w:rsidRDefault="00005545" w:rsidP="002C40B2">
            <w:pPr>
              <w:spacing w:after="0"/>
              <w:jc w:val="center"/>
              <w:rPr>
                <w:sz w:val="20"/>
                <w:szCs w:val="20"/>
              </w:rPr>
            </w:pPr>
            <w:r w:rsidRPr="003A16E7">
              <w:rPr>
                <w:sz w:val="20"/>
                <w:szCs w:val="20"/>
              </w:rPr>
              <w:t>EU fondy/IOP – 85%</w:t>
            </w:r>
          </w:p>
          <w:p w:rsidR="00005545" w:rsidRPr="003A16E7" w:rsidRDefault="00005545" w:rsidP="002C40B2">
            <w:pPr>
              <w:spacing w:after="0"/>
              <w:jc w:val="center"/>
              <w:rPr>
                <w:sz w:val="20"/>
                <w:szCs w:val="20"/>
              </w:rPr>
            </w:pPr>
            <w:r w:rsidRPr="003A16E7">
              <w:rPr>
                <w:sz w:val="20"/>
                <w:szCs w:val="20"/>
              </w:rPr>
              <w:t>státní rozpočet – 5%</w:t>
            </w:r>
          </w:p>
          <w:p w:rsidR="00005545" w:rsidRPr="003A16E7" w:rsidRDefault="00005545" w:rsidP="002C40B2">
            <w:pPr>
              <w:spacing w:after="0"/>
              <w:jc w:val="center"/>
              <w:rPr>
                <w:sz w:val="20"/>
                <w:szCs w:val="20"/>
              </w:rPr>
            </w:pPr>
            <w:r w:rsidRPr="003A16E7">
              <w:rPr>
                <w:sz w:val="20"/>
                <w:szCs w:val="20"/>
              </w:rPr>
              <w:t>Karlovarský kraj – 10%</w:t>
            </w:r>
          </w:p>
        </w:tc>
      </w:tr>
    </w:tbl>
    <w:p w:rsidR="00D83666" w:rsidRDefault="00005545" w:rsidP="002C40B2">
      <w:pPr>
        <w:pStyle w:val="poznzdroj"/>
        <w:spacing w:line="276" w:lineRule="auto"/>
      </w:pPr>
      <w:r w:rsidRPr="00EB42BF">
        <w:t>Zdroj</w:t>
      </w:r>
      <w:r w:rsidR="002747AE">
        <w:t>: O</w:t>
      </w:r>
      <w:r w:rsidRPr="00EB42BF">
        <w:t xml:space="preserve">dbor zdravotnictví </w:t>
      </w:r>
      <w:r w:rsidR="002747AE">
        <w:t>KÚKK</w:t>
      </w:r>
    </w:p>
    <w:p w:rsidR="009E424D" w:rsidRDefault="00D83666">
      <w:pPr>
        <w:rPr>
          <w:sz w:val="20"/>
          <w:szCs w:val="18"/>
        </w:rPr>
      </w:pPr>
      <w:r>
        <w:br w:type="page"/>
      </w:r>
    </w:p>
    <w:p w:rsidR="00005545" w:rsidRPr="003A16E7" w:rsidRDefault="00005545" w:rsidP="002C40B2">
      <w:pPr>
        <w:pStyle w:val="Nadpis2"/>
      </w:pPr>
      <w:r w:rsidRPr="003A16E7">
        <w:lastRenderedPageBreak/>
        <w:t>Klíčové výzvy/problémy</w:t>
      </w:r>
    </w:p>
    <w:p w:rsidR="00005545" w:rsidRPr="006F6448" w:rsidRDefault="00005545" w:rsidP="002C40B2">
      <w:pPr>
        <w:rPr>
          <w:b/>
        </w:rPr>
      </w:pPr>
      <w:r w:rsidRPr="006F6448">
        <w:rPr>
          <w:b/>
        </w:rPr>
        <w:t xml:space="preserve">Nedostatečná kapacita zdravotnického personálu </w:t>
      </w:r>
    </w:p>
    <w:p w:rsidR="00005545" w:rsidRPr="006F6448" w:rsidRDefault="00005545" w:rsidP="002C40B2">
      <w:r w:rsidRPr="006F6448">
        <w:t>Velkým problémem lůžkových zdravotnických zařízení v Karlovarském kraji, poskytujících akutní lůžkovou péči (nemocnic)</w:t>
      </w:r>
      <w:r>
        <w:t>,</w:t>
      </w:r>
      <w:r w:rsidRPr="006F6448">
        <w:t xml:space="preserve"> je hraniční, v řadě případů nedostatečné personální obsazení zdravotnickými pracovníky. Karlovarský kraj je v rámci mezikrajského srovnání v relativním počtu lékařů v nemocnicích na 10 </w:t>
      </w:r>
      <w:r>
        <w:t>tisíc</w:t>
      </w:r>
      <w:r w:rsidRPr="006F6448">
        <w:t xml:space="preserve"> obyvatel na předposledním místě v ČR a stejně je tomu tak pokud jde o průměrný počet zdravotnického personálu způsobilého k výkonu zdravotnického povolání bez odborného dohledu po získání odborné způsobilosti u lůžka</w:t>
      </w:r>
      <w:r>
        <w:t xml:space="preserve"> </w:t>
      </w:r>
      <w:r w:rsidRPr="006F6448">
        <w:t>(</w:t>
      </w:r>
      <w:r>
        <w:t xml:space="preserve">dle </w:t>
      </w:r>
      <w:r w:rsidRPr="006F6448">
        <w:t>§ 5 zák. č. 96/2004 Sb</w:t>
      </w:r>
      <w:r>
        <w:t>.</w:t>
      </w:r>
      <w:r w:rsidRPr="006F6448">
        <w:t>)</w:t>
      </w:r>
      <w:r>
        <w:t xml:space="preserve">. </w:t>
      </w:r>
      <w:r w:rsidRPr="006F6448">
        <w:t>Co se týká počtu stomatologů na</w:t>
      </w:r>
      <w:r w:rsidR="00FF42C4">
        <w:t xml:space="preserve"> </w:t>
      </w:r>
      <w:r w:rsidRPr="006F6448">
        <w:t xml:space="preserve">10 tisíc obyvatel, je Karlovarský kraj na třetím nejhorším místě v porovnání s ostatními kraji ČR </w:t>
      </w:r>
      <w:r w:rsidRPr="000966BF">
        <w:t>(Zdravotnická ročenka České republiky pro rok 2013)</w:t>
      </w:r>
      <w:r w:rsidR="00FF42C4">
        <w:t>.</w:t>
      </w:r>
      <w:r>
        <w:t xml:space="preserve"> </w:t>
      </w:r>
    </w:p>
    <w:p w:rsidR="00005545" w:rsidRPr="006F6448" w:rsidRDefault="00005545" w:rsidP="002C40B2">
      <w:pPr>
        <w:rPr>
          <w:b/>
          <w:i/>
        </w:rPr>
      </w:pPr>
      <w:r w:rsidRPr="006F6448">
        <w:rPr>
          <w:b/>
          <w:i/>
        </w:rPr>
        <w:t>Příčiny</w:t>
      </w:r>
    </w:p>
    <w:p w:rsidR="00005545" w:rsidRPr="006F6448" w:rsidRDefault="00005545" w:rsidP="002C40B2">
      <w:r w:rsidRPr="006F6448">
        <w:t>Nedostatek zdravotnického personálu je zapříčiněn více faktory. Mezi klíčové lze zařadit</w:t>
      </w:r>
      <w:r>
        <w:t xml:space="preserve"> tyto</w:t>
      </w:r>
      <w:r w:rsidRPr="006F6448">
        <w:t>:</w:t>
      </w:r>
    </w:p>
    <w:p w:rsidR="00005545" w:rsidRPr="006F6448" w:rsidRDefault="00005545" w:rsidP="000562C0">
      <w:pPr>
        <w:pStyle w:val="Odstavecseseznamem"/>
        <w:numPr>
          <w:ilvl w:val="0"/>
          <w:numId w:val="35"/>
        </w:numPr>
      </w:pPr>
      <w:r>
        <w:t>p</w:t>
      </w:r>
      <w:r w:rsidRPr="006F6448">
        <w:t>oloha Karlovarského kraje – příhraniční region a s ním spojená poptávka po tuzemském zdravotnickém personálu ze strany německých poskytovatelů zdravotních služeb</w:t>
      </w:r>
      <w:r>
        <w:t>,</w:t>
      </w:r>
    </w:p>
    <w:p w:rsidR="00005545" w:rsidRPr="006F6448" w:rsidRDefault="00005545" w:rsidP="000562C0">
      <w:pPr>
        <w:pStyle w:val="Odstavecseseznamem"/>
        <w:numPr>
          <w:ilvl w:val="0"/>
          <w:numId w:val="35"/>
        </w:numPr>
      </w:pPr>
      <w:r>
        <w:t>n</w:t>
      </w:r>
      <w:r w:rsidRPr="006F6448">
        <w:t>ízká atraktivita regionu - lékaři se do Karlovarského kraje po ukončení studia většinou nevrací</w:t>
      </w:r>
      <w:r>
        <w:t>,</w:t>
      </w:r>
    </w:p>
    <w:p w:rsidR="00005545" w:rsidRPr="006F6448" w:rsidRDefault="00005545" w:rsidP="000562C0">
      <w:pPr>
        <w:pStyle w:val="Odstavecseseznamem"/>
        <w:numPr>
          <w:ilvl w:val="0"/>
          <w:numId w:val="35"/>
        </w:numPr>
      </w:pPr>
      <w:r>
        <w:t>n</w:t>
      </w:r>
      <w:r w:rsidRPr="006F6448">
        <w:t>ižší platové ohodnocení ve srovnání s ostatními obory ekonomiky</w:t>
      </w:r>
      <w:r>
        <w:t>,</w:t>
      </w:r>
    </w:p>
    <w:p w:rsidR="00005545" w:rsidRPr="006F6448" w:rsidRDefault="00005545" w:rsidP="000562C0">
      <w:pPr>
        <w:pStyle w:val="Odstavecseseznamem"/>
        <w:numPr>
          <w:ilvl w:val="0"/>
          <w:numId w:val="35"/>
        </w:numPr>
      </w:pPr>
      <w:r>
        <w:t>p</w:t>
      </w:r>
      <w:r w:rsidRPr="006F6448">
        <w:t>okles počtu absolventů lékařských fakult všeobecného lékařství v posledních letech</w:t>
      </w:r>
      <w:r>
        <w:t>,</w:t>
      </w:r>
    </w:p>
    <w:p w:rsidR="00005545" w:rsidRPr="006F6448" w:rsidRDefault="00005545" w:rsidP="000562C0">
      <w:pPr>
        <w:pStyle w:val="Odstavecseseznamem"/>
        <w:numPr>
          <w:ilvl w:val="0"/>
          <w:numId w:val="35"/>
        </w:numPr>
      </w:pPr>
      <w:r>
        <w:t>p</w:t>
      </w:r>
      <w:r w:rsidRPr="006F6448">
        <w:t xml:space="preserve">okles zájmu o obory všeobecné sestry na vyšších zdravotnických školách a o obor zdravotnický asistent na středních školách </w:t>
      </w:r>
      <w:r>
        <w:t>(</w:t>
      </w:r>
      <w:r w:rsidRPr="006F6448">
        <w:t>u všeobecných sester se jedná o nejdelší kvalifikační přípravu mezi všemi povoláními v</w:t>
      </w:r>
      <w:r>
        <w:t> </w:t>
      </w:r>
      <w:r w:rsidRPr="006F6448">
        <w:t>ČR</w:t>
      </w:r>
      <w:r>
        <w:t>)</w:t>
      </w:r>
      <w:r w:rsidRPr="006F6448">
        <w:t>.</w:t>
      </w:r>
    </w:p>
    <w:p w:rsidR="00005545" w:rsidRPr="006F6448" w:rsidRDefault="00005545" w:rsidP="002C40B2">
      <w:pPr>
        <w:rPr>
          <w:b/>
          <w:i/>
        </w:rPr>
      </w:pPr>
      <w:r w:rsidRPr="006F6448">
        <w:rPr>
          <w:b/>
          <w:i/>
        </w:rPr>
        <w:t>Důsledky</w:t>
      </w:r>
    </w:p>
    <w:p w:rsidR="00D83666" w:rsidRDefault="00005545" w:rsidP="002C40B2">
      <w:r w:rsidRPr="006F6448">
        <w:t>Personální nedostatek ve zdravotnických zařízeních Karlovarského kraje může vyústit v pokles kvality péče o pacienta a zvýšení chybovosti lidského faktoru (únava, stres, nejistota). Špatná personální situace se může odrazit také v udržení a zvyšování odbornosti zdravotnického personálu.</w:t>
      </w:r>
      <w:r w:rsidR="003A16E7">
        <w:t xml:space="preserve"> </w:t>
      </w:r>
      <w:r w:rsidRPr="006F6448">
        <w:t>Bylo by proto žádoucí, aby Karlovarský kraj vypracoval ve spolupráci s nemocnicemi plán stabilizačních opatření a vyčlenil na uvedené aktivity finanční prostředky.</w:t>
      </w:r>
      <w:r>
        <w:t xml:space="preserve"> </w:t>
      </w:r>
      <w:r w:rsidRPr="006F6448">
        <w:t>Stabilizačními personálními opatřeními by mohly být např. náborové příspěvky, stipendia pro studenty středních zdravotnických škol a lékařských fakult, benefity pro zaměstnance, nemocniční školky, motivační řády</w:t>
      </w:r>
      <w:r w:rsidR="00FF42C4">
        <w:t xml:space="preserve"> apod</w:t>
      </w:r>
      <w:r w:rsidRPr="006F6448">
        <w:t>.</w:t>
      </w:r>
      <w:r w:rsidR="003A16E7">
        <w:t xml:space="preserve"> </w:t>
      </w:r>
      <w:r w:rsidRPr="006F6448">
        <w:t xml:space="preserve">Významným opatřením pro zvýšení počtu zdravotnického personálu na území Karlovarského kraje, které by měl mít v gesci přímo Karlovarský kraj, je podpora vzdělávání lékařského zdravotnického personálu. Karlovarský kraj by měl vyčlenit finanční prostředky na specializační přípravu absolventů lékařských fakult s cílem, aby ji absolvovali u akreditovaných poskytovatelů zdravotních služeb nacházejících se na území Karlovarského kraje a následně po jejím ukončení zůstali v pracovním poměru u poskytovatelů zdravotních služeb či jako osoby samostatně výdělečně činné na území Karlovarského kraje. Karlovarský kraj by měl finančně podporovat i akreditovaná pracoviště zejména v ambulantních oborech tak, aby měly </w:t>
      </w:r>
      <w:r w:rsidRPr="00582374">
        <w:t xml:space="preserve">zájem vzdělávat absolventy lékařských fakult. </w:t>
      </w:r>
    </w:p>
    <w:p w:rsidR="00D83666" w:rsidRDefault="00D83666">
      <w:pPr>
        <w:spacing w:after="160" w:line="259" w:lineRule="auto"/>
        <w:jc w:val="left"/>
      </w:pPr>
      <w:r>
        <w:br w:type="page"/>
      </w:r>
    </w:p>
    <w:p w:rsidR="00005545" w:rsidRPr="00582374" w:rsidRDefault="00005545" w:rsidP="002C40B2">
      <w:pPr>
        <w:rPr>
          <w:b/>
        </w:rPr>
      </w:pPr>
      <w:r w:rsidRPr="00582374">
        <w:rPr>
          <w:b/>
        </w:rPr>
        <w:lastRenderedPageBreak/>
        <w:t>Dostupnost zdravotní péče</w:t>
      </w:r>
    </w:p>
    <w:p w:rsidR="00005545" w:rsidRPr="00582374" w:rsidRDefault="00005545" w:rsidP="002C40B2">
      <w:r w:rsidRPr="00582374">
        <w:t xml:space="preserve">Základní zdravotní péče musí zůstat zachována ve všech nemocnicích založených Karlovarským krajem. Současný rozsah zdravotní péče poskytované v nemocnicích v Karlovarském kraji vychází ze splnění základní podmínky, a to maximální dostupnosti zdravotní péče občanům Karlovarského kraje. Splnění podmínky maximální dostupnosti, tedy komfortu pro pacienty ovšem není zcela v souladu s ekonomickou soběstačností vybraných oddělení nemocnic. Bude-li tedy upřednostněna dostupnost před ekonomickou stabilitou, tak jako je tomu v současném modelu, lze očekávat ztrátové hospodaření, a to zejména u oddělení, která jsou např. v kraji jedinečná, ale jejich využití ze strany pacientů nestačí pokrýt náklady oddělení. Typickým příkladem je např. TRN, kožní, urologické oddělení nemocnice Karlovy Vary aj. Nemocnice proto musí hledat další zdroje příjmů a úspory nákladů, aby pokryly ekonomické ztráty uvedených oddělení. </w:t>
      </w:r>
    </w:p>
    <w:p w:rsidR="00005545" w:rsidRPr="00582374" w:rsidRDefault="00005545" w:rsidP="002C40B2">
      <w:pPr>
        <w:rPr>
          <w:b/>
          <w:i/>
        </w:rPr>
      </w:pPr>
      <w:r w:rsidRPr="00582374">
        <w:rPr>
          <w:b/>
          <w:i/>
        </w:rPr>
        <w:t>Příčiny</w:t>
      </w:r>
    </w:p>
    <w:p w:rsidR="00005545" w:rsidRPr="006F6448" w:rsidRDefault="00005545" w:rsidP="002C40B2">
      <w:r w:rsidRPr="009D5701">
        <w:t xml:space="preserve">Neslučitelnost ekonomického hlediska s hlediskem optimální dostupnosti zdravotní péče pro občany </w:t>
      </w:r>
      <w:r w:rsidRPr="00582374">
        <w:t xml:space="preserve">Karlovarského </w:t>
      </w:r>
      <w:r w:rsidRPr="009D5701">
        <w:t>kraje.</w:t>
      </w:r>
    </w:p>
    <w:p w:rsidR="00005545" w:rsidRPr="00582374" w:rsidRDefault="00005545" w:rsidP="002C40B2">
      <w:pPr>
        <w:rPr>
          <w:b/>
          <w:i/>
        </w:rPr>
      </w:pPr>
      <w:r w:rsidRPr="00582374">
        <w:rPr>
          <w:b/>
          <w:i/>
        </w:rPr>
        <w:t>Důsledky</w:t>
      </w:r>
    </w:p>
    <w:p w:rsidR="00005545" w:rsidRPr="006F6448" w:rsidRDefault="00005545" w:rsidP="002C40B2">
      <w:r w:rsidRPr="006F6448">
        <w:t>Nutnost finanční kompenzace ztrátových oddělení v zájmu zachování dostupnosti zdravotní péče.</w:t>
      </w:r>
    </w:p>
    <w:p w:rsidR="00005545" w:rsidRPr="008E7621" w:rsidRDefault="00005545" w:rsidP="002C40B2">
      <w:pPr>
        <w:rPr>
          <w:b/>
        </w:rPr>
      </w:pPr>
      <w:r w:rsidRPr="008E7621">
        <w:rPr>
          <w:b/>
        </w:rPr>
        <w:t>Nové kapacity akutní lůžkové péče</w:t>
      </w:r>
    </w:p>
    <w:p w:rsidR="00005545" w:rsidRDefault="00005545" w:rsidP="002C40B2">
      <w:r w:rsidRPr="009D5701">
        <w:t>Z dlouhodobého hlediska by v Karlovarském kraji měla být zachována stávající síť nemocnic, co se týče ostatních lůžkových zařízení, jsou možné dílčí změny, a to zejména s ohledem na stavebně technický stav budov (stěhování, výstavba nových zař</w:t>
      </w:r>
      <w:r w:rsidRPr="006F6448">
        <w:t>ízení apod.). Současný stav lůžkové péče v Karlovarském kraji by bylo vhodné doplnit o několik nových oddělení, popř. rozšířit nedostatečné kapacity oddělení stávajících. Vše záleží</w:t>
      </w:r>
      <w:r w:rsidRPr="00DE0435">
        <w:t xml:space="preserve"> na jednáních s plátci zdravotní péče, kteří provedou své vlastní hodnocen</w:t>
      </w:r>
      <w:r w:rsidRPr="008E7621">
        <w:t>í a finanční analýzy předcházející nasmlouvání nových kapacit a také na dostupnosti personálu.</w:t>
      </w:r>
    </w:p>
    <w:p w:rsidR="00005545" w:rsidRDefault="00005545" w:rsidP="002C40B2">
      <w:pPr>
        <w:rPr>
          <w:b/>
          <w:i/>
        </w:rPr>
      </w:pPr>
      <w:r w:rsidRPr="000966BF">
        <w:rPr>
          <w:b/>
          <w:i/>
        </w:rPr>
        <w:t>Příčiny</w:t>
      </w:r>
    </w:p>
    <w:p w:rsidR="00005545" w:rsidRPr="000966BF" w:rsidRDefault="00005545" w:rsidP="002C40B2">
      <w:r>
        <w:t>Nevyhovující kapacity současné akutní lůžkové péče a stavební uspořádání objektů nemocnic.</w:t>
      </w:r>
    </w:p>
    <w:p w:rsidR="00005545" w:rsidRPr="000966BF" w:rsidRDefault="00005545" w:rsidP="002C40B2">
      <w:pPr>
        <w:rPr>
          <w:b/>
          <w:i/>
        </w:rPr>
      </w:pPr>
      <w:r w:rsidRPr="000966BF">
        <w:rPr>
          <w:b/>
          <w:i/>
        </w:rPr>
        <w:t>Důsledky</w:t>
      </w:r>
    </w:p>
    <w:p w:rsidR="003A16E7" w:rsidRDefault="00005545" w:rsidP="002C40B2">
      <w:r>
        <w:t xml:space="preserve">Potřeba provést optimalizaci struktury lůžkové péče dle </w:t>
      </w:r>
      <w:r w:rsidRPr="00582374">
        <w:rPr>
          <w:i/>
        </w:rPr>
        <w:t>Koncepce uspořádání akutní lůžkové péče v Karlovarském kraji</w:t>
      </w:r>
      <w:r>
        <w:t xml:space="preserve"> tak, aby byla občanům efektivně zajištěna co nejlepší zdravotní péče.</w:t>
      </w:r>
    </w:p>
    <w:p w:rsidR="00005545" w:rsidRPr="008E7621" w:rsidRDefault="00005545" w:rsidP="002C40B2">
      <w:pPr>
        <w:rPr>
          <w:b/>
        </w:rPr>
      </w:pPr>
      <w:r w:rsidRPr="008E7621">
        <w:rPr>
          <w:b/>
        </w:rPr>
        <w:t>Vybavení zdravotnických zařízení kraje přístroji</w:t>
      </w:r>
    </w:p>
    <w:p w:rsidR="00D83666" w:rsidRDefault="00005545" w:rsidP="00D83666">
      <w:r w:rsidRPr="00DE0435">
        <w:t>Hlavní úkol modelu medicínské hierarchizace je posílit pozici nemocnice Karlovy Vary  v oblasti nových technologií a center specializované péče (laserové centrum, centrum apalické péče, podpora traumacentra nižšího typu).</w:t>
      </w:r>
      <w:r w:rsidR="000562C0">
        <w:t xml:space="preserve"> </w:t>
      </w:r>
      <w:r w:rsidRPr="00DE0435">
        <w:t>Dále je v důsledku neustálé amortizace přístrojů nutných k zabezpečení poskytování zdravotní péče v zdravotnických zařízeních kraje Karlovarský kraj povinen dbát na jejich pravidelnou obnovu.</w:t>
      </w:r>
    </w:p>
    <w:p w:rsidR="00D83666" w:rsidRDefault="00D83666">
      <w:pPr>
        <w:spacing w:after="160" w:line="259" w:lineRule="auto"/>
        <w:jc w:val="left"/>
      </w:pPr>
      <w:r>
        <w:br w:type="page"/>
      </w:r>
    </w:p>
    <w:p w:rsidR="00005545" w:rsidRPr="00DE0435" w:rsidRDefault="00005545" w:rsidP="002C40B2">
      <w:pPr>
        <w:rPr>
          <w:b/>
          <w:i/>
        </w:rPr>
      </w:pPr>
      <w:r w:rsidRPr="00DE0435">
        <w:rPr>
          <w:b/>
          <w:i/>
        </w:rPr>
        <w:lastRenderedPageBreak/>
        <w:t>Příčiny</w:t>
      </w:r>
    </w:p>
    <w:p w:rsidR="00005545" w:rsidRPr="00DE0435" w:rsidRDefault="00005545" w:rsidP="002C40B2">
      <w:r w:rsidRPr="00DE0435">
        <w:t xml:space="preserve">Opotřebení přístrojů jak fyzické tak i morální. </w:t>
      </w:r>
    </w:p>
    <w:p w:rsidR="00005545" w:rsidRPr="00DE0435" w:rsidRDefault="00005545" w:rsidP="002C40B2">
      <w:pPr>
        <w:rPr>
          <w:b/>
          <w:i/>
        </w:rPr>
      </w:pPr>
      <w:r w:rsidRPr="00DE0435">
        <w:rPr>
          <w:b/>
          <w:i/>
        </w:rPr>
        <w:t>Důsledky</w:t>
      </w:r>
    </w:p>
    <w:p w:rsidR="00005545" w:rsidRPr="00DE0435" w:rsidRDefault="00005545" w:rsidP="002C40B2">
      <w:r w:rsidRPr="00DE0435">
        <w:t xml:space="preserve">Péče poskytovaná se zastaralými přístroji není tak kvalitní. </w:t>
      </w:r>
    </w:p>
    <w:p w:rsidR="00005545" w:rsidRPr="00DE0435" w:rsidRDefault="00005545" w:rsidP="002C40B2">
      <w:pPr>
        <w:rPr>
          <w:b/>
        </w:rPr>
      </w:pPr>
      <w:r w:rsidRPr="00DE0435">
        <w:rPr>
          <w:b/>
        </w:rPr>
        <w:t>Nedostatečný počet lůžek následné péče</w:t>
      </w:r>
    </w:p>
    <w:p w:rsidR="00005545" w:rsidRPr="00DE0435" w:rsidRDefault="00005545" w:rsidP="002C40B2">
      <w:r w:rsidRPr="00DE0435">
        <w:t>Následná péče navazuje na dosud poskytovanou intenzivní léčbu, poskytuje komplexní léčbu s podporou základních životních funkcí, rozšiřuje ji o rehabilitační a dle potřeby realimentační program. Nadále je snaha o zvyšování počtu lůžek následné péče, která vhodně doplňují lůžka vnitřního lékařství a zvyšují propustnost interních oddělení. Zejména v nemocnici Karlovy Vary, která v současné době těmito lůžky nedisponuje, je prostor pro jejich vybudování.</w:t>
      </w:r>
      <w:r w:rsidR="003A16E7">
        <w:t xml:space="preserve"> </w:t>
      </w:r>
    </w:p>
    <w:p w:rsidR="00005545" w:rsidRPr="00DE0435" w:rsidRDefault="00005545" w:rsidP="002C40B2">
      <w:pPr>
        <w:rPr>
          <w:b/>
          <w:i/>
        </w:rPr>
      </w:pPr>
      <w:r w:rsidRPr="00DE0435">
        <w:rPr>
          <w:b/>
          <w:i/>
        </w:rPr>
        <w:t>Příčiny</w:t>
      </w:r>
    </w:p>
    <w:p w:rsidR="00005545" w:rsidRPr="00DE0435" w:rsidRDefault="00005545" w:rsidP="002C40B2">
      <w:r w:rsidRPr="00DE0435">
        <w:t xml:space="preserve">Rostoucí poptávka po zdravotní péči tohoto typu a ekonomická výhodnost v rámci systému. </w:t>
      </w:r>
    </w:p>
    <w:p w:rsidR="00005545" w:rsidRPr="00DE0435" w:rsidRDefault="00005545" w:rsidP="002C40B2">
      <w:pPr>
        <w:rPr>
          <w:b/>
          <w:i/>
        </w:rPr>
      </w:pPr>
      <w:r w:rsidRPr="00DE0435">
        <w:rPr>
          <w:b/>
          <w:i/>
        </w:rPr>
        <w:t>Důsledky</w:t>
      </w:r>
    </w:p>
    <w:p w:rsidR="00005545" w:rsidRPr="00DE0435" w:rsidRDefault="00005545" w:rsidP="002C40B2">
      <w:r w:rsidRPr="00DE0435">
        <w:t>Neefektivnost systému, využívání dražších akutních lůžek pro pacienty již indikované k následné péči. Ekonomické ztráty, dražší a méně efektivní léčba.</w:t>
      </w:r>
      <w:r w:rsidR="003A16E7" w:rsidRPr="003A16E7">
        <w:t xml:space="preserve"> </w:t>
      </w:r>
      <w:r w:rsidR="00BB1F2F">
        <w:t xml:space="preserve">Nutnost včas připravit projekty a vyškolit personál nemocnic pro možné využití prostředků z </w:t>
      </w:r>
      <w:r w:rsidR="003A16E7" w:rsidRPr="00DE0435">
        <w:t>Integrovaného regionálního operačního programu</w:t>
      </w:r>
      <w:r w:rsidR="00BB1F2F" w:rsidRPr="00BB1F2F">
        <w:t xml:space="preserve"> </w:t>
      </w:r>
      <w:r w:rsidR="00BB1F2F" w:rsidRPr="00DE0435">
        <w:t xml:space="preserve">na </w:t>
      </w:r>
      <w:r w:rsidR="00BB1F2F">
        <w:t xml:space="preserve">financování </w:t>
      </w:r>
      <w:r w:rsidR="00BB1F2F" w:rsidRPr="00DE0435">
        <w:t>následn</w:t>
      </w:r>
      <w:r w:rsidR="00BB1F2F">
        <w:t>é péče.</w:t>
      </w:r>
      <w:r w:rsidR="003A16E7" w:rsidRPr="00DE0435">
        <w:t xml:space="preserve"> </w:t>
      </w:r>
    </w:p>
    <w:p w:rsidR="00005545" w:rsidRPr="00DE0435" w:rsidRDefault="00005545" w:rsidP="002C40B2">
      <w:pPr>
        <w:rPr>
          <w:b/>
        </w:rPr>
      </w:pPr>
      <w:r w:rsidRPr="00DE0435">
        <w:rPr>
          <w:b/>
        </w:rPr>
        <w:t xml:space="preserve">Nevyhovující stav některých výjezdových stanovišť </w:t>
      </w:r>
      <w:r>
        <w:rPr>
          <w:b/>
        </w:rPr>
        <w:t>ZZS KK</w:t>
      </w:r>
    </w:p>
    <w:p w:rsidR="00005545" w:rsidRPr="00DE0435" w:rsidRDefault="00005545" w:rsidP="002C40B2">
      <w:r w:rsidRPr="00DE0435">
        <w:t xml:space="preserve">ZZS </w:t>
      </w:r>
      <w:r>
        <w:t xml:space="preserve">KK </w:t>
      </w:r>
      <w:r w:rsidRPr="00DE0435">
        <w:t xml:space="preserve">spravuje 13 výjezdových základen, z nichž některé jsou v nevyhovujícím technickém stavu (např. Sokolov), jiná potřebují např. statické zajištění či zateplení. </w:t>
      </w:r>
    </w:p>
    <w:p w:rsidR="00005545" w:rsidRPr="000966BF" w:rsidRDefault="00005545" w:rsidP="002C40B2">
      <w:pPr>
        <w:rPr>
          <w:b/>
          <w:i/>
        </w:rPr>
      </w:pPr>
      <w:r w:rsidRPr="000966BF">
        <w:rPr>
          <w:b/>
          <w:i/>
        </w:rPr>
        <w:t>Příčiny</w:t>
      </w:r>
    </w:p>
    <w:p w:rsidR="00005545" w:rsidRPr="00DE0435" w:rsidRDefault="00005545" w:rsidP="002C40B2">
      <w:r w:rsidRPr="00DE0435">
        <w:t>Opotřebení nemovitého majetku.</w:t>
      </w:r>
    </w:p>
    <w:p w:rsidR="00005545" w:rsidRPr="00DE0435" w:rsidRDefault="00005545" w:rsidP="002C40B2">
      <w:pPr>
        <w:rPr>
          <w:b/>
          <w:i/>
        </w:rPr>
      </w:pPr>
      <w:r w:rsidRPr="00DE0435">
        <w:rPr>
          <w:b/>
          <w:i/>
        </w:rPr>
        <w:t>Důsledky</w:t>
      </w:r>
    </w:p>
    <w:p w:rsidR="00005545" w:rsidRPr="00DE0435" w:rsidRDefault="00005545" w:rsidP="002C40B2">
      <w:r w:rsidRPr="00DE0435">
        <w:t>Udržení sítě stávajících výjezdových stanovišť a zajištění jejich dobrého stavu je nutnou podmínkou k zajištění dostupnosti zdravotní péče podle zákona č. 374/2011 Sb., o zdravotnické záchranné službě.</w:t>
      </w:r>
      <w:r w:rsidR="00372A82" w:rsidRPr="00372A82">
        <w:t xml:space="preserve"> </w:t>
      </w:r>
      <w:r w:rsidR="00372A82" w:rsidRPr="00DE0435">
        <w:t>Schválena je výstavba nového výjezdové základny v Ostrově, která nahradí dočasnou základnu v Jáchymově.</w:t>
      </w:r>
    </w:p>
    <w:p w:rsidR="00005545" w:rsidRPr="00DE0435" w:rsidRDefault="00005545" w:rsidP="002C40B2">
      <w:pPr>
        <w:rPr>
          <w:b/>
        </w:rPr>
      </w:pPr>
      <w:r w:rsidRPr="00DE0435">
        <w:rPr>
          <w:b/>
        </w:rPr>
        <w:t>Psychiatrická péče</w:t>
      </w:r>
    </w:p>
    <w:p w:rsidR="00005545" w:rsidRPr="00DE0435" w:rsidRDefault="00005545" w:rsidP="002C40B2">
      <w:r w:rsidRPr="00DE0435">
        <w:t>V Karlovarském kraji by měl být věnován dostatečný prostor pro implementaci reformy psychiatrické péče, její</w:t>
      </w:r>
      <w:r w:rsidR="00BB1F2F">
        <w:t>ž</w:t>
      </w:r>
      <w:r w:rsidRPr="00DE0435">
        <w:t xml:space="preserve"> realizací by měly být na území kraje budovány nové formy péče, popř. inovovány stávající formy. Plánováno je založení Center duševního zdraví, která zajistí lepší dostupnost péče, destigmatizační a vzdělávací aktivity a v neposlední řadě i humanizac</w:t>
      </w:r>
      <w:r w:rsidR="00BB1F2F">
        <w:t>i</w:t>
      </w:r>
      <w:r w:rsidRPr="00DE0435">
        <w:t xml:space="preserve"> stávajících prvků systému psychiatrické péče.</w:t>
      </w:r>
    </w:p>
    <w:p w:rsidR="00005545" w:rsidRPr="00DE0435" w:rsidRDefault="00005545" w:rsidP="002C40B2">
      <w:pPr>
        <w:rPr>
          <w:b/>
          <w:i/>
        </w:rPr>
      </w:pPr>
      <w:r w:rsidRPr="00DE0435">
        <w:rPr>
          <w:b/>
          <w:i/>
        </w:rPr>
        <w:lastRenderedPageBreak/>
        <w:t>Příčiny</w:t>
      </w:r>
    </w:p>
    <w:p w:rsidR="00005545" w:rsidRPr="00DE0435" w:rsidRDefault="00005545" w:rsidP="002C40B2">
      <w:r w:rsidRPr="00DE0435">
        <w:t>Nutnost reformy psychiatrické péče, která nyní sestává z lůžkových zařízení psychiatrické péče, komunitní péče o duševně nemocné a převážně soukromých ambulancí. Tyto složky nejsou navzájem dobře propojeny. Systém péče o duševní zdraví je tak neúčinný a nedostatečně zaměřený na primární intervenci.</w:t>
      </w:r>
    </w:p>
    <w:p w:rsidR="00005545" w:rsidRPr="00DE0435" w:rsidRDefault="00005545" w:rsidP="002C40B2">
      <w:pPr>
        <w:rPr>
          <w:b/>
          <w:i/>
        </w:rPr>
      </w:pPr>
      <w:r w:rsidRPr="00DE0435">
        <w:rPr>
          <w:b/>
          <w:i/>
        </w:rPr>
        <w:t>Důsledky</w:t>
      </w:r>
    </w:p>
    <w:p w:rsidR="00005545" w:rsidRPr="008E7621" w:rsidRDefault="00005545" w:rsidP="002C40B2">
      <w:r w:rsidRPr="008E7621">
        <w:t>Nákladný systém péče o duševní zdraví, založený převážně na poskytování péče v psychiatrických nemocnicích. Ambulance nedostatečně napojené na veřejný systém (převažují zde pacienti s běžnými psychickými problémy) nezachytí závažná duševní onemocnění.</w:t>
      </w:r>
    </w:p>
    <w:p w:rsidR="00005545" w:rsidRPr="008E7621" w:rsidRDefault="00005545" w:rsidP="002C40B2">
      <w:pPr>
        <w:rPr>
          <w:b/>
        </w:rPr>
      </w:pPr>
      <w:r w:rsidRPr="008E7621">
        <w:rPr>
          <w:b/>
        </w:rPr>
        <w:t>Nedostatečně vyvinutá síť hospicové péče</w:t>
      </w:r>
    </w:p>
    <w:p w:rsidR="00005545" w:rsidRPr="009D5701" w:rsidRDefault="00005545" w:rsidP="002C40B2">
      <w:r w:rsidRPr="008E7621">
        <w:t>Hospicová péče je formou paliativní péče, kterou tvoří souhrn lékařských, ošetřovatelských a rehabilitačně-ošetřovatelských činností. Tato péče je nezbytná v momentě, kdy medicína vyčerpala veškeré možnosti a nepostačuje, či není možná péče v domácím prostředí.</w:t>
      </w:r>
      <w:r w:rsidRPr="009D5701">
        <w:t xml:space="preserve"> </w:t>
      </w:r>
    </w:p>
    <w:p w:rsidR="00005545" w:rsidRPr="008E7621" w:rsidRDefault="00005545" w:rsidP="002C40B2">
      <w:r w:rsidRPr="006F6448">
        <w:t>Podle Vyhlášky Ministerstva zdravotnictví ČR by mělo být v Karlovarském kraji k dispozici 15,37 hospicových lůžek na 1 </w:t>
      </w:r>
      <w:r>
        <w:t>tisíc</w:t>
      </w:r>
      <w:r w:rsidRPr="006F6448">
        <w:t xml:space="preserve"> obyvatel Karlovarského kraje. </w:t>
      </w:r>
      <w:r w:rsidRPr="00DE0435">
        <w:t xml:space="preserve">V současné době Karlovarský kraj nedisponuje žádným samostatně stojícím lůžkovým zdravotnickým zařízením – hospicem. V kraji pouze od roku 2010 existují v rámci příspěvkové organizace kraje (Zařízení následné rehabilitační a hospicové péče, příspěvková organizace) vyčleněná lůžka v paliativním </w:t>
      </w:r>
      <w:r w:rsidRPr="008E7621">
        <w:t>režimu, která tvoří samostatnou stanici o 12 lůžkách s působností pro celý Karlovarský kraj. V současné době je již schválen plán výstavby zařízení</w:t>
      </w:r>
      <w:r w:rsidR="00E452DF">
        <w:t xml:space="preserve"> hospicové péče</w:t>
      </w:r>
      <w:r w:rsidRPr="008E7621">
        <w:t xml:space="preserve">. </w:t>
      </w:r>
    </w:p>
    <w:p w:rsidR="00005545" w:rsidRPr="00582374" w:rsidRDefault="00005545" w:rsidP="002C40B2">
      <w:r w:rsidRPr="008E7621">
        <w:t xml:space="preserve">Nedílnou složkou poskytované hospicové péče jsou i mobilní hospice. Chybí dostatečná síť domácí pečovatelské </w:t>
      </w:r>
      <w:r w:rsidRPr="00582374">
        <w:t xml:space="preserve">a ošetřovatelské péče, jež by zajistila nepřetržitou péči v domácím prostředí. Vzhledem ke skutečnosti, že tyto služby nejsou dosud hrazeny z veřejného zdravotního pojištění, potýkají se tato zařízení s finančními těžkostmi. Kraj proto </w:t>
      </w:r>
      <w:r>
        <w:t xml:space="preserve">pro rok 2017 vypracoval </w:t>
      </w:r>
      <w:r w:rsidRPr="00582374">
        <w:t>dotační program na podporu mobilních hospiců.</w:t>
      </w:r>
    </w:p>
    <w:p w:rsidR="00005545" w:rsidRPr="008E7621" w:rsidRDefault="00005545" w:rsidP="002C40B2">
      <w:pPr>
        <w:rPr>
          <w:b/>
          <w:i/>
        </w:rPr>
      </w:pPr>
      <w:r w:rsidRPr="008E7621">
        <w:rPr>
          <w:b/>
          <w:i/>
        </w:rPr>
        <w:t>Příčiny</w:t>
      </w:r>
    </w:p>
    <w:p w:rsidR="00005545" w:rsidRPr="008E7621" w:rsidRDefault="00005545" w:rsidP="002C40B2">
      <w:r w:rsidRPr="008E7621">
        <w:t>Jednou z prvotních příčin neexistence tohoto zařízení byl pravděpodobně nedostatek finančních prostředků pro vybudování zařízení hospicového charakteru. Další příčinou může být stále trvající stav nejistoty</w:t>
      </w:r>
      <w:r w:rsidR="00372A82">
        <w:t xml:space="preserve"> ohledně financování této péče </w:t>
      </w:r>
      <w:r w:rsidRPr="008E7621">
        <w:t>či podceňování péče o terminálně nemocné jak ze strany tvůrců zdravotní politiky, tak i ze strany samotných zdravotníků.</w:t>
      </w:r>
    </w:p>
    <w:p w:rsidR="00005545" w:rsidRPr="008E7621" w:rsidRDefault="00005545" w:rsidP="002C40B2">
      <w:pPr>
        <w:rPr>
          <w:b/>
          <w:i/>
        </w:rPr>
      </w:pPr>
      <w:r w:rsidRPr="008E7621">
        <w:rPr>
          <w:b/>
          <w:i/>
        </w:rPr>
        <w:t>Důsledky</w:t>
      </w:r>
    </w:p>
    <w:p w:rsidR="00005545" w:rsidRPr="008E7621" w:rsidRDefault="00005545" w:rsidP="002C40B2">
      <w:r w:rsidRPr="008E7621">
        <w:t xml:space="preserve">Důsledkem je fakt, že mnoho pacientů proti svému přání tráví poslední část svého života na drahých lůžkách akutní péče v nemocnicích, často s nedostatečnou kvalitou péče pokud jde o léčbu bolesti </w:t>
      </w:r>
      <w:r w:rsidR="00372A82">
        <w:br/>
      </w:r>
      <w:r w:rsidRPr="008E7621">
        <w:t>a psychosociální potřeby umírajícího.</w:t>
      </w:r>
    </w:p>
    <w:p w:rsidR="00005545" w:rsidRPr="008E7621" w:rsidRDefault="00005545" w:rsidP="002C40B2">
      <w:pPr>
        <w:rPr>
          <w:b/>
        </w:rPr>
      </w:pPr>
      <w:r w:rsidRPr="008E7621">
        <w:rPr>
          <w:b/>
        </w:rPr>
        <w:t xml:space="preserve">Bezdomovectví </w:t>
      </w:r>
    </w:p>
    <w:p w:rsidR="00005545" w:rsidRPr="008E7621" w:rsidRDefault="00005545" w:rsidP="002C40B2">
      <w:r w:rsidRPr="008E7621">
        <w:t xml:space="preserve">Karlovarský kraj se jako většina krajů v ČR potýká s fenoménem bezdomovectví. </w:t>
      </w:r>
      <w:r w:rsidRPr="009D5701">
        <w:t xml:space="preserve">Na zhoršení stavu v regionu působí nedostatečná primární prevence a nedostatečná </w:t>
      </w:r>
      <w:r w:rsidRPr="006F6448">
        <w:t xml:space="preserve">psychiatrická péče. V kraji také chybí </w:t>
      </w:r>
      <w:r w:rsidRPr="00DE0435">
        <w:lastRenderedPageBreak/>
        <w:t xml:space="preserve">ambulantní péče zacílená na bezdomovce, centrum substituční terapie pro drogově závislé </w:t>
      </w:r>
      <w:r w:rsidR="00372A82">
        <w:br/>
      </w:r>
      <w:r w:rsidRPr="00DE0435">
        <w:t>a detoxikační centrum</w:t>
      </w:r>
      <w:r>
        <w:t>.</w:t>
      </w:r>
    </w:p>
    <w:p w:rsidR="00005545" w:rsidRPr="008E7621" w:rsidRDefault="00005545" w:rsidP="002C40B2">
      <w:pPr>
        <w:rPr>
          <w:b/>
          <w:i/>
        </w:rPr>
      </w:pPr>
      <w:r w:rsidRPr="008E7621">
        <w:rPr>
          <w:b/>
          <w:i/>
        </w:rPr>
        <w:t>Příčiny</w:t>
      </w:r>
    </w:p>
    <w:p w:rsidR="00005545" w:rsidRPr="00DE0435" w:rsidRDefault="00005545" w:rsidP="002C40B2">
      <w:r w:rsidRPr="006F6448">
        <w:t>Nízká míra motivace většiny bezdomovců ke zlepšení své životní situace a jejich častá závislost na alkoholu nebo drogách.</w:t>
      </w:r>
      <w:r w:rsidRPr="009D5701">
        <w:t xml:space="preserve"> Finanční náročnost řešení této problematiky, nedostatek financí pro neziskový sektor</w:t>
      </w:r>
      <w:r w:rsidRPr="006F6448">
        <w:t xml:space="preserve"> činný v oblasti bezdomovectví a absence systému financování jako takového.</w:t>
      </w:r>
    </w:p>
    <w:p w:rsidR="00005545" w:rsidRPr="008E7621" w:rsidRDefault="00005545" w:rsidP="002C40B2">
      <w:pPr>
        <w:rPr>
          <w:b/>
          <w:i/>
        </w:rPr>
      </w:pPr>
      <w:r w:rsidRPr="008E7621">
        <w:rPr>
          <w:b/>
          <w:i/>
        </w:rPr>
        <w:t>Důsledky</w:t>
      </w:r>
    </w:p>
    <w:p w:rsidR="00005545" w:rsidRPr="009D5701" w:rsidRDefault="00005545" w:rsidP="002C40B2">
      <w:r w:rsidRPr="009D5701">
        <w:t xml:space="preserve">Zvyšující se míra kriminality a recidivy bezdomovců, rostoucí procento narkomanů mezi bezdomovci, </w:t>
      </w:r>
      <w:r w:rsidRPr="006F6448">
        <w:t>šíření vysoce infekčních onemocnění do běžné populace.</w:t>
      </w:r>
      <w:r>
        <w:t xml:space="preserve"> </w:t>
      </w:r>
      <w:r w:rsidRPr="00DE0435">
        <w:t>Sociální vyčlenění této skupiny obyvatel.</w:t>
      </w:r>
    </w:p>
    <w:p w:rsidR="00005545" w:rsidRPr="00372A82" w:rsidRDefault="00005545" w:rsidP="002C40B2">
      <w:pPr>
        <w:pStyle w:val="Nadpis3"/>
        <w:spacing w:line="276" w:lineRule="auto"/>
        <w:rPr>
          <w:rStyle w:val="Odkazjemn"/>
          <w:b w:val="0"/>
        </w:rPr>
      </w:pPr>
      <w:r w:rsidRPr="00372A82">
        <w:rPr>
          <w:rStyle w:val="Odkazjemn"/>
          <w:b w:val="0"/>
        </w:rPr>
        <w:t>Literatura:</w:t>
      </w:r>
    </w:p>
    <w:p w:rsidR="002747AE" w:rsidRPr="008E7621" w:rsidRDefault="002747AE" w:rsidP="002C40B2">
      <w:pPr>
        <w:spacing w:after="120"/>
      </w:pPr>
      <w:r>
        <w:t xml:space="preserve">ČSÚ. </w:t>
      </w:r>
      <w:r w:rsidRPr="00372A82">
        <w:rPr>
          <w:i/>
        </w:rPr>
        <w:t>Zdravotnictví v regionálním pohledu</w:t>
      </w:r>
      <w:r w:rsidRPr="008E7621">
        <w:t>. 2010.</w:t>
      </w:r>
    </w:p>
    <w:p w:rsidR="002747AE" w:rsidRDefault="002747AE" w:rsidP="002C40B2">
      <w:pPr>
        <w:autoSpaceDE w:val="0"/>
        <w:autoSpaceDN w:val="0"/>
        <w:adjustRightInd w:val="0"/>
        <w:spacing w:after="120"/>
      </w:pPr>
      <w:r>
        <w:t xml:space="preserve">Huneš, R. </w:t>
      </w:r>
      <w:r w:rsidRPr="00AB2E45">
        <w:rPr>
          <w:i/>
        </w:rPr>
        <w:t>Hospic – sociální fenomén moderní společnosti</w:t>
      </w:r>
      <w:r>
        <w:rPr>
          <w:i/>
        </w:rPr>
        <w:t xml:space="preserve"> </w:t>
      </w:r>
      <w:r>
        <w:rPr>
          <w:color w:val="000000"/>
        </w:rPr>
        <w:t>[online].</w:t>
      </w:r>
      <w:r w:rsidRPr="008E7621">
        <w:t xml:space="preserve"> </w:t>
      </w:r>
      <w:r>
        <w:t>Rigorózní práce. Bratislava:</w:t>
      </w:r>
      <w:r w:rsidRPr="00AB2E45">
        <w:t xml:space="preserve"> </w:t>
      </w:r>
      <w:r w:rsidRPr="008E7621">
        <w:t>Vysoká škola zdravotníctv</w:t>
      </w:r>
      <w:r>
        <w:t xml:space="preserve">a a sociálnej práce sv. Alžbety, </w:t>
      </w:r>
      <w:r w:rsidRPr="008E7621">
        <w:t>2008.</w:t>
      </w:r>
      <w:r>
        <w:t xml:space="preserve"> Dostupné z: </w:t>
      </w:r>
      <w:hyperlink r:id="rId145" w:history="1">
        <w:r w:rsidRPr="00DC0265">
          <w:rPr>
            <w:rStyle w:val="Hypertextovodkaz"/>
          </w:rPr>
          <w:t>http://www.hospice.cz/wp-content/uploads/oldhosp/Hunes-HOSPIC-SOCIALNI_FENOMEN_MODERNI_SPOLECNOSTI.pdf</w:t>
        </w:r>
      </w:hyperlink>
      <w:r>
        <w:t>.</w:t>
      </w:r>
    </w:p>
    <w:p w:rsidR="002747AE" w:rsidRDefault="002747AE" w:rsidP="002C40B2">
      <w:pPr>
        <w:spacing w:after="120"/>
      </w:pPr>
      <w:r>
        <w:t xml:space="preserve">KÚKK. </w:t>
      </w:r>
      <w:r w:rsidRPr="00372A82">
        <w:rPr>
          <w:i/>
        </w:rPr>
        <w:t>Koncepce uspořádání akutní lůžkové péče v Karlovarském kraji</w:t>
      </w:r>
      <w:r>
        <w:t xml:space="preserve"> </w:t>
      </w:r>
      <w:r>
        <w:rPr>
          <w:color w:val="000000"/>
        </w:rPr>
        <w:t>[online].</w:t>
      </w:r>
      <w:r w:rsidRPr="008E7621">
        <w:t xml:space="preserve"> 2015.</w:t>
      </w:r>
      <w:r>
        <w:t xml:space="preserve"> Dostupné z: </w:t>
      </w:r>
      <w:hyperlink r:id="rId146" w:history="1">
        <w:r w:rsidRPr="00DC0265">
          <w:rPr>
            <w:rStyle w:val="Hypertextovodkaz"/>
          </w:rPr>
          <w:t>http://www.kr-karlovarsky.cz/krajsky-urad/cinnosti/Stranky/zdravotnictvi/seznam/strategie.aspx</w:t>
        </w:r>
      </w:hyperlink>
      <w:r w:rsidR="00FF42C4">
        <w:t>.</w:t>
      </w:r>
    </w:p>
    <w:p w:rsidR="002747AE" w:rsidRPr="008E7621" w:rsidRDefault="002747AE" w:rsidP="002C40B2">
      <w:pPr>
        <w:spacing w:after="120"/>
      </w:pPr>
      <w:r>
        <w:t>KÚKK.</w:t>
      </w:r>
      <w:r w:rsidRPr="00372A82">
        <w:rPr>
          <w:i/>
        </w:rPr>
        <w:t xml:space="preserve"> Strategie zdravotnictví Karlovarského kraje</w:t>
      </w:r>
      <w:r w:rsidRPr="008E7621">
        <w:t>. 2009.</w:t>
      </w:r>
    </w:p>
    <w:p w:rsidR="002747AE" w:rsidRDefault="002747AE" w:rsidP="002C40B2">
      <w:pPr>
        <w:spacing w:after="120"/>
      </w:pPr>
      <w:r>
        <w:t xml:space="preserve">ÚZIS. </w:t>
      </w:r>
      <w:r w:rsidRPr="00372A82">
        <w:rPr>
          <w:i/>
        </w:rPr>
        <w:t>Síť zdravotnických zařízení 2013</w:t>
      </w:r>
      <w:r w:rsidRPr="008E7621">
        <w:t xml:space="preserve"> </w:t>
      </w:r>
      <w:r>
        <w:rPr>
          <w:color w:val="000000"/>
        </w:rPr>
        <w:t>[online].</w:t>
      </w:r>
      <w:r w:rsidRPr="00F22BDB">
        <w:rPr>
          <w:i/>
        </w:rPr>
        <w:t xml:space="preserve"> </w:t>
      </w:r>
      <w:r>
        <w:t xml:space="preserve">2015. Dostupné z: </w:t>
      </w:r>
      <w:hyperlink r:id="rId147" w:history="1">
        <w:r w:rsidRPr="00DC0265">
          <w:rPr>
            <w:rStyle w:val="Hypertextovodkaz"/>
          </w:rPr>
          <w:t>http://www.uzis.cz/katalog/zdravotnicka-statistika/sit-zdravotnickych-zarizeni</w:t>
        </w:r>
      </w:hyperlink>
      <w:r>
        <w:t>.</w:t>
      </w:r>
    </w:p>
    <w:p w:rsidR="002747AE" w:rsidRDefault="002747AE" w:rsidP="002C40B2">
      <w:pPr>
        <w:spacing w:after="120"/>
      </w:pPr>
      <w:r>
        <w:t xml:space="preserve">ÚZIS. </w:t>
      </w:r>
      <w:r w:rsidRPr="003A16E7">
        <w:rPr>
          <w:i/>
        </w:rPr>
        <w:t>Zdravotnická ročenka České republiky pro rok 2013</w:t>
      </w:r>
      <w:r>
        <w:rPr>
          <w:i/>
        </w:rPr>
        <w:t xml:space="preserve">. </w:t>
      </w:r>
      <w:r>
        <w:rPr>
          <w:color w:val="000000"/>
        </w:rPr>
        <w:t>[online].</w:t>
      </w:r>
      <w:r w:rsidRPr="00F22BDB">
        <w:rPr>
          <w:i/>
        </w:rPr>
        <w:t xml:space="preserve"> </w:t>
      </w:r>
      <w:r>
        <w:t xml:space="preserve">2014. Dostupné z: </w:t>
      </w:r>
      <w:hyperlink r:id="rId148" w:history="1">
        <w:r w:rsidRPr="00DC0265">
          <w:rPr>
            <w:rStyle w:val="Hypertextovodkaz"/>
          </w:rPr>
          <w:t>http://www.uzis.cz/cr-kraje</w:t>
        </w:r>
      </w:hyperlink>
      <w:r>
        <w:t>.</w:t>
      </w:r>
    </w:p>
    <w:p w:rsidR="002747AE" w:rsidRDefault="002747AE" w:rsidP="002C40B2">
      <w:pPr>
        <w:spacing w:after="120"/>
      </w:pPr>
      <w:r>
        <w:t xml:space="preserve">ÚZIS. </w:t>
      </w:r>
      <w:r w:rsidRPr="00BE5D35">
        <w:rPr>
          <w:i/>
        </w:rPr>
        <w:t>Zdravo</w:t>
      </w:r>
      <w:r>
        <w:rPr>
          <w:i/>
        </w:rPr>
        <w:t>tn</w:t>
      </w:r>
      <w:r w:rsidRPr="00BE5D35">
        <w:rPr>
          <w:i/>
        </w:rPr>
        <w:t>ictví Č</w:t>
      </w:r>
      <w:r>
        <w:rPr>
          <w:i/>
        </w:rPr>
        <w:t>eské republiky</w:t>
      </w:r>
      <w:r w:rsidRPr="00BE5D35">
        <w:rPr>
          <w:i/>
        </w:rPr>
        <w:t xml:space="preserve"> 2013</w:t>
      </w:r>
      <w:r>
        <w:rPr>
          <w:i/>
        </w:rPr>
        <w:t xml:space="preserve"> ve statistických údajích </w:t>
      </w:r>
      <w:r>
        <w:rPr>
          <w:color w:val="000000"/>
        </w:rPr>
        <w:t>[online].</w:t>
      </w:r>
      <w:r w:rsidRPr="00F22BDB">
        <w:rPr>
          <w:i/>
        </w:rPr>
        <w:t xml:space="preserve"> </w:t>
      </w:r>
      <w:r>
        <w:t xml:space="preserve">2014. Dostupné z: </w:t>
      </w:r>
      <w:hyperlink r:id="rId149" w:history="1">
        <w:r w:rsidRPr="00DC0265">
          <w:rPr>
            <w:rStyle w:val="Hypertextovodkaz"/>
          </w:rPr>
          <w:t>http://www.uzis.cz/cr-kraje</w:t>
        </w:r>
      </w:hyperlink>
      <w:r>
        <w:t>.</w:t>
      </w:r>
    </w:p>
    <w:p w:rsidR="002747AE" w:rsidRDefault="002747AE" w:rsidP="002C40B2">
      <w:pPr>
        <w:spacing w:after="120"/>
      </w:pPr>
      <w:r>
        <w:t xml:space="preserve">ÚZIS. </w:t>
      </w:r>
      <w:r w:rsidRPr="00F372C0">
        <w:rPr>
          <w:i/>
        </w:rPr>
        <w:t>Zdravotnictví Karlovarského kraje</w:t>
      </w:r>
      <w:r>
        <w:t xml:space="preserve"> </w:t>
      </w:r>
      <w:r w:rsidRPr="00F372C0">
        <w:rPr>
          <w:i/>
        </w:rPr>
        <w:t>2013</w:t>
      </w:r>
      <w:r>
        <w:t xml:space="preserve"> </w:t>
      </w:r>
      <w:r>
        <w:rPr>
          <w:color w:val="000000"/>
        </w:rPr>
        <w:t>[online].</w:t>
      </w:r>
      <w:r w:rsidRPr="00F22BDB">
        <w:rPr>
          <w:i/>
        </w:rPr>
        <w:t xml:space="preserve"> </w:t>
      </w:r>
      <w:r>
        <w:t xml:space="preserve">2014. Dostupné z: </w:t>
      </w:r>
      <w:hyperlink r:id="rId150" w:history="1">
        <w:r w:rsidRPr="00DC0265">
          <w:rPr>
            <w:rStyle w:val="Hypertextovodkaz"/>
          </w:rPr>
          <w:t>http://www.uzis.cz/publikace/zdravotnictvi-karlovarskeho-kraje-2013</w:t>
        </w:r>
      </w:hyperlink>
      <w:r>
        <w:t>.</w:t>
      </w:r>
    </w:p>
    <w:p w:rsidR="00005545" w:rsidRDefault="00005545" w:rsidP="002C40B2">
      <w:pPr>
        <w:spacing w:after="160"/>
        <w:jc w:val="left"/>
      </w:pPr>
      <w:r>
        <w:br w:type="page"/>
      </w:r>
    </w:p>
    <w:p w:rsidR="00005545" w:rsidRPr="00AB2E45" w:rsidRDefault="00BB135B" w:rsidP="00094A5B">
      <w:pPr>
        <w:pStyle w:val="Nadpis1"/>
      </w:pPr>
      <w:bookmarkStart w:id="354" w:name="_Toc321405937"/>
      <w:r w:rsidRPr="00AB2E45">
        <w:lastRenderedPageBreak/>
        <w:t xml:space="preserve"> </w:t>
      </w:r>
      <w:bookmarkStart w:id="355" w:name="_Toc488233399"/>
      <w:r w:rsidR="00005545" w:rsidRPr="00AB2E45">
        <w:t>Pozemní dopravní infrastruktura</w:t>
      </w:r>
      <w:bookmarkEnd w:id="354"/>
      <w:bookmarkEnd w:id="355"/>
    </w:p>
    <w:p w:rsidR="00005545" w:rsidRDefault="00005545" w:rsidP="002C40B2">
      <w:r>
        <w:t xml:space="preserve">Význam dopravy v globalizovaném světě stoupá. Kvalitní dopravní infrastruktura přispívá k rozvoji území, protože usnadňuje zapojení periferních regionů do územní dělby práce a globálních produkčních sítí. Zároveň hospodářství těchto regionů vystavuje větší konkurenci zvnějšku, a to především z jádrových regionů. Perifernost některých oblastí Karlovarského kraje a jeho pozice v rámci ČR posiluje význam dopravní infrastruktury a dostupnosti území. Na dopravní infrastrukturu je v této kapitole nahlíženo  z různých hledisek. </w:t>
      </w:r>
    </w:p>
    <w:p w:rsidR="00005545" w:rsidRDefault="00005545" w:rsidP="002C40B2">
      <w:pPr>
        <w:rPr>
          <w:i/>
        </w:rPr>
      </w:pPr>
      <w:r>
        <w:rPr>
          <w:i/>
        </w:rPr>
        <w:t xml:space="preserve">Otázky: </w:t>
      </w:r>
    </w:p>
    <w:p w:rsidR="00005545" w:rsidRPr="00AB2E45" w:rsidRDefault="00005545" w:rsidP="002C40B2">
      <w:pPr>
        <w:pStyle w:val="Odstavecseseznamem"/>
        <w:numPr>
          <w:ilvl w:val="0"/>
          <w:numId w:val="16"/>
        </w:numPr>
        <w:rPr>
          <w:i/>
        </w:rPr>
      </w:pPr>
      <w:r w:rsidRPr="00AB2E45">
        <w:rPr>
          <w:i/>
        </w:rPr>
        <w:t xml:space="preserve">Je dopravní infrastruktura vyhovující pro spojení kraje s ostatním územím ČR a jeho jádrovými oblastmi? Umožňuje infrastruktura dostatečné napojení kraje na globální a evropské produkční sítě? </w:t>
      </w:r>
    </w:p>
    <w:p w:rsidR="00005545" w:rsidRPr="00AB2E45" w:rsidRDefault="00005545" w:rsidP="002C40B2">
      <w:pPr>
        <w:pStyle w:val="Odstavecseseznamem"/>
        <w:numPr>
          <w:ilvl w:val="0"/>
          <w:numId w:val="16"/>
        </w:numPr>
        <w:rPr>
          <w:i/>
        </w:rPr>
      </w:pPr>
      <w:r w:rsidRPr="00AB2E45">
        <w:rPr>
          <w:i/>
        </w:rPr>
        <w:t>Je dopravní propojení, zejména metropolitních území a periferních oblastí kraje, dostačující pro další rozvoj těchto území?</w:t>
      </w:r>
    </w:p>
    <w:p w:rsidR="00005545" w:rsidRPr="00AB2E45" w:rsidRDefault="00005545" w:rsidP="002C40B2">
      <w:pPr>
        <w:pStyle w:val="Odstavecseseznamem"/>
        <w:numPr>
          <w:ilvl w:val="0"/>
          <w:numId w:val="16"/>
        </w:numPr>
        <w:rPr>
          <w:i/>
        </w:rPr>
      </w:pPr>
      <w:r w:rsidRPr="00AB2E45">
        <w:rPr>
          <w:i/>
        </w:rPr>
        <w:t>Je dopravní propojení se sousedním Německem dostačující pro rozvoj vzájemných vazeb, zejména ekonomických?</w:t>
      </w:r>
    </w:p>
    <w:p w:rsidR="00005545" w:rsidRDefault="00005545" w:rsidP="002C40B2">
      <w:r>
        <w:t xml:space="preserve">Území kraje je poměrně zřetelně rozděleno na jádrovou, metropolitní oblast, která se nachází v pánevní oblasti v ose měst Cheb – Sokolov – Karlovy Vary – Ostrov a ostatní, spíše okrajová, periferní území. Tomuto rozdělení odpovídají i hlavní dopravní osy. Hlavní dopravní osou v regionu je právě spojení výše uvedených čtyř měst. Dílčími, již méně významnými osami, jsou Cheb – Mariánské Lázně, Cheb – Františkovy Lázně – Aš. Krajem také prochází některé mezinárodní silniční tahy. Je to koridor E 48 (Praha – Karlovy Vary – Bayreuth – Schweinfurth), který územím kraje prochází ve směru od Prahy přes Karlovy Vary, Sokolov a Cheb. Druhým evropským koridorem je trasa E49 (Vídeň – České Budějovice – Plzeň – Karlovy Vary – Magdeburg), která v současné době prochází regionem ve směru Toužim, Bečov nad Teplou, Karlovy Vary, Sokolov, Cheb a hraniční přechod Vojtanov. </w:t>
      </w:r>
    </w:p>
    <w:p w:rsidR="00005545" w:rsidRDefault="00005545" w:rsidP="002C40B2">
      <w:r w:rsidRPr="00AB2E45">
        <w:t>Na</w:t>
      </w:r>
      <w:r w:rsidRPr="000B0C25">
        <w:t xml:space="preserve"> území Karlovarského kraje leží celkem </w:t>
      </w:r>
      <w:r w:rsidRPr="00A83AE3">
        <w:t>2 048,8 km</w:t>
      </w:r>
      <w:r>
        <w:t xml:space="preserve"> silnic</w:t>
      </w:r>
      <w:r w:rsidRPr="00A83AE3">
        <w:t xml:space="preserve">, z toho 37,5 km připadá na dálnici D6, </w:t>
      </w:r>
      <w:r>
        <w:br/>
      </w:r>
      <w:r w:rsidRPr="00A83AE3">
        <w:t>183,9 km silnic I. třídy, zbylých 1</w:t>
      </w:r>
      <w:r>
        <w:t xml:space="preserve"> </w:t>
      </w:r>
      <w:r w:rsidRPr="00A83AE3">
        <w:t>827,4 km připadá na silnice II. a III. třídy.</w:t>
      </w:r>
    </w:p>
    <w:p w:rsidR="00AB2E45" w:rsidRDefault="00005545" w:rsidP="002C40B2">
      <w:r>
        <w:t xml:space="preserve">Hustota a obecně stav dopravní infrastruktury je významným faktorem ovlivňujícím dopravní dostupnost regionu. Hustota sítě silnic dálničního typu v Karlovarském kraji je v porovnání s ostatními kraji na mírně podprůměrné úrovni, s výraznějším odstupem na přední kraje s rozvinutou dopravní infrastrukturou (viz </w:t>
      </w:r>
      <w:fldSimple w:instr=" REF _Ref464455641  \* MERGEFORMAT ">
        <w:r w:rsidR="00536ECC">
          <w:t>g</w:t>
        </w:r>
        <w:r w:rsidR="00CB29BD">
          <w:t xml:space="preserve">raf </w:t>
        </w:r>
        <w:r w:rsidR="00CB29BD">
          <w:rPr>
            <w:noProof/>
          </w:rPr>
          <w:t>14</w:t>
        </w:r>
        <w:r w:rsidR="00CB29BD">
          <w:t>.</w:t>
        </w:r>
        <w:r w:rsidR="00CB29BD">
          <w:rPr>
            <w:noProof/>
          </w:rPr>
          <w:t>1</w:t>
        </w:r>
      </w:fldSimple>
      <w:r>
        <w:t xml:space="preserve">). Příčinou je perifernost kraje a to, že územím neprochází žádná významnější tranzitní silniční trasa </w:t>
      </w:r>
      <w:r w:rsidRPr="00A83AE3">
        <w:t xml:space="preserve">i přes to, že silnice D6 (od Karlových Varů směr Praha pokračuje jako silnice I/6 a ve Středočeském kraji opět jako D6) je zařazena do Transevropské dopravní sítě </w:t>
      </w:r>
      <w:r w:rsidRPr="00A83AE3">
        <w:rPr>
          <w:sz w:val="20"/>
        </w:rPr>
        <w:t>(TEN-T)</w:t>
      </w:r>
      <w:r w:rsidRPr="00A83AE3">
        <w:t>. Tranzitní význam této silnice snižuje její nedokončení v plném rozsahu, kde úseky vedené jako silnice I/6 významně snižují kapacitu tranzitní silniční trasy.</w:t>
      </w:r>
      <w:r w:rsidRPr="001F1C6D">
        <w:t xml:space="preserve"> </w:t>
      </w:r>
      <w:r w:rsidRPr="00A83AE3">
        <w:t xml:space="preserve">Dalším nedostatkem je omezené napojení na německou dálniční síť. </w:t>
      </w:r>
      <w:r>
        <w:t xml:space="preserve">Proto jsou v tomto směru významnějšími dopravními tahy dálnice D5 a D8. </w:t>
      </w:r>
    </w:p>
    <w:p w:rsidR="00AB2E45" w:rsidRDefault="00AB2E45" w:rsidP="002C40B2">
      <w:pPr>
        <w:spacing w:after="160"/>
        <w:jc w:val="left"/>
      </w:pPr>
      <w:r>
        <w:br w:type="page"/>
      </w:r>
    </w:p>
    <w:p w:rsidR="00005545" w:rsidRDefault="00005545" w:rsidP="000B3B9C">
      <w:pPr>
        <w:pStyle w:val="Titulek"/>
      </w:pPr>
      <w:bookmarkStart w:id="356" w:name="_Ref464455641"/>
      <w:bookmarkStart w:id="357" w:name="_Toc488234376"/>
      <w:r>
        <w:lastRenderedPageBreak/>
        <w:t xml:space="preserve">Graf </w:t>
      </w:r>
      <w:r w:rsidR="008965FE">
        <w:fldChar w:fldCharType="begin"/>
      </w:r>
      <w:r w:rsidR="00FD378B">
        <w:instrText xml:space="preserve"> STYLEREF 1 \s </w:instrText>
      </w:r>
      <w:r w:rsidR="008965FE">
        <w:fldChar w:fldCharType="separate"/>
      </w:r>
      <w:r w:rsidR="00CB29BD">
        <w:t>14</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bookmarkEnd w:id="356"/>
      <w:r w:rsidR="00AB2E45">
        <w:t xml:space="preserve">: </w:t>
      </w:r>
      <w:r>
        <w:t>Hustota silnic dálničního typu v krajích ČR (k 1. 1. 2016)</w:t>
      </w:r>
      <w:bookmarkEnd w:id="357"/>
    </w:p>
    <w:p w:rsidR="00005545" w:rsidRDefault="00005545" w:rsidP="002C40B2">
      <w:pPr>
        <w:pStyle w:val="poznzdroj"/>
        <w:spacing w:line="276" w:lineRule="auto"/>
      </w:pPr>
      <w:r>
        <w:rPr>
          <w:noProof/>
        </w:rPr>
        <w:drawing>
          <wp:inline distT="0" distB="0" distL="0" distR="0">
            <wp:extent cx="5639435" cy="2438400"/>
            <wp:effectExtent l="0" t="0" r="0" b="0"/>
            <wp:docPr id="243" name="Graf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sidRPr="00B77958">
        <w:t>Zdroj: ČSÚ, ŘSD</w:t>
      </w:r>
    </w:p>
    <w:p w:rsidR="00005545" w:rsidRDefault="00005545" w:rsidP="002C40B2">
      <w:pPr>
        <w:rPr>
          <w:rFonts w:eastAsia="Calibri"/>
          <w:b/>
          <w:bCs/>
          <w:szCs w:val="20"/>
          <w:lang w:eastAsia="en-US"/>
        </w:rPr>
      </w:pPr>
      <w:r>
        <w:t>Potenciál (poptávka) po vysokokapacitní silniční infrastruktuře v samotném kraji není nijak veliký, neboť podle posledního sčítání dopravy v roce 2010 se v kraji nachází pouze velmi krátké úseky komunikací s intenzitou provozu vyšší než 10 000 vozidel/den</w:t>
      </w:r>
      <w:r>
        <w:rPr>
          <w:rStyle w:val="Znakapoznpodarou"/>
          <w:rFonts w:eastAsia="Calibri"/>
        </w:rPr>
        <w:footnoteReference w:id="29"/>
      </w:r>
      <w:r>
        <w:t>, a to především v okolí Karlových Varů, Sokolova a Chebu, kde pravděpodobně největší podíl představuje vnitrokrajská doprava (blíže viz ŘSD). Poměrně vysokou intenzitu dopravy vykazují také komunikace mířící přes hranice do Německa, především silnice II/214 </w:t>
      </w:r>
      <w:r w:rsidRPr="00A83AE3">
        <w:t>okolo</w:t>
      </w:r>
      <w:r>
        <w:t xml:space="preserve"> Chebu směrem na Svatý Kříž a Waldsassen a také silnice I/64 z Aše do Selbu. To jen dokazuje intenzivní kontakty mezi oběma oblastmi. </w:t>
      </w:r>
    </w:p>
    <w:p w:rsidR="00005545" w:rsidRPr="00721244" w:rsidRDefault="00005545" w:rsidP="000B3B9C">
      <w:pPr>
        <w:pStyle w:val="Titulek"/>
      </w:pPr>
      <w:bookmarkStart w:id="358" w:name="_Ref464456699"/>
      <w:bookmarkStart w:id="359" w:name="_Toc488234377"/>
      <w:r>
        <w:t xml:space="preserve">Graf </w:t>
      </w:r>
      <w:r w:rsidR="008965FE">
        <w:fldChar w:fldCharType="begin"/>
      </w:r>
      <w:r w:rsidR="00FD378B">
        <w:instrText xml:space="preserve"> STYLEREF 1 \s </w:instrText>
      </w:r>
      <w:r w:rsidR="008965FE">
        <w:fldChar w:fldCharType="separate"/>
      </w:r>
      <w:r w:rsidR="00CB29BD">
        <w:t>14</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bookmarkEnd w:id="358"/>
      <w:r>
        <w:t>: Hustota silnic I., II. a III. třídy v krajích ČR (k 1. 1. 2016, hustota na 100 km</w:t>
      </w:r>
      <w:r>
        <w:rPr>
          <w:vertAlign w:val="superscript"/>
        </w:rPr>
        <w:t>2</w:t>
      </w:r>
      <w:r>
        <w:t>)</w:t>
      </w:r>
      <w:bookmarkEnd w:id="359"/>
    </w:p>
    <w:p w:rsidR="00005545" w:rsidRDefault="00005545" w:rsidP="002C40B2">
      <w:pPr>
        <w:pStyle w:val="Zdroj"/>
        <w:spacing w:line="276" w:lineRule="auto"/>
        <w:jc w:val="center"/>
      </w:pPr>
      <w:r>
        <w:rPr>
          <w:noProof/>
        </w:rPr>
        <w:drawing>
          <wp:inline distT="0" distB="0" distL="0" distR="0">
            <wp:extent cx="5581015" cy="2466975"/>
            <wp:effectExtent l="0" t="0" r="635" b="0"/>
            <wp:docPr id="245" name="Graf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005545" w:rsidRPr="000B1F7E" w:rsidRDefault="00005545" w:rsidP="002C40B2">
      <w:pPr>
        <w:pStyle w:val="poznzdroj"/>
        <w:spacing w:line="276" w:lineRule="auto"/>
      </w:pPr>
      <w:r w:rsidRPr="000B1F7E">
        <w:t>Zdroj: ČSÚ, ŘSD</w:t>
      </w:r>
    </w:p>
    <w:p w:rsidR="00005545" w:rsidRDefault="00005545" w:rsidP="002C40B2">
      <w:r>
        <w:t xml:space="preserve">Karlovarský kraj má mírně podprůměrnou hustotu silnic I., II. a III. </w:t>
      </w:r>
      <w:r w:rsidR="00B277EB">
        <w:t>t</w:t>
      </w:r>
      <w:r>
        <w:t xml:space="preserve">řídy (viz </w:t>
      </w:r>
      <w:fldSimple w:instr=" REF _Ref464456699  \* MERGEFORMAT ">
        <w:r w:rsidR="00536ECC">
          <w:t>g</w:t>
        </w:r>
        <w:r w:rsidR="00CB29BD">
          <w:t xml:space="preserve">raf </w:t>
        </w:r>
        <w:r w:rsidR="00CB29BD">
          <w:rPr>
            <w:noProof/>
          </w:rPr>
          <w:t>14</w:t>
        </w:r>
        <w:r w:rsidR="00CB29BD">
          <w:t>.</w:t>
        </w:r>
        <w:r w:rsidR="00CB29BD">
          <w:rPr>
            <w:noProof/>
          </w:rPr>
          <w:t>2</w:t>
        </w:r>
      </w:fldSimple>
      <w:r>
        <w:t xml:space="preserve">), celkem </w:t>
      </w:r>
      <w:r w:rsidRPr="00A83AE3">
        <w:t xml:space="preserve">60,7 </w:t>
      </w:r>
      <w:r>
        <w:t>km/100 km</w:t>
      </w:r>
      <w:r>
        <w:rPr>
          <w:vertAlign w:val="superscript"/>
        </w:rPr>
        <w:t>2</w:t>
      </w:r>
      <w:r>
        <w:t>. Síť silnic II. třídy</w:t>
      </w:r>
      <w:r w:rsidRPr="00A83AE3">
        <w:t xml:space="preserve"> </w:t>
      </w:r>
      <w:r>
        <w:t>má d</w:t>
      </w:r>
      <w:r w:rsidRPr="00A83AE3">
        <w:t xml:space="preserve">ruhou </w:t>
      </w:r>
      <w:r>
        <w:t xml:space="preserve">nejnižší hustotu v ČR. Ve  struktuře silnic nejvíce dominují silnice III. třídy (jejich podíl je 66 % z celkové délky silniční sítě Karlovarského kraje, což je v porovnání s ostatními kraji nejvyšší procento). Příčinou menší celkové hustoty silnic a dominance silnic III. třídy </w:t>
      </w:r>
      <w:r>
        <w:lastRenderedPageBreak/>
        <w:t xml:space="preserve">je především vrchovinný až hornatý charakter velké části území a řídké osídlení v pohraničí. </w:t>
      </w:r>
      <w:r w:rsidRPr="001C5A7C">
        <w:t xml:space="preserve">Určitou roli hraje také přítomnost vojenského újezdu, který zabírá </w:t>
      </w:r>
      <w:r w:rsidRPr="00A83AE3">
        <w:t>část</w:t>
      </w:r>
      <w:r w:rsidRPr="001C5A7C">
        <w:t xml:space="preserve"> rozlohy kraje.</w:t>
      </w:r>
    </w:p>
    <w:p w:rsidR="00005545" w:rsidRDefault="00005545" w:rsidP="002C40B2">
      <w:pPr>
        <w:rPr>
          <w:szCs w:val="20"/>
        </w:rPr>
      </w:pPr>
      <w:r>
        <w:t>Železniční síť v kraji má svou hlavní dopravní osu ve směru Cheb – Sokolov – Karlovy Vary – Ostrov (trať č. 140), pokračující dále do Kadaně, Chomutova, Mostu, Teplic a Ústí nad Labem. Druhá významná trať vede v jihozápadní části kraje mezi Mariánskými Lázněmi a Chebem a jde o 3. tranzitní koridor (Ostrava – Olomouc – Pardubice – Praha – Plzeň – Cheb). Ostatní osobní tratě mají pouze regionální až lokální význam s nízkou intenzitou provozu.</w:t>
      </w:r>
    </w:p>
    <w:p w:rsidR="00005545" w:rsidRDefault="00005545" w:rsidP="000B3B9C">
      <w:pPr>
        <w:pStyle w:val="Titulek"/>
      </w:pPr>
      <w:bookmarkStart w:id="360" w:name="_Ref464456666"/>
      <w:bookmarkStart w:id="361" w:name="_Toc488234378"/>
      <w:r>
        <w:t xml:space="preserve">Graf </w:t>
      </w:r>
      <w:r w:rsidR="008965FE">
        <w:fldChar w:fldCharType="begin"/>
      </w:r>
      <w:r w:rsidR="00FD378B">
        <w:instrText xml:space="preserve"> STYLEREF 1 \s </w:instrText>
      </w:r>
      <w:r w:rsidR="008965FE">
        <w:fldChar w:fldCharType="separate"/>
      </w:r>
      <w:r w:rsidR="00CB29BD">
        <w:t>14</w:t>
      </w:r>
      <w:r w:rsidR="008965FE">
        <w:fldChar w:fldCharType="end"/>
      </w:r>
      <w:r w:rsidR="00FD378B">
        <w:t>.</w:t>
      </w:r>
      <w:r w:rsidR="008965FE">
        <w:fldChar w:fldCharType="begin"/>
      </w:r>
      <w:r w:rsidR="00FD378B">
        <w:instrText xml:space="preserve"> SEQ Graf \* ARABIC \s 1 </w:instrText>
      </w:r>
      <w:r w:rsidR="008965FE">
        <w:fldChar w:fldCharType="separate"/>
      </w:r>
      <w:r w:rsidR="00CB29BD">
        <w:t>3</w:t>
      </w:r>
      <w:r w:rsidR="008965FE">
        <w:fldChar w:fldCharType="end"/>
      </w:r>
      <w:bookmarkEnd w:id="360"/>
      <w:r>
        <w:t>: Hustota železnic v krajích ČR (k 31. 12. 2014)</w:t>
      </w:r>
      <w:bookmarkEnd w:id="361"/>
    </w:p>
    <w:p w:rsidR="00B77958" w:rsidRDefault="00005545" w:rsidP="002C40B2">
      <w:pPr>
        <w:pStyle w:val="Zdroj"/>
        <w:spacing w:after="0" w:line="276" w:lineRule="auto"/>
      </w:pPr>
      <w:r>
        <w:rPr>
          <w:noProof/>
        </w:rPr>
        <w:drawing>
          <wp:inline distT="0" distB="0" distL="0" distR="0">
            <wp:extent cx="5420360" cy="2247900"/>
            <wp:effectExtent l="0" t="0" r="8890" b="0"/>
            <wp:docPr id="246" name="Graf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005545" w:rsidRPr="00B77958" w:rsidRDefault="00005545" w:rsidP="002C40B2">
      <w:pPr>
        <w:pStyle w:val="poznzdroj"/>
        <w:spacing w:line="276" w:lineRule="auto"/>
      </w:pPr>
      <w:r w:rsidRPr="00B77958">
        <w:t>Zdroj: ČSÚ</w:t>
      </w:r>
    </w:p>
    <w:p w:rsidR="00005545" w:rsidRDefault="00005545" w:rsidP="002C40B2">
      <w:r>
        <w:t>Karlovarský kraj se v hustotě železnic na 100 km</w:t>
      </w:r>
      <w:r>
        <w:rPr>
          <w:vertAlign w:val="superscript"/>
        </w:rPr>
        <w:t>2</w:t>
      </w:r>
      <w:r>
        <w:t xml:space="preserve"> pohybuje na předních příčkách, při přepočtu na obyvatele dokonce dosahuje nejvyšší hodnoty v ČR (viz </w:t>
      </w:r>
      <w:fldSimple w:instr=" REF _Ref464456666  \* MERGEFORMAT ">
        <w:r w:rsidR="00536ECC">
          <w:t>g</w:t>
        </w:r>
        <w:r w:rsidR="00CB29BD">
          <w:t xml:space="preserve">raf </w:t>
        </w:r>
        <w:r w:rsidR="00CB29BD">
          <w:rPr>
            <w:noProof/>
          </w:rPr>
          <w:t>14</w:t>
        </w:r>
        <w:r w:rsidR="00CB29BD">
          <w:t>.</w:t>
        </w:r>
        <w:r w:rsidR="00CB29BD">
          <w:rPr>
            <w:noProof/>
          </w:rPr>
          <w:t>3</w:t>
        </w:r>
      </w:fldSimple>
      <w:r w:rsidR="00536ECC">
        <w:t>)</w:t>
      </w:r>
      <w:r>
        <w:t xml:space="preserve">. Příčinou je zděděná rozsáhlá železniční infrastruktura v severozápadních pohraničních oblastech kraje, které byly dříve intenzivněji průmyslově využívány a před druhou světovou válkou i více obydleny. Většina tratí má také přímé pokračování do Německa. Kvůli velkému podílu těžkého průmyslu a těžby v kraji, je význam železnice stále vysoký zejména v nákladní přepravě. To ostatně ukazuje </w:t>
      </w:r>
      <w:r w:rsidR="00B277EB">
        <w:t>graf níže.</w:t>
      </w:r>
    </w:p>
    <w:p w:rsidR="00005545" w:rsidRPr="008323B3" w:rsidRDefault="00005545" w:rsidP="000B3B9C">
      <w:pPr>
        <w:pStyle w:val="Titulek"/>
      </w:pPr>
      <w:bookmarkStart w:id="362" w:name="_Ref464456874"/>
      <w:bookmarkStart w:id="363" w:name="_Toc488234379"/>
      <w:r>
        <w:t xml:space="preserve">Graf </w:t>
      </w:r>
      <w:r w:rsidR="008965FE">
        <w:fldChar w:fldCharType="begin"/>
      </w:r>
      <w:r w:rsidR="00FD378B">
        <w:instrText xml:space="preserve"> STYLEREF 1 \s </w:instrText>
      </w:r>
      <w:r w:rsidR="008965FE">
        <w:fldChar w:fldCharType="separate"/>
      </w:r>
      <w:r w:rsidR="00CB29BD">
        <w:t>14</w:t>
      </w:r>
      <w:r w:rsidR="008965FE">
        <w:fldChar w:fldCharType="end"/>
      </w:r>
      <w:r w:rsidR="00FD378B">
        <w:t>.</w:t>
      </w:r>
      <w:r w:rsidR="008965FE">
        <w:fldChar w:fldCharType="begin"/>
      </w:r>
      <w:r w:rsidR="00FD378B">
        <w:instrText xml:space="preserve"> SEQ Graf \* ARABIC \s 1 </w:instrText>
      </w:r>
      <w:r w:rsidR="008965FE">
        <w:fldChar w:fldCharType="separate"/>
      </w:r>
      <w:r w:rsidR="00CB29BD">
        <w:t>4</w:t>
      </w:r>
      <w:r w:rsidR="008965FE">
        <w:fldChar w:fldCharType="end"/>
      </w:r>
      <w:bookmarkEnd w:id="362"/>
      <w:r>
        <w:t>: Nákladní přeprava silniční a železniční dopravou v rámci krajů v roce 2014 (v tis. tun)</w:t>
      </w:r>
      <w:bookmarkEnd w:id="363"/>
    </w:p>
    <w:p w:rsidR="00005545" w:rsidRDefault="00005545" w:rsidP="002C40B2">
      <w:pPr>
        <w:pStyle w:val="poznzdroj"/>
        <w:spacing w:line="276" w:lineRule="auto"/>
      </w:pPr>
      <w:r>
        <w:rPr>
          <w:noProof/>
        </w:rPr>
        <w:drawing>
          <wp:inline distT="0" distB="0" distL="0" distR="0">
            <wp:extent cx="5873750" cy="2247900"/>
            <wp:effectExtent l="0" t="0" r="0" b="0"/>
            <wp:docPr id="247" name="Graf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r>
        <w:t>Zdroj: ČSÚ – Statistické ročenky krajů 2015</w:t>
      </w:r>
    </w:p>
    <w:p w:rsidR="00B77958" w:rsidRDefault="00B77958" w:rsidP="00B4707C">
      <w:r>
        <w:lastRenderedPageBreak/>
        <w:t xml:space="preserve">Právě kraje Moravskoslezský, Ústecký a Karlovarský mají nejvyšší zastoupení nákladní železniční přepravy v rámci svého území. Obecně největší intenzita nákladní přepravy je ve velkých krajích s velkými aglomeracemi (a také trhy). </w:t>
      </w:r>
    </w:p>
    <w:p w:rsidR="00005545" w:rsidRDefault="005C74E6" w:rsidP="00B4707C">
      <w:fldSimple w:instr=" REF _Ref464457284  \* MERGEFORMAT ">
        <w:r w:rsidR="00CB29BD">
          <w:t>Graf 14.5</w:t>
        </w:r>
      </w:fldSimple>
      <w:r w:rsidR="00005545">
        <w:t xml:space="preserve"> znázorňuje hodnoty intenzity přepravy cestujících silniční a železniční dopravou v rámci krajů. Karlovarský kraj se nachází s výrazným odstupem na posledním místě. Příčinou je především jeho malá populační velikost, ale také menší mobilita obyvatel, která nejpravděpodobněji souvisí s vyšší nezaměstnaností a také tím, že v kraji chybí větší počet silných (i mikroregionálních) ekonomických center, která by byla cílem každodenní pracovní dojížďky. Zároveň také některé periferní části kraje nedisponují dobrým dopravním spojením. Železnice se na přepravních výkonech v osobní přepravě podílí zhruba 30 %, což je v rámci ČR průměrná hodnota.</w:t>
      </w:r>
    </w:p>
    <w:p w:rsidR="00005545" w:rsidRDefault="00005545" w:rsidP="000B3B9C">
      <w:pPr>
        <w:pStyle w:val="Titulek"/>
      </w:pPr>
      <w:bookmarkStart w:id="364" w:name="_Ref464457284"/>
      <w:bookmarkStart w:id="365" w:name="_Toc488234380"/>
      <w:r>
        <w:t xml:space="preserve">Graf </w:t>
      </w:r>
      <w:r w:rsidR="008965FE">
        <w:fldChar w:fldCharType="begin"/>
      </w:r>
      <w:r w:rsidR="00FD378B">
        <w:instrText xml:space="preserve"> STYLEREF 1 \s </w:instrText>
      </w:r>
      <w:r w:rsidR="008965FE">
        <w:fldChar w:fldCharType="separate"/>
      </w:r>
      <w:r w:rsidR="00CB29BD">
        <w:t>14</w:t>
      </w:r>
      <w:r w:rsidR="008965FE">
        <w:fldChar w:fldCharType="end"/>
      </w:r>
      <w:r w:rsidR="00FD378B">
        <w:t>.</w:t>
      </w:r>
      <w:r w:rsidR="008965FE">
        <w:fldChar w:fldCharType="begin"/>
      </w:r>
      <w:r w:rsidR="00FD378B">
        <w:instrText xml:space="preserve"> SEQ Graf \* ARABIC \s 1 </w:instrText>
      </w:r>
      <w:r w:rsidR="008965FE">
        <w:fldChar w:fldCharType="separate"/>
      </w:r>
      <w:r w:rsidR="00CB29BD">
        <w:t>5</w:t>
      </w:r>
      <w:r w:rsidR="008965FE">
        <w:fldChar w:fldCharType="end"/>
      </w:r>
      <w:bookmarkEnd w:id="364"/>
      <w:r>
        <w:t>: Přeprava cestujících silniční a železniční dopravou v rámci krajů v roce 2014 (v tis.)</w:t>
      </w:r>
      <w:bookmarkEnd w:id="365"/>
    </w:p>
    <w:p w:rsidR="000A5487" w:rsidRDefault="00005545" w:rsidP="002C40B2">
      <w:pPr>
        <w:pStyle w:val="poznzdroj"/>
        <w:spacing w:line="276" w:lineRule="auto"/>
      </w:pPr>
      <w:r>
        <w:rPr>
          <w:noProof/>
        </w:rPr>
        <w:drawing>
          <wp:inline distT="0" distB="0" distL="0" distR="0">
            <wp:extent cx="5772294" cy="2191109"/>
            <wp:effectExtent l="19050" t="0" r="18906" b="0"/>
            <wp:docPr id="248" name="Graf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005545" w:rsidRDefault="00005545" w:rsidP="002C40B2">
      <w:pPr>
        <w:pStyle w:val="poznzdroj"/>
        <w:spacing w:line="276" w:lineRule="auto"/>
      </w:pPr>
      <w:r w:rsidRPr="00F04C0B">
        <w:t>Zdroj: ČSÚ – Statistické ročenky krajů 2015</w:t>
      </w:r>
    </w:p>
    <w:p w:rsidR="00005545" w:rsidRDefault="005C74E6" w:rsidP="002C40B2">
      <w:fldSimple w:instr=" REF _Ref464457585  \* MERGEFORMAT ">
        <w:r w:rsidR="00CB29BD">
          <w:t xml:space="preserve">Tabulka </w:t>
        </w:r>
        <w:r w:rsidR="00CB29BD">
          <w:rPr>
            <w:noProof/>
          </w:rPr>
          <w:t>14</w:t>
        </w:r>
        <w:r w:rsidR="00CB29BD">
          <w:t>.</w:t>
        </w:r>
        <w:r w:rsidR="00CB29BD">
          <w:rPr>
            <w:noProof/>
          </w:rPr>
          <w:t>1</w:t>
        </w:r>
      </w:fldSimple>
      <w:r w:rsidR="00005545">
        <w:t xml:space="preserve"> ukazuje spojení krajských měst s okolním územím. Nejvíce silnic spojuje s okolím velká krajská města, </w:t>
      </w:r>
      <w:r w:rsidR="00F04C0B">
        <w:t>KK</w:t>
      </w:r>
      <w:r w:rsidR="00005545">
        <w:t xml:space="preserve"> se nachází na 6. - 12. příčce. </w:t>
      </w:r>
      <w:r w:rsidR="00005545" w:rsidRPr="00A83AE3">
        <w:t>Do Karlových Varů vede 1 dálnice, 3 silnice I. třídy a 3 silnice II. třídy.</w:t>
      </w:r>
      <w:r w:rsidR="00005545">
        <w:t xml:space="preserve"> Konektivita krajského centra v porovnání s ostatními regiony Č</w:t>
      </w:r>
      <w:r w:rsidR="00F04C0B">
        <w:t>R</w:t>
      </w:r>
      <w:r w:rsidR="00005545">
        <w:t xml:space="preserve"> je na průměrné úrovni. </w:t>
      </w:r>
    </w:p>
    <w:p w:rsidR="00005545" w:rsidRDefault="00005545" w:rsidP="000B3B9C">
      <w:pPr>
        <w:pStyle w:val="Titulek"/>
      </w:pPr>
      <w:bookmarkStart w:id="366" w:name="_Ref464457585"/>
      <w:bookmarkStart w:id="367" w:name="_Toc488233510"/>
      <w:r>
        <w:t xml:space="preserve">Tabulka </w:t>
      </w:r>
      <w:r w:rsidR="008965FE">
        <w:fldChar w:fldCharType="begin"/>
      </w:r>
      <w:r w:rsidR="00B33DFE">
        <w:instrText xml:space="preserve"> STYLEREF 1 \s </w:instrText>
      </w:r>
      <w:r w:rsidR="008965FE">
        <w:fldChar w:fldCharType="separate"/>
      </w:r>
      <w:r w:rsidR="00CB29BD">
        <w:t>14</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366"/>
      <w:r>
        <w:t>: Srovnání krajů dle silničního spojení sídla kraje s okolím (stav v roce 2010)</w:t>
      </w:r>
      <w:bookmarkEnd w:id="367"/>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1182"/>
        <w:gridCol w:w="883"/>
        <w:gridCol w:w="955"/>
        <w:gridCol w:w="771"/>
        <w:gridCol w:w="1001"/>
        <w:gridCol w:w="988"/>
        <w:gridCol w:w="832"/>
        <w:gridCol w:w="982"/>
      </w:tblGrid>
      <w:tr w:rsidR="00005545" w:rsidRPr="00B4707C" w:rsidTr="00B4707C">
        <w:trPr>
          <w:trHeight w:val="227"/>
        </w:trPr>
        <w:tc>
          <w:tcPr>
            <w:tcW w:w="864" w:type="pct"/>
            <w:vMerge w:val="restart"/>
            <w:tcBorders>
              <w:top w:val="single" w:sz="4" w:space="0" w:color="auto"/>
              <w:left w:val="single" w:sz="4" w:space="0" w:color="auto"/>
              <w:bottom w:val="single" w:sz="4" w:space="0" w:color="auto"/>
              <w:right w:val="single" w:sz="4" w:space="0" w:color="auto"/>
            </w:tcBorders>
            <w:noWrap/>
            <w:hideMark/>
          </w:tcPr>
          <w:p w:rsidR="00005545" w:rsidRPr="00B4707C" w:rsidRDefault="002F684C" w:rsidP="002C40B2">
            <w:pPr>
              <w:spacing w:after="0"/>
              <w:rPr>
                <w:rFonts w:asciiTheme="minorHAnsi" w:hAnsiTheme="minorHAnsi"/>
                <w:b/>
                <w:sz w:val="20"/>
                <w:szCs w:val="20"/>
              </w:rPr>
            </w:pPr>
            <w:r w:rsidRPr="002F684C">
              <w:rPr>
                <w:rFonts w:asciiTheme="minorHAnsi" w:hAnsiTheme="minorHAnsi"/>
                <w:b/>
                <w:sz w:val="20"/>
                <w:szCs w:val="20"/>
              </w:rPr>
              <w:t>Kraj</w:t>
            </w:r>
          </w:p>
        </w:tc>
        <w:tc>
          <w:tcPr>
            <w:tcW w:w="2065" w:type="pct"/>
            <w:gridSpan w:val="4"/>
            <w:tcBorders>
              <w:top w:val="single" w:sz="4" w:space="0" w:color="auto"/>
              <w:left w:val="single" w:sz="4" w:space="0" w:color="auto"/>
              <w:bottom w:val="single" w:sz="4" w:space="0" w:color="auto"/>
              <w:right w:val="single" w:sz="4" w:space="0" w:color="auto"/>
            </w:tcBorders>
            <w:noWrap/>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Počet dle druhu silnic</w:t>
            </w:r>
          </w:p>
        </w:tc>
        <w:tc>
          <w:tcPr>
            <w:tcW w:w="2071" w:type="pct"/>
            <w:gridSpan w:val="4"/>
            <w:tcBorders>
              <w:top w:val="single" w:sz="4" w:space="0" w:color="auto"/>
              <w:left w:val="single" w:sz="4" w:space="0" w:color="auto"/>
              <w:bottom w:val="single" w:sz="4" w:space="0" w:color="auto"/>
              <w:right w:val="single" w:sz="4" w:space="0" w:color="auto"/>
            </w:tcBorders>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Intenzita dle druhu silnic (tis. aut/den)</w:t>
            </w:r>
          </w:p>
        </w:tc>
      </w:tr>
      <w:tr w:rsidR="00005545" w:rsidRPr="00B4707C" w:rsidTr="00B4707C">
        <w:trPr>
          <w:trHeight w:val="227"/>
        </w:trPr>
        <w:tc>
          <w:tcPr>
            <w:tcW w:w="864" w:type="pct"/>
            <w:vMerge/>
            <w:tcBorders>
              <w:top w:val="single" w:sz="4" w:space="0" w:color="auto"/>
              <w:left w:val="single" w:sz="4" w:space="0" w:color="auto"/>
              <w:bottom w:val="single" w:sz="4" w:space="0" w:color="auto"/>
              <w:right w:val="single" w:sz="4" w:space="0" w:color="auto"/>
            </w:tcBorders>
            <w:hideMark/>
          </w:tcPr>
          <w:p w:rsidR="00005545" w:rsidRPr="00B4707C" w:rsidRDefault="00005545" w:rsidP="002C40B2">
            <w:pPr>
              <w:spacing w:after="0"/>
              <w:jc w:val="left"/>
              <w:rPr>
                <w:rFonts w:asciiTheme="minorHAnsi" w:hAnsiTheme="minorHAnsi"/>
                <w:b/>
                <w:sz w:val="20"/>
                <w:szCs w:val="20"/>
              </w:rPr>
            </w:pPr>
          </w:p>
        </w:tc>
        <w:tc>
          <w:tcPr>
            <w:tcW w:w="644" w:type="pct"/>
            <w:tcBorders>
              <w:top w:val="single" w:sz="4" w:space="0" w:color="auto"/>
              <w:left w:val="single" w:sz="4" w:space="0" w:color="auto"/>
              <w:bottom w:val="single" w:sz="4" w:space="0" w:color="auto"/>
              <w:right w:val="single" w:sz="4" w:space="0" w:color="auto"/>
            </w:tcBorders>
            <w:noWrap/>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D+I. tř.</w:t>
            </w:r>
          </w:p>
        </w:tc>
        <w:tc>
          <w:tcPr>
            <w:tcW w:w="481" w:type="pct"/>
            <w:tcBorders>
              <w:top w:val="single" w:sz="4" w:space="0" w:color="auto"/>
              <w:left w:val="single" w:sz="4" w:space="0" w:color="auto"/>
              <w:bottom w:val="single" w:sz="4" w:space="0" w:color="auto"/>
              <w:right w:val="single" w:sz="4" w:space="0" w:color="auto"/>
            </w:tcBorders>
            <w:noWrap/>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II. třídy</w:t>
            </w:r>
          </w:p>
        </w:tc>
        <w:tc>
          <w:tcPr>
            <w:tcW w:w="520" w:type="pct"/>
            <w:tcBorders>
              <w:top w:val="single" w:sz="4" w:space="0" w:color="auto"/>
              <w:left w:val="single" w:sz="4" w:space="0" w:color="auto"/>
              <w:bottom w:val="single" w:sz="4" w:space="0" w:color="auto"/>
              <w:right w:val="single" w:sz="4" w:space="0" w:color="auto"/>
            </w:tcBorders>
            <w:noWrap/>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Celkem</w:t>
            </w:r>
          </w:p>
        </w:tc>
        <w:tc>
          <w:tcPr>
            <w:tcW w:w="420" w:type="pct"/>
            <w:tcBorders>
              <w:top w:val="single" w:sz="4" w:space="0" w:color="auto"/>
              <w:left w:val="single" w:sz="4" w:space="0" w:color="auto"/>
              <w:bottom w:val="single" w:sz="4" w:space="0" w:color="auto"/>
              <w:right w:val="single" w:sz="4" w:space="0" w:color="auto"/>
            </w:tcBorders>
            <w:noWrap/>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Poř.</w:t>
            </w:r>
          </w:p>
        </w:tc>
        <w:tc>
          <w:tcPr>
            <w:tcW w:w="545" w:type="pct"/>
            <w:tcBorders>
              <w:top w:val="single" w:sz="4" w:space="0" w:color="auto"/>
              <w:left w:val="single" w:sz="4" w:space="0" w:color="auto"/>
              <w:bottom w:val="single" w:sz="4" w:space="0" w:color="auto"/>
              <w:right w:val="single" w:sz="4" w:space="0" w:color="auto"/>
            </w:tcBorders>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D+I. tř.</w:t>
            </w:r>
          </w:p>
        </w:tc>
        <w:tc>
          <w:tcPr>
            <w:tcW w:w="538" w:type="pct"/>
            <w:tcBorders>
              <w:top w:val="single" w:sz="4" w:space="0" w:color="auto"/>
              <w:left w:val="single" w:sz="4" w:space="0" w:color="auto"/>
              <w:bottom w:val="single" w:sz="4" w:space="0" w:color="auto"/>
              <w:right w:val="single" w:sz="4" w:space="0" w:color="auto"/>
            </w:tcBorders>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II. třídy</w:t>
            </w:r>
          </w:p>
        </w:tc>
        <w:tc>
          <w:tcPr>
            <w:tcW w:w="453" w:type="pct"/>
            <w:tcBorders>
              <w:top w:val="single" w:sz="4" w:space="0" w:color="auto"/>
              <w:left w:val="single" w:sz="4" w:space="0" w:color="auto"/>
              <w:bottom w:val="single" w:sz="4" w:space="0" w:color="auto"/>
              <w:right w:val="single" w:sz="4" w:space="0" w:color="auto"/>
            </w:tcBorders>
            <w:noWrap/>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Celkem</w:t>
            </w:r>
          </w:p>
        </w:tc>
        <w:tc>
          <w:tcPr>
            <w:tcW w:w="535" w:type="pct"/>
            <w:tcBorders>
              <w:top w:val="single" w:sz="4" w:space="0" w:color="auto"/>
              <w:left w:val="single" w:sz="4" w:space="0" w:color="auto"/>
              <w:bottom w:val="single" w:sz="4" w:space="0" w:color="auto"/>
              <w:right w:val="single" w:sz="4" w:space="0" w:color="auto"/>
            </w:tcBorders>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Poř.</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Středočeský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10</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10</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20</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348</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105</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453</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Jihočeský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6.-12.</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102</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10</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112</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8.</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Plzeňský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10</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140</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32</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172</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b/>
                <w:bCs/>
                <w:sz w:val="20"/>
                <w:szCs w:val="20"/>
              </w:rPr>
            </w:pPr>
            <w:r w:rsidRPr="002F684C">
              <w:rPr>
                <w:rFonts w:asciiTheme="minorHAnsi" w:hAnsiTheme="minorHAnsi"/>
                <w:b/>
                <w:bCs/>
                <w:sz w:val="20"/>
                <w:szCs w:val="20"/>
              </w:rPr>
              <w:t>Karlovarský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4</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3</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7</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6.-12.</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70</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21</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91</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b/>
                <w:bCs/>
                <w:sz w:val="20"/>
                <w:szCs w:val="20"/>
              </w:rPr>
            </w:pPr>
            <w:r w:rsidRPr="002F684C">
              <w:rPr>
                <w:rFonts w:asciiTheme="minorHAnsi" w:hAnsiTheme="minorHAnsi"/>
                <w:b/>
                <w:bCs/>
                <w:sz w:val="20"/>
                <w:szCs w:val="20"/>
              </w:rPr>
              <w:t>10.</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Ústecký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6.-12.</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82</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13</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95</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9.</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Liberecký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0</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13.</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78</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0</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78</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12.</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Královéhradecký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6.-12.</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130</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9</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139</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Pardubický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5</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6.-12.</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112</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11</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123</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Vysočina</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5</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6.-12.</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42</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46</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88</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11.</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Jihomoravský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5</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8</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13</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232</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78</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310</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w:t>
            </w:r>
          </w:p>
        </w:tc>
      </w:tr>
      <w:tr w:rsidR="00005545"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Olomoucký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5</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9</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5.</w:t>
            </w:r>
          </w:p>
        </w:tc>
        <w:tc>
          <w:tcPr>
            <w:tcW w:w="54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144</w:t>
            </w:r>
          </w:p>
        </w:tc>
        <w:tc>
          <w:tcPr>
            <w:tcW w:w="538"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38</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182</w:t>
            </w:r>
          </w:p>
        </w:tc>
        <w:tc>
          <w:tcPr>
            <w:tcW w:w="535" w:type="pct"/>
            <w:tcBorders>
              <w:top w:val="single" w:sz="4" w:space="0" w:color="auto"/>
              <w:left w:val="single" w:sz="4" w:space="0" w:color="auto"/>
              <w:bottom w:val="single" w:sz="4" w:space="0" w:color="auto"/>
              <w:right w:val="single" w:sz="4" w:space="0" w:color="auto"/>
            </w:tcBorders>
            <w:vAlign w:val="center"/>
            <w:hideMark/>
          </w:tcPr>
          <w:p w:rsidR="00005545"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w:t>
            </w:r>
          </w:p>
        </w:tc>
      </w:tr>
      <w:tr w:rsidR="00B4707C" w:rsidRPr="00B4707C" w:rsidTr="00B4707C">
        <w:trPr>
          <w:trHeight w:val="227"/>
        </w:trPr>
        <w:tc>
          <w:tcPr>
            <w:tcW w:w="864" w:type="pct"/>
            <w:vMerge w:val="restart"/>
            <w:tcBorders>
              <w:top w:val="single" w:sz="4" w:space="0" w:color="auto"/>
              <w:left w:val="single" w:sz="4" w:space="0" w:color="auto"/>
              <w:right w:val="single" w:sz="4" w:space="0" w:color="auto"/>
            </w:tcBorders>
            <w:noWrap/>
            <w:vAlign w:val="center"/>
            <w:hideMark/>
          </w:tcPr>
          <w:p w:rsidR="00B4707C" w:rsidRPr="00B4707C" w:rsidRDefault="00B4707C" w:rsidP="002C40B2">
            <w:pPr>
              <w:spacing w:after="0"/>
              <w:rPr>
                <w:rFonts w:asciiTheme="minorHAnsi" w:hAnsiTheme="minorHAnsi"/>
                <w:color w:val="000000"/>
                <w:sz w:val="20"/>
                <w:szCs w:val="20"/>
              </w:rPr>
            </w:pPr>
            <w:r w:rsidRPr="00B4707C">
              <w:rPr>
                <w:rFonts w:asciiTheme="minorHAnsi" w:hAnsiTheme="minorHAnsi"/>
                <w:b/>
                <w:sz w:val="20"/>
                <w:szCs w:val="20"/>
              </w:rPr>
              <w:lastRenderedPageBreak/>
              <w:t>Kraj</w:t>
            </w:r>
          </w:p>
        </w:tc>
        <w:tc>
          <w:tcPr>
            <w:tcW w:w="2065" w:type="pct"/>
            <w:gridSpan w:val="4"/>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Počet dle druhu silnic</w:t>
            </w:r>
          </w:p>
        </w:tc>
        <w:tc>
          <w:tcPr>
            <w:tcW w:w="2071" w:type="pct"/>
            <w:gridSpan w:val="4"/>
            <w:tcBorders>
              <w:top w:val="single" w:sz="4" w:space="0" w:color="auto"/>
              <w:left w:val="single" w:sz="4" w:space="0" w:color="auto"/>
              <w:bottom w:val="single" w:sz="4" w:space="0" w:color="auto"/>
              <w:right w:val="single" w:sz="4" w:space="0" w:color="auto"/>
            </w:tcBorders>
            <w:vAlign w:val="center"/>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Intenzita dle druhu silnic (tis. aut/den)</w:t>
            </w:r>
          </w:p>
        </w:tc>
      </w:tr>
      <w:tr w:rsidR="00B4707C" w:rsidRPr="00B4707C" w:rsidTr="00BD65CA">
        <w:trPr>
          <w:trHeight w:val="227"/>
        </w:trPr>
        <w:tc>
          <w:tcPr>
            <w:tcW w:w="864" w:type="pct"/>
            <w:vMerge/>
            <w:tcBorders>
              <w:left w:val="single" w:sz="4" w:space="0" w:color="auto"/>
              <w:bottom w:val="single" w:sz="4" w:space="0" w:color="auto"/>
              <w:right w:val="single" w:sz="4" w:space="0" w:color="auto"/>
            </w:tcBorders>
            <w:noWrap/>
            <w:vAlign w:val="center"/>
            <w:hideMark/>
          </w:tcPr>
          <w:p w:rsidR="00B4707C" w:rsidRPr="00B4707C" w:rsidRDefault="00B4707C" w:rsidP="002C40B2">
            <w:pPr>
              <w:spacing w:after="0"/>
              <w:rPr>
                <w:rFonts w:asciiTheme="minorHAnsi" w:hAnsiTheme="minorHAnsi"/>
                <w:color w:val="000000"/>
                <w:sz w:val="20"/>
                <w:szCs w:val="20"/>
              </w:rPr>
            </w:pPr>
          </w:p>
        </w:tc>
        <w:tc>
          <w:tcPr>
            <w:tcW w:w="644" w:type="pct"/>
            <w:tcBorders>
              <w:top w:val="single" w:sz="4" w:space="0" w:color="auto"/>
              <w:left w:val="single" w:sz="4" w:space="0" w:color="auto"/>
              <w:bottom w:val="single" w:sz="4" w:space="0" w:color="auto"/>
              <w:right w:val="single" w:sz="4" w:space="0" w:color="auto"/>
            </w:tcBorders>
            <w:noWrap/>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D+I. tř.</w:t>
            </w:r>
          </w:p>
        </w:tc>
        <w:tc>
          <w:tcPr>
            <w:tcW w:w="481" w:type="pct"/>
            <w:tcBorders>
              <w:top w:val="single" w:sz="4" w:space="0" w:color="auto"/>
              <w:left w:val="single" w:sz="4" w:space="0" w:color="auto"/>
              <w:bottom w:val="single" w:sz="4" w:space="0" w:color="auto"/>
              <w:right w:val="single" w:sz="4" w:space="0" w:color="auto"/>
            </w:tcBorders>
            <w:noWrap/>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II. třídy</w:t>
            </w:r>
          </w:p>
        </w:tc>
        <w:tc>
          <w:tcPr>
            <w:tcW w:w="520" w:type="pct"/>
            <w:tcBorders>
              <w:top w:val="single" w:sz="4" w:space="0" w:color="auto"/>
              <w:left w:val="single" w:sz="4" w:space="0" w:color="auto"/>
              <w:bottom w:val="single" w:sz="4" w:space="0" w:color="auto"/>
              <w:right w:val="single" w:sz="4" w:space="0" w:color="auto"/>
            </w:tcBorders>
            <w:noWrap/>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Celkem</w:t>
            </w:r>
          </w:p>
        </w:tc>
        <w:tc>
          <w:tcPr>
            <w:tcW w:w="420" w:type="pct"/>
            <w:tcBorders>
              <w:top w:val="single" w:sz="4" w:space="0" w:color="auto"/>
              <w:left w:val="single" w:sz="4" w:space="0" w:color="auto"/>
              <w:bottom w:val="single" w:sz="4" w:space="0" w:color="auto"/>
              <w:right w:val="single" w:sz="4" w:space="0" w:color="auto"/>
            </w:tcBorders>
            <w:noWrap/>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Poř.</w:t>
            </w:r>
          </w:p>
        </w:tc>
        <w:tc>
          <w:tcPr>
            <w:tcW w:w="545" w:type="pct"/>
            <w:tcBorders>
              <w:top w:val="single" w:sz="4" w:space="0" w:color="auto"/>
              <w:left w:val="single" w:sz="4" w:space="0" w:color="auto"/>
              <w:bottom w:val="single" w:sz="4" w:space="0" w:color="auto"/>
              <w:right w:val="single" w:sz="4" w:space="0" w:color="auto"/>
            </w:tcBorders>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D+I. tř.</w:t>
            </w:r>
          </w:p>
        </w:tc>
        <w:tc>
          <w:tcPr>
            <w:tcW w:w="538" w:type="pct"/>
            <w:tcBorders>
              <w:top w:val="single" w:sz="4" w:space="0" w:color="auto"/>
              <w:left w:val="single" w:sz="4" w:space="0" w:color="auto"/>
              <w:bottom w:val="single" w:sz="4" w:space="0" w:color="auto"/>
              <w:right w:val="single" w:sz="4" w:space="0" w:color="auto"/>
            </w:tcBorders>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II. třídy</w:t>
            </w:r>
          </w:p>
        </w:tc>
        <w:tc>
          <w:tcPr>
            <w:tcW w:w="453" w:type="pct"/>
            <w:tcBorders>
              <w:top w:val="single" w:sz="4" w:space="0" w:color="auto"/>
              <w:left w:val="single" w:sz="4" w:space="0" w:color="auto"/>
              <w:bottom w:val="single" w:sz="4" w:space="0" w:color="auto"/>
              <w:right w:val="single" w:sz="4" w:space="0" w:color="auto"/>
            </w:tcBorders>
            <w:noWrap/>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Celkem</w:t>
            </w:r>
          </w:p>
        </w:tc>
        <w:tc>
          <w:tcPr>
            <w:tcW w:w="535" w:type="pct"/>
            <w:tcBorders>
              <w:top w:val="single" w:sz="4" w:space="0" w:color="auto"/>
              <w:left w:val="single" w:sz="4" w:space="0" w:color="auto"/>
              <w:bottom w:val="single" w:sz="4" w:space="0" w:color="auto"/>
              <w:right w:val="single" w:sz="4" w:space="0" w:color="auto"/>
            </w:tcBorders>
            <w:hideMark/>
          </w:tcPr>
          <w:p w:rsidR="00B4707C" w:rsidRPr="00B4707C" w:rsidRDefault="00B4707C" w:rsidP="002C40B2">
            <w:pPr>
              <w:spacing w:after="0"/>
              <w:jc w:val="center"/>
              <w:rPr>
                <w:rFonts w:asciiTheme="minorHAnsi" w:hAnsiTheme="minorHAnsi"/>
                <w:color w:val="000000"/>
                <w:sz w:val="20"/>
                <w:szCs w:val="20"/>
              </w:rPr>
            </w:pPr>
            <w:r w:rsidRPr="00B4707C">
              <w:rPr>
                <w:rFonts w:asciiTheme="minorHAnsi" w:hAnsiTheme="minorHAnsi"/>
                <w:b/>
                <w:bCs/>
                <w:sz w:val="20"/>
                <w:szCs w:val="20"/>
              </w:rPr>
              <w:t>Poř.</w:t>
            </w:r>
          </w:p>
        </w:tc>
      </w:tr>
      <w:tr w:rsidR="00B4707C"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Zlínský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6.-12.</w:t>
            </w:r>
          </w:p>
        </w:tc>
        <w:tc>
          <w:tcPr>
            <w:tcW w:w="545" w:type="pct"/>
            <w:tcBorders>
              <w:top w:val="single" w:sz="4" w:space="0" w:color="auto"/>
              <w:left w:val="single" w:sz="4" w:space="0" w:color="auto"/>
              <w:bottom w:val="single" w:sz="4" w:space="0" w:color="auto"/>
              <w:right w:val="single" w:sz="4" w:space="0" w:color="auto"/>
            </w:tcBorders>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48</w:t>
            </w:r>
          </w:p>
        </w:tc>
        <w:tc>
          <w:tcPr>
            <w:tcW w:w="538" w:type="pct"/>
            <w:tcBorders>
              <w:top w:val="single" w:sz="4" w:space="0" w:color="auto"/>
              <w:left w:val="single" w:sz="4" w:space="0" w:color="auto"/>
              <w:bottom w:val="single" w:sz="4" w:space="0" w:color="auto"/>
              <w:right w:val="single" w:sz="4" w:space="0" w:color="auto"/>
            </w:tcBorders>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23</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71</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13.</w:t>
            </w:r>
          </w:p>
        </w:tc>
      </w:tr>
      <w:tr w:rsidR="00B4707C" w:rsidRPr="00B4707C" w:rsidTr="00B4707C">
        <w:trPr>
          <w:trHeight w:val="227"/>
        </w:trPr>
        <w:tc>
          <w:tcPr>
            <w:tcW w:w="864"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rPr>
                <w:rFonts w:asciiTheme="minorHAnsi" w:hAnsiTheme="minorHAnsi"/>
                <w:color w:val="000000"/>
                <w:sz w:val="20"/>
                <w:szCs w:val="20"/>
              </w:rPr>
            </w:pPr>
            <w:r w:rsidRPr="002F684C">
              <w:rPr>
                <w:rFonts w:asciiTheme="minorHAnsi" w:hAnsiTheme="minorHAnsi"/>
                <w:color w:val="000000"/>
                <w:sz w:val="20"/>
                <w:szCs w:val="20"/>
              </w:rPr>
              <w:t>Moravskoslezský</w:t>
            </w:r>
          </w:p>
        </w:tc>
        <w:tc>
          <w:tcPr>
            <w:tcW w:w="644"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w:t>
            </w:r>
          </w:p>
        </w:tc>
        <w:tc>
          <w:tcPr>
            <w:tcW w:w="481"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6</w:t>
            </w:r>
          </w:p>
        </w:tc>
        <w:tc>
          <w:tcPr>
            <w:tcW w:w="520"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12</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w:t>
            </w:r>
          </w:p>
        </w:tc>
        <w:tc>
          <w:tcPr>
            <w:tcW w:w="545" w:type="pct"/>
            <w:tcBorders>
              <w:top w:val="single" w:sz="4" w:space="0" w:color="auto"/>
              <w:left w:val="single" w:sz="4" w:space="0" w:color="auto"/>
              <w:bottom w:val="single" w:sz="4" w:space="0" w:color="auto"/>
              <w:right w:val="single" w:sz="4" w:space="0" w:color="auto"/>
            </w:tcBorders>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128</w:t>
            </w:r>
          </w:p>
        </w:tc>
        <w:tc>
          <w:tcPr>
            <w:tcW w:w="538" w:type="pct"/>
            <w:tcBorders>
              <w:top w:val="single" w:sz="4" w:space="0" w:color="auto"/>
              <w:left w:val="single" w:sz="4" w:space="0" w:color="auto"/>
              <w:bottom w:val="single" w:sz="4" w:space="0" w:color="auto"/>
              <w:right w:val="single" w:sz="4" w:space="0" w:color="auto"/>
            </w:tcBorders>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36</w:t>
            </w:r>
          </w:p>
        </w:tc>
        <w:tc>
          <w:tcPr>
            <w:tcW w:w="453" w:type="pct"/>
            <w:tcBorders>
              <w:top w:val="single" w:sz="4" w:space="0" w:color="auto"/>
              <w:left w:val="single" w:sz="4" w:space="0" w:color="auto"/>
              <w:bottom w:val="single" w:sz="4" w:space="0" w:color="auto"/>
              <w:right w:val="single" w:sz="4" w:space="0" w:color="auto"/>
            </w:tcBorders>
            <w:noWrap/>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164</w:t>
            </w:r>
          </w:p>
        </w:tc>
        <w:tc>
          <w:tcPr>
            <w:tcW w:w="535" w:type="pct"/>
            <w:tcBorders>
              <w:top w:val="single" w:sz="4" w:space="0" w:color="auto"/>
              <w:left w:val="single" w:sz="4" w:space="0" w:color="auto"/>
              <w:bottom w:val="single" w:sz="4" w:space="0" w:color="auto"/>
              <w:right w:val="single" w:sz="4" w:space="0" w:color="auto"/>
            </w:tcBorders>
            <w:vAlign w:val="center"/>
            <w:hideMark/>
          </w:tcPr>
          <w:p w:rsidR="00B4707C" w:rsidRPr="00B4707C" w:rsidRDefault="002F684C" w:rsidP="002C40B2">
            <w:pPr>
              <w:spacing w:after="0"/>
              <w:jc w:val="center"/>
              <w:rPr>
                <w:rFonts w:asciiTheme="minorHAnsi" w:hAnsiTheme="minorHAnsi"/>
                <w:color w:val="000000"/>
                <w:sz w:val="20"/>
                <w:szCs w:val="20"/>
              </w:rPr>
            </w:pPr>
            <w:r w:rsidRPr="002F684C">
              <w:rPr>
                <w:rFonts w:asciiTheme="minorHAnsi" w:hAnsiTheme="minorHAnsi"/>
                <w:color w:val="000000"/>
                <w:sz w:val="20"/>
                <w:szCs w:val="20"/>
              </w:rPr>
              <w:t>5.</w:t>
            </w:r>
          </w:p>
        </w:tc>
      </w:tr>
    </w:tbl>
    <w:p w:rsidR="00005545" w:rsidRPr="00F04C0B" w:rsidRDefault="00005545" w:rsidP="002C40B2">
      <w:pPr>
        <w:pStyle w:val="poznzdroj"/>
        <w:spacing w:line="276" w:lineRule="auto"/>
      </w:pPr>
      <w:r w:rsidRPr="00F04C0B">
        <w:t>Zdroj: ČSÚ, ŘSD, vlastní výpočty</w:t>
      </w:r>
    </w:p>
    <w:p w:rsidR="00005545" w:rsidRDefault="00005545" w:rsidP="002C40B2">
      <w:r>
        <w:t>Podle intenzity automobilového provozu vedoucího do krajského města, se Karlovy Vary nachází na 10. příčce. Na rozdíl od krajů, které se umístily na posledních příčkách, těží Karlovy Vary z většího počtu silnic I. a II. třídy procházejících městem. Na krajská města, jimiž prochází dálnice, však již výrazněji ztrácí.</w:t>
      </w:r>
    </w:p>
    <w:p w:rsidR="00005545" w:rsidRPr="00F04C0B" w:rsidRDefault="00005545" w:rsidP="002C40B2">
      <w:pPr>
        <w:pStyle w:val="Nadpis2"/>
      </w:pPr>
      <w:r w:rsidRPr="00F04C0B">
        <w:t>Klíčové výzvy/problémy</w:t>
      </w:r>
    </w:p>
    <w:p w:rsidR="00005545" w:rsidRPr="00A74E57" w:rsidRDefault="00005545" w:rsidP="002C40B2">
      <w:pPr>
        <w:rPr>
          <w:b/>
        </w:rPr>
      </w:pPr>
      <w:r w:rsidRPr="00A74E57">
        <w:rPr>
          <w:b/>
        </w:rPr>
        <w:t>Silnice D6 Praha – Karlovy Vary</w:t>
      </w:r>
    </w:p>
    <w:p w:rsidR="00005545" w:rsidRPr="00A74E57" w:rsidRDefault="00005545" w:rsidP="002C40B2">
      <w:r w:rsidRPr="00A74E57">
        <w:t>Kraji chybí spojení s hlavním městem Prahou prostřednictvím dálnice D6. V současnosti je spojení vedeno, kromě úseku ve Středočeském kraji, úseku mezi Karlovými Vary a Chebem a obchvatem Bošova, silnicí I. třídy číslo 6.</w:t>
      </w:r>
    </w:p>
    <w:p w:rsidR="00005545" w:rsidRPr="00A74E57" w:rsidRDefault="00005545" w:rsidP="002C40B2">
      <w:pPr>
        <w:rPr>
          <w:b/>
          <w:i/>
        </w:rPr>
      </w:pPr>
      <w:r w:rsidRPr="00A74E57">
        <w:rPr>
          <w:b/>
          <w:i/>
        </w:rPr>
        <w:t>Příčiny</w:t>
      </w:r>
    </w:p>
    <w:p w:rsidR="00005545" w:rsidRPr="00BF30AC" w:rsidRDefault="00005545" w:rsidP="002C40B2">
      <w:r w:rsidRPr="00A74E57">
        <w:t>Kraji se dlouho vyhýbaly velké investice do dopravní infrastruktury a v současnosti, kdy je dokončeno kvalitní propojení mezi hlavními centry kraje, je dále pokračováno pouze obchvaty obcí na trase budoucí D6 v Ústeckém kraji a není pokračováno v dostavbě D6 v rámci Karlovarského kraje. Vnějš</w:t>
      </w:r>
      <w:r w:rsidRPr="005C1CE2">
        <w:t>í spojení mimo kraj vícepruhovými silnicemi se zatím až na výše uvedené ochvaty nerealizuje. Důvodem je jeho perif</w:t>
      </w:r>
      <w:r w:rsidRPr="00BF30AC">
        <w:t>erní poloha, malá populační velikost a také periferní charakter sousedních Německých oblastí (periferní v rámci Německa), které nejsou zdrojem významné poptávky po dopravě.</w:t>
      </w:r>
    </w:p>
    <w:p w:rsidR="00005545" w:rsidRPr="00BF30AC" w:rsidRDefault="00005545" w:rsidP="002C40B2">
      <w:r w:rsidRPr="00BF30AC">
        <w:rPr>
          <w:b/>
          <w:i/>
        </w:rPr>
        <w:t>Důsledky</w:t>
      </w:r>
    </w:p>
    <w:p w:rsidR="00736C95" w:rsidRDefault="00005545" w:rsidP="002C40B2">
      <w:r w:rsidRPr="00A74E57">
        <w:t>Vliv nové dopravní infrastruktury na rozvoj periferního regionu typu Karlovarského kraje může mít v zásadě dva odlišné dopady. Budˇ dojde ke zhoršení rozvojových perspektiv v důsledku vystavení periferního regionu konkurenci z jádra: v takovém případě budou firmy na periferii jen obtížně konkurovat silnějším subjektům z jádra, navíc lepší dopravní spojení může přispět ke snadnějšímu odchodu schopných a vzdělanějších lidí za prací do jádrového regionu (jedná se o tzv.</w:t>
      </w:r>
      <w:r w:rsidRPr="005C1CE2">
        <w:t xml:space="preserve"> „odsávací“ efekt). Nebo nová dopravní infrastruktura pomůže místním firmám rozšířit své trhy, do regionu přijdou </w:t>
      </w:r>
      <w:r w:rsidRPr="00BF30AC">
        <w:t>nové investice, které pomůžou nastartovat jeho ekonomický rozvoj. V případě Karlovarského kraje je pravděpodobné, že spojení silnicí D6 by vzhledem k poloze regionu, jeho ekonomické síle a velikosti, přineslo spíše méně nových investic a pozitivně by působilo zejména na možnost místních firem expandovat do vzdálenějších oblastí. Spíše negativní efekt by mělo nové spojení na trh práce, kde by podpořilo snadnější odchod lidí za prací do metropolitního regionu.</w:t>
      </w:r>
      <w:r w:rsidDel="005C1CE2">
        <w:t xml:space="preserve"> </w:t>
      </w:r>
    </w:p>
    <w:p w:rsidR="00736C95" w:rsidRDefault="00736C95">
      <w:pPr>
        <w:spacing w:after="160" w:line="259" w:lineRule="auto"/>
        <w:jc w:val="left"/>
      </w:pPr>
      <w:r>
        <w:br w:type="page"/>
      </w:r>
    </w:p>
    <w:p w:rsidR="00005545" w:rsidRPr="00F04C0B" w:rsidRDefault="00005545" w:rsidP="002C40B2">
      <w:pPr>
        <w:pStyle w:val="Nadpis3"/>
        <w:spacing w:line="276" w:lineRule="auto"/>
        <w:rPr>
          <w:rStyle w:val="Odkazjemn"/>
        </w:rPr>
      </w:pPr>
      <w:r w:rsidRPr="00F04C0B">
        <w:rPr>
          <w:rStyle w:val="Odkazjemn"/>
        </w:rPr>
        <w:lastRenderedPageBreak/>
        <w:t>Literatura:</w:t>
      </w:r>
    </w:p>
    <w:p w:rsidR="005F47FA" w:rsidRDefault="005F47FA" w:rsidP="002C40B2">
      <w:r w:rsidRPr="005F47FA">
        <w:rPr>
          <w:color w:val="000000"/>
        </w:rPr>
        <w:t xml:space="preserve">ČSÚ. Statistické ročenky krajů 2005 </w:t>
      </w:r>
      <w:r>
        <w:rPr>
          <w:color w:val="000000"/>
        </w:rPr>
        <w:t xml:space="preserve">– 2015 </w:t>
      </w:r>
      <w:r w:rsidRPr="00D854CC">
        <w:rPr>
          <w:color w:val="000000"/>
        </w:rPr>
        <w:t>[online].</w:t>
      </w:r>
      <w:r w:rsidRPr="00D854CC">
        <w:rPr>
          <w:i/>
        </w:rPr>
        <w:t xml:space="preserve"> </w:t>
      </w:r>
      <w:r>
        <w:rPr>
          <w:color w:val="000000"/>
        </w:rPr>
        <w:t xml:space="preserve">2006 – 2016. </w:t>
      </w:r>
      <w:r w:rsidRPr="00D854CC">
        <w:t>Dostupné z:</w:t>
      </w:r>
      <w:r>
        <w:t xml:space="preserve"> </w:t>
      </w:r>
      <w:hyperlink r:id="rId156" w:history="1">
        <w:r w:rsidRPr="00FE09FF">
          <w:rPr>
            <w:rStyle w:val="Hypertextovodkaz"/>
          </w:rPr>
          <w:t>https://www.czso.cz/csu/czso/rocenky_souhrn</w:t>
        </w:r>
      </w:hyperlink>
      <w:r>
        <w:t>.</w:t>
      </w:r>
    </w:p>
    <w:p w:rsidR="005F47FA" w:rsidRPr="00D854CC" w:rsidRDefault="005F47FA" w:rsidP="002C40B2">
      <w:pPr>
        <w:rPr>
          <w:color w:val="000000"/>
        </w:rPr>
      </w:pPr>
      <w:r w:rsidRPr="00D854CC">
        <w:rPr>
          <w:color w:val="000000"/>
        </w:rPr>
        <w:t xml:space="preserve">ŘSD ČR. </w:t>
      </w:r>
      <w:r w:rsidRPr="00D854CC">
        <w:rPr>
          <w:i/>
          <w:color w:val="000000"/>
        </w:rPr>
        <w:t>Celostátní sčítání dopravy 2010</w:t>
      </w:r>
      <w:r w:rsidRPr="00D854CC">
        <w:rPr>
          <w:color w:val="000000"/>
        </w:rPr>
        <w:t xml:space="preserve"> [online].</w:t>
      </w:r>
      <w:r w:rsidRPr="00D854CC">
        <w:rPr>
          <w:i/>
        </w:rPr>
        <w:t xml:space="preserve"> </w:t>
      </w:r>
      <w:r w:rsidRPr="00D854CC">
        <w:t xml:space="preserve">2011. Dostupné z: </w:t>
      </w:r>
      <w:hyperlink r:id="rId157" w:history="1">
        <w:r w:rsidRPr="00D854CC">
          <w:rPr>
            <w:rStyle w:val="Hypertextovodkaz"/>
          </w:rPr>
          <w:t>http://scitani2010.rsd.cz/pages/informations/default.aspx</w:t>
        </w:r>
      </w:hyperlink>
      <w:r w:rsidRPr="00D854CC">
        <w:rPr>
          <w:color w:val="000000"/>
        </w:rPr>
        <w:t>.</w:t>
      </w:r>
    </w:p>
    <w:p w:rsidR="005F47FA" w:rsidRPr="00D854CC" w:rsidRDefault="005F47FA" w:rsidP="002C40B2">
      <w:pPr>
        <w:rPr>
          <w:color w:val="000000"/>
        </w:rPr>
      </w:pPr>
      <w:r w:rsidRPr="00D854CC">
        <w:rPr>
          <w:color w:val="000000"/>
        </w:rPr>
        <w:t xml:space="preserve">ŘSD ČR. </w:t>
      </w:r>
      <w:r w:rsidRPr="00D854CC">
        <w:rPr>
          <w:i/>
          <w:color w:val="000000"/>
        </w:rPr>
        <w:t>Přehledy z informačního systému o silniční a dálniční síti ČR - kraj Karlovarský</w:t>
      </w:r>
      <w:r w:rsidRPr="00D854CC">
        <w:rPr>
          <w:color w:val="000000"/>
        </w:rPr>
        <w:t>. 2016.</w:t>
      </w:r>
    </w:p>
    <w:p w:rsidR="00005545" w:rsidRDefault="00005545" w:rsidP="002C40B2">
      <w:pPr>
        <w:spacing w:after="160"/>
        <w:jc w:val="left"/>
      </w:pPr>
      <w:r>
        <w:br w:type="page"/>
      </w:r>
    </w:p>
    <w:p w:rsidR="00005545" w:rsidRPr="00AE46CF" w:rsidRDefault="00005545" w:rsidP="00094A5B">
      <w:pPr>
        <w:pStyle w:val="Nadpis1"/>
      </w:pPr>
      <w:bookmarkStart w:id="368" w:name="_Toc321405938"/>
      <w:r>
        <w:lastRenderedPageBreak/>
        <w:t xml:space="preserve"> </w:t>
      </w:r>
      <w:bookmarkStart w:id="369" w:name="_Toc488233400"/>
      <w:r w:rsidRPr="00AE46CF">
        <w:t>Rozvoj</w:t>
      </w:r>
      <w:r>
        <w:t>ový potenciál</w:t>
      </w:r>
      <w:r w:rsidRPr="00AE46CF">
        <w:t xml:space="preserve"> letiště v Karlových Varech</w:t>
      </w:r>
      <w:bookmarkEnd w:id="368"/>
      <w:bookmarkEnd w:id="369"/>
      <w:r w:rsidRPr="00AE46CF">
        <w:t xml:space="preserve"> </w:t>
      </w:r>
    </w:p>
    <w:p w:rsidR="00005545" w:rsidRPr="007A5C28" w:rsidRDefault="00005545" w:rsidP="002C40B2">
      <w:r>
        <w:t xml:space="preserve">Mezinárodní letiště v Karlových Varech </w:t>
      </w:r>
      <w:r w:rsidR="00253948">
        <w:t xml:space="preserve">(KV) </w:t>
      </w:r>
      <w:r>
        <w:t>je jedním z pěti veřejných mezinárodních letišť v České republice s vnější schengenskou hranicí (spolu s Prahou, Brnem, Ostravou a Pardubicemi</w:t>
      </w:r>
      <w:r w:rsidRPr="00253664">
        <w:t xml:space="preserve">). </w:t>
      </w:r>
      <w:r w:rsidRPr="003F13D9">
        <w:t xml:space="preserve">V roce 2013 letiště odbavilo nejvíce cestujících v historii, celkem 104 469. Od roku 2014 došlo vlivem externích faktorů, spojených zejména s poklesem poptávky ze strany ruské klientely a vývojem bezpečnostní situace ve světě, k propadu výkonů letiště, přičemž v roce 2015 odbavilo letiště pouze 51 780 cestujících (z toho 17 230 cestujících tranzitních). Cestujících, jejichž cesta v Karlových Varech začínala či končila, tak bylo pouze 34 550. </w:t>
      </w:r>
      <w:r w:rsidRPr="00253664">
        <w:t xml:space="preserve"> </w:t>
      </w:r>
    </w:p>
    <w:p w:rsidR="00005545" w:rsidRDefault="00005545" w:rsidP="002C40B2">
      <w:pPr>
        <w:rPr>
          <w:i/>
        </w:rPr>
      </w:pPr>
      <w:r>
        <w:rPr>
          <w:i/>
        </w:rPr>
        <w:t>Otázky:</w:t>
      </w:r>
    </w:p>
    <w:p w:rsidR="00005545" w:rsidRPr="00B250E0" w:rsidRDefault="00005545" w:rsidP="002C40B2">
      <w:pPr>
        <w:pStyle w:val="Odstavecseseznamem"/>
        <w:numPr>
          <w:ilvl w:val="0"/>
          <w:numId w:val="16"/>
        </w:numPr>
        <w:rPr>
          <w:i/>
        </w:rPr>
      </w:pPr>
      <w:r w:rsidRPr="00B250E0">
        <w:rPr>
          <w:i/>
        </w:rPr>
        <w:t>Jak se vyvíjí přepravní výkony letiště Karlovy Vary, a na které cílové trhy se le</w:t>
      </w:r>
      <w:r w:rsidR="00B250E0">
        <w:rPr>
          <w:i/>
        </w:rPr>
        <w:t xml:space="preserve">tiště v současnosti orientuje? </w:t>
      </w:r>
    </w:p>
    <w:p w:rsidR="00005545" w:rsidRPr="00B250E0" w:rsidRDefault="00005545" w:rsidP="002C40B2">
      <w:pPr>
        <w:pStyle w:val="Odstavecseseznamem"/>
        <w:numPr>
          <w:ilvl w:val="0"/>
          <w:numId w:val="16"/>
        </w:numPr>
        <w:rPr>
          <w:i/>
        </w:rPr>
      </w:pPr>
      <w:r w:rsidRPr="00B250E0">
        <w:rPr>
          <w:i/>
        </w:rPr>
        <w:t>Jakým způsobem letiště přispívá k rozvoji regionální ekonomiky?</w:t>
      </w:r>
    </w:p>
    <w:p w:rsidR="00005545" w:rsidRPr="00B250E0" w:rsidRDefault="00005545" w:rsidP="002C40B2">
      <w:pPr>
        <w:pStyle w:val="Odstavecseseznamem"/>
        <w:numPr>
          <w:ilvl w:val="0"/>
          <w:numId w:val="16"/>
        </w:numPr>
        <w:rPr>
          <w:i/>
        </w:rPr>
      </w:pPr>
      <w:r w:rsidRPr="00B250E0">
        <w:rPr>
          <w:i/>
        </w:rPr>
        <w:t>Co jsou možné budoucí směry rozvoje letiště Karlovy Vary a za jakých podmínek je možné jich dosáhnout?</w:t>
      </w:r>
    </w:p>
    <w:p w:rsidR="00005545" w:rsidRPr="005C4721" w:rsidRDefault="00005545" w:rsidP="002C40B2">
      <w:pPr>
        <w:pStyle w:val="Nadpis2"/>
      </w:pPr>
      <w:r w:rsidRPr="005C4721">
        <w:t xml:space="preserve">Počet a struktura cestujících </w:t>
      </w:r>
    </w:p>
    <w:p w:rsidR="00F851F6" w:rsidRDefault="00F851F6" w:rsidP="002C40B2">
      <w:r>
        <w:rPr>
          <w:b/>
        </w:rPr>
        <w:t xml:space="preserve">Na letišti Karlovy Vary jsou v současné době </w:t>
      </w:r>
      <w:r w:rsidRPr="003F13D9">
        <w:t>(v období letního letového řádu 2016, tj. od 27. 3. 2016 do 29. 10. 2016</w:t>
      </w:r>
      <w:r>
        <w:t>)</w:t>
      </w:r>
      <w:r>
        <w:rPr>
          <w:b/>
        </w:rPr>
        <w:t xml:space="preserve"> provozovány pravidelné lety do 2 destinací</w:t>
      </w:r>
      <w:r>
        <w:t xml:space="preserve">: 2x týdně funguje spojení společnosti ČSA do Moskvy (letiště Šeremetěvo) a 1x týdně létá spoj ČSA do Petrohradu. V jednání pro tuto letní sezónu je nová charterová linka z Taškentu. V letní sezóně naopak nebude provozována charterová linka do turecké Antalye, což je důsledkem značného poklesu poptávky po turistických cestách do Turecka. </w:t>
      </w:r>
    </w:p>
    <w:p w:rsidR="00F851F6" w:rsidRPr="00F851F6" w:rsidRDefault="00F851F6" w:rsidP="002C40B2">
      <w:r>
        <w:t xml:space="preserve">Vývoj počtu odbavených cestujících na letišti KV znázorňuje </w:t>
      </w:r>
      <w:r w:rsidR="004F2330">
        <w:fldChar w:fldCharType="begin"/>
      </w:r>
      <w:r w:rsidR="004F2330">
        <w:instrText xml:space="preserve"> REF _Ref464459886 \h  \* MERGEFORMAT </w:instrText>
      </w:r>
      <w:r w:rsidR="004F2330">
        <w:fldChar w:fldCharType="separate"/>
      </w:r>
      <w:r w:rsidR="00536ECC">
        <w:t>g</w:t>
      </w:r>
      <w:r w:rsidR="00CB29BD">
        <w:t xml:space="preserve">raf </w:t>
      </w:r>
      <w:r w:rsidR="00CB29BD">
        <w:rPr>
          <w:noProof/>
        </w:rPr>
        <w:t>15</w:t>
      </w:r>
      <w:r w:rsidR="00CB29BD">
        <w:t>.1</w:t>
      </w:r>
      <w:r w:rsidR="004F2330">
        <w:fldChar w:fldCharType="end"/>
      </w:r>
      <w:r>
        <w:t>. Vidíme, že počet cestujících poklesl za poslední tři roky na polovinu</w:t>
      </w:r>
      <w:r w:rsidR="005C4721">
        <w:t>. Mezi cestujícími převažuje počet těch, jejichž cesta končí v KV. V posledním sledovaném roce nicméně markantně vzrostl počet tranzitních cestujících.</w:t>
      </w:r>
    </w:p>
    <w:p w:rsidR="00005545" w:rsidRDefault="00005545" w:rsidP="000B3B9C">
      <w:pPr>
        <w:pStyle w:val="Titulek"/>
      </w:pPr>
      <w:bookmarkStart w:id="370" w:name="_Ref464459886"/>
      <w:bookmarkStart w:id="371" w:name="_Toc488234381"/>
      <w:r>
        <w:lastRenderedPageBreak/>
        <w:t xml:space="preserve">Graf </w:t>
      </w:r>
      <w:r w:rsidR="008965FE">
        <w:fldChar w:fldCharType="begin"/>
      </w:r>
      <w:r w:rsidR="00FD378B">
        <w:instrText xml:space="preserve"> STYLEREF 1 \s </w:instrText>
      </w:r>
      <w:r w:rsidR="008965FE">
        <w:fldChar w:fldCharType="separate"/>
      </w:r>
      <w:r w:rsidR="00CB29BD">
        <w:t>15</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bookmarkEnd w:id="370"/>
      <w:r>
        <w:t xml:space="preserve">: </w:t>
      </w:r>
      <w:r w:rsidRPr="005C1CE2">
        <w:t>Počet odbavených cestu</w:t>
      </w:r>
      <w:r>
        <w:t xml:space="preserve">jících na letišti Karlovy Vary v letech </w:t>
      </w:r>
      <w:r w:rsidRPr="005C1CE2">
        <w:t>2005</w:t>
      </w:r>
      <w:r w:rsidR="00F851F6">
        <w:t xml:space="preserve"> </w:t>
      </w:r>
      <w:r w:rsidRPr="005C1CE2">
        <w:t>-</w:t>
      </w:r>
      <w:r w:rsidR="00F851F6">
        <w:t xml:space="preserve"> </w:t>
      </w:r>
      <w:r w:rsidRPr="005C1CE2">
        <w:t>2015</w:t>
      </w:r>
      <w:bookmarkEnd w:id="371"/>
    </w:p>
    <w:p w:rsidR="00F851F6" w:rsidRDefault="00005545" w:rsidP="000B3B9C">
      <w:pPr>
        <w:pStyle w:val="Titulek"/>
      </w:pPr>
      <w:r>
        <w:drawing>
          <wp:inline distT="0" distB="0" distL="0" distR="0">
            <wp:extent cx="4943475" cy="2695575"/>
            <wp:effectExtent l="0" t="0" r="0" b="9525"/>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58" cstate="print">
                      <a:extLst>
                        <a:ext uri="{BEBA8EAE-BF5A-486C-A8C5-ECC9F3942E4B}">
                          <a14:imgProps xmlns:a14="http://schemas.microsoft.com/office/drawing/2010/main">
                            <a14:imgLayer r:embed="rId159">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4960726" cy="270498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05545" w:rsidRPr="00F851F6" w:rsidRDefault="00005545" w:rsidP="002C40B2">
      <w:pPr>
        <w:pStyle w:val="poznzdroj"/>
        <w:spacing w:line="276" w:lineRule="auto"/>
        <w:rPr>
          <w:iCs/>
        </w:rPr>
      </w:pPr>
      <w:r w:rsidRPr="00F851F6">
        <w:rPr>
          <w:iCs/>
        </w:rPr>
        <w:t>Zdroj: Letiště Karlovy Vary</w:t>
      </w:r>
    </w:p>
    <w:p w:rsidR="00005545" w:rsidRPr="0093419E" w:rsidRDefault="00005545" w:rsidP="000B3B9C">
      <w:pPr>
        <w:pStyle w:val="Titulek"/>
      </w:pPr>
      <w:bookmarkStart w:id="372" w:name="_Ref468962913"/>
      <w:bookmarkStart w:id="373" w:name="_Toc488234382"/>
      <w:r>
        <w:t xml:space="preserve">Graf </w:t>
      </w:r>
      <w:r w:rsidR="008965FE">
        <w:fldChar w:fldCharType="begin"/>
      </w:r>
      <w:r w:rsidR="00FD378B">
        <w:instrText xml:space="preserve"> STYLEREF 1 \s </w:instrText>
      </w:r>
      <w:r w:rsidR="008965FE">
        <w:fldChar w:fldCharType="separate"/>
      </w:r>
      <w:r w:rsidR="00CB29BD">
        <w:t>15</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bookmarkEnd w:id="372"/>
      <w:r>
        <w:t>:</w:t>
      </w:r>
      <w:r w:rsidRPr="0093419E">
        <w:t xml:space="preserve"> Počet cestujících na letišti Karlovy Vary dle jednotlivých destinací v roce 2015</w:t>
      </w:r>
      <w:bookmarkEnd w:id="373"/>
    </w:p>
    <w:p w:rsidR="00005545" w:rsidRDefault="00005545" w:rsidP="002C40B2">
      <w:pPr>
        <w:keepNext/>
        <w:tabs>
          <w:tab w:val="left" w:pos="851"/>
        </w:tabs>
        <w:spacing w:after="0"/>
      </w:pPr>
      <w:r>
        <w:rPr>
          <w:noProof/>
        </w:rPr>
        <w:drawing>
          <wp:inline distT="0" distB="0" distL="0" distR="0">
            <wp:extent cx="4988966" cy="2794265"/>
            <wp:effectExtent l="0" t="0" r="2540" b="635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988966" cy="2794265"/>
                    </a:xfrm>
                    <a:prstGeom prst="rect">
                      <a:avLst/>
                    </a:prstGeom>
                    <a:noFill/>
                  </pic:spPr>
                </pic:pic>
              </a:graphicData>
            </a:graphic>
          </wp:inline>
        </w:drawing>
      </w:r>
    </w:p>
    <w:p w:rsidR="00005545" w:rsidRPr="00F851F6" w:rsidRDefault="00005545" w:rsidP="002C40B2">
      <w:pPr>
        <w:pStyle w:val="poznzdroj"/>
        <w:spacing w:line="276" w:lineRule="auto"/>
      </w:pPr>
      <w:r w:rsidRPr="00F851F6">
        <w:t>Zdroj: Letiště Karlovy Vary</w:t>
      </w:r>
    </w:p>
    <w:p w:rsidR="00005545" w:rsidRPr="003F4FEB" w:rsidRDefault="004F2330" w:rsidP="002C40B2">
      <w:pPr>
        <w:spacing w:after="0"/>
      </w:pPr>
      <w:r>
        <w:fldChar w:fldCharType="begin"/>
      </w:r>
      <w:r>
        <w:instrText xml:space="preserve"> REF _Ref468962913 \h  \* MERGEFORMAT </w:instrText>
      </w:r>
      <w:r>
        <w:fldChar w:fldCharType="separate"/>
      </w:r>
      <w:r w:rsidR="00CB29BD">
        <w:t xml:space="preserve">Graf </w:t>
      </w:r>
      <w:r w:rsidR="00CB29BD">
        <w:rPr>
          <w:noProof/>
        </w:rPr>
        <w:t>15</w:t>
      </w:r>
      <w:r w:rsidR="00CB29BD">
        <w:t>.2</w:t>
      </w:r>
      <w:r>
        <w:fldChar w:fldCharType="end"/>
      </w:r>
      <w:r w:rsidR="00F851F6">
        <w:rPr>
          <w:b/>
        </w:rPr>
        <w:t xml:space="preserve"> </w:t>
      </w:r>
      <w:r w:rsidR="00005545" w:rsidRPr="0093419E">
        <w:t>ukazuje,</w:t>
      </w:r>
      <w:r w:rsidR="00005545">
        <w:rPr>
          <w:b/>
        </w:rPr>
        <w:t xml:space="preserve"> </w:t>
      </w:r>
      <w:r w:rsidR="00005545" w:rsidRPr="0093419E">
        <w:t>že v počtu cestujících na letišti KV je jednoznačně</w:t>
      </w:r>
      <w:r w:rsidR="00005545">
        <w:rPr>
          <w:b/>
        </w:rPr>
        <w:t xml:space="preserve"> dominantní linka do Moskvy</w:t>
      </w:r>
      <w:r w:rsidR="00005545">
        <w:t xml:space="preserve">, která tvoří celkem 75% objemu přepravených osob odlétávajících z Karlových Varů. Bohužel od roku 2014 dochází vlivem propadu poptávky i na této lince ke značné redukci provozu, což se rovněž odrazilo na ukončení provozu společnosti Aeroflot na této lince. Aeroflot se v březnu roku 2016 vzdal svých obchodních práv na trase Moskva - Karlovy Vary, což souvisí zejména se změnou orientace obchodního modelu společnosti. Tato obchodní práva následně získala ruská společnost Poběda (patřící do tzv. Aeroflot Group), </w:t>
      </w:r>
      <w:r w:rsidR="00005545" w:rsidRPr="003F4FEB">
        <w:t>která však doposud lety na této lince nezahájila, a to z důvodů nedohody o obchodních podmínkách provozu</w:t>
      </w:r>
      <w:r w:rsidR="00005545">
        <w:t xml:space="preserve"> (</w:t>
      </w:r>
      <w:r w:rsidR="00005545" w:rsidRPr="003F4FEB">
        <w:t xml:space="preserve">společnost požadovala, aby </w:t>
      </w:r>
      <w:r w:rsidR="00005545">
        <w:t xml:space="preserve">byl </w:t>
      </w:r>
      <w:r w:rsidR="00005545" w:rsidRPr="003F4FEB">
        <w:t xml:space="preserve">provoz této linky </w:t>
      </w:r>
      <w:r w:rsidR="00005545" w:rsidRPr="003F4FEB">
        <w:lastRenderedPageBreak/>
        <w:t>dotován formou slev poskytnutých letištěm</w:t>
      </w:r>
      <w:r w:rsidR="00005545">
        <w:t xml:space="preserve"> a</w:t>
      </w:r>
      <w:r w:rsidR="00005545" w:rsidRPr="003F4FEB">
        <w:t xml:space="preserve"> finanční</w:t>
      </w:r>
      <w:r w:rsidR="00005545">
        <w:t>ho</w:t>
      </w:r>
      <w:r w:rsidR="00005545" w:rsidRPr="003F4FEB">
        <w:t xml:space="preserve"> příspěvk</w:t>
      </w:r>
      <w:r w:rsidR="00005545">
        <w:t>u</w:t>
      </w:r>
      <w:r w:rsidR="00005545" w:rsidRPr="003F4FEB">
        <w:t xml:space="preserve"> za každého přepraveného cestujícího</w:t>
      </w:r>
      <w:r w:rsidR="00005545">
        <w:t>)</w:t>
      </w:r>
      <w:r w:rsidR="00005545" w:rsidRPr="003F4FEB">
        <w:t xml:space="preserve">. </w:t>
      </w:r>
    </w:p>
    <w:p w:rsidR="00005545" w:rsidRDefault="00005545" w:rsidP="002C40B2">
      <w:pPr>
        <w:spacing w:before="120" w:after="0"/>
      </w:pPr>
      <w:r w:rsidRPr="003F4FEB">
        <w:rPr>
          <w:b/>
        </w:rPr>
        <w:t>Přetrvává tak stav, kdy cestující, kteří létají na/z letiště v Karlových Varech, jsou v převáž</w:t>
      </w:r>
      <w:r>
        <w:rPr>
          <w:b/>
        </w:rPr>
        <w:t>né většině turisté a především klienti lázní</w:t>
      </w:r>
      <w:r>
        <w:t xml:space="preserve">. Linky jsou syceny tzv. příjezdovým cestovním ruchem. Významná orientace ubytovacích a zejména lázeňských zařízení </w:t>
      </w:r>
      <w:r w:rsidRPr="0048116C">
        <w:t>na ruskou klientelu</w:t>
      </w:r>
      <w:r>
        <w:t>, a to</w:t>
      </w:r>
      <w:r w:rsidRPr="0048116C">
        <w:t xml:space="preserve"> </w:t>
      </w:r>
      <w:r>
        <w:t>především v Karlových Varech, se výrazně podepsala na významném propadu objemu výkonů letiště. Zásadní p</w:t>
      </w:r>
      <w:r w:rsidRPr="0048116C">
        <w:t xml:space="preserve">okles </w:t>
      </w:r>
      <w:r>
        <w:t xml:space="preserve">poptávky na tomto </w:t>
      </w:r>
      <w:r w:rsidRPr="0048116C">
        <w:t>zdrojové</w:t>
      </w:r>
      <w:r>
        <w:t>m trhu byl navíc umocněn skutečností, že od roku 2015 došlo k částečné liberalizaci letecké</w:t>
      </w:r>
      <w:r w:rsidRPr="0048116C">
        <w:t xml:space="preserve">ho trhu </w:t>
      </w:r>
      <w:r>
        <w:t>na lince Praha - Moskva, kde zahájily provoz další letecké společnosti a tím zde došlo k poklesu cen přepravného, a to až o 50%. To spolu se zhoršenou ekonomickou situací v Rusku, zejména v souvislosti s poklesem hodnoty rublu, způsobilo, že cestovní kanceláře přesunuly velkou část klientely na tyto levnější lety, i když následně musejí zajišťovat pozemní transfer z Prahy do karlovarského regionu. Na druhou stranu však letiště zaznamenalo zvýšený zájem o cesty do regionu privátními a soukromými lety, které jsou velmi lukrativní pro ekonomiku letiště (v roce 2015 tvořily letecké výnosy z těchto letů 36,6% všech výnosů). Na objemu odbavených cestujících se však podílejí jen velmi malou měrou.</w:t>
      </w:r>
    </w:p>
    <w:p w:rsidR="00005545" w:rsidRDefault="00005545" w:rsidP="002C40B2">
      <w:pPr>
        <w:spacing w:before="120" w:after="0"/>
      </w:pPr>
      <w:r>
        <w:t xml:space="preserve">Od roku 2014 rovněž dochází k proměně turistického ruchu v rámci regionu. Jak ukazuje </w:t>
      </w:r>
      <w:fldSimple w:instr=" REF _Ref464460220  \* MERGEFORMAT ">
        <w:r w:rsidR="00536ECC">
          <w:t>g</w:t>
        </w:r>
        <w:r w:rsidR="00CB29BD">
          <w:t xml:space="preserve">raf </w:t>
        </w:r>
        <w:r w:rsidR="00CB29BD">
          <w:rPr>
            <w:noProof/>
          </w:rPr>
          <w:t>15</w:t>
        </w:r>
        <w:r w:rsidR="00CB29BD">
          <w:t>.</w:t>
        </w:r>
        <w:r w:rsidR="00CB29BD">
          <w:rPr>
            <w:noProof/>
          </w:rPr>
          <w:t>3</w:t>
        </w:r>
      </w:fldSimple>
      <w:r w:rsidRPr="00855712">
        <w:t>,</w:t>
      </w:r>
      <w:r w:rsidRPr="007E337C">
        <w:t xml:space="preserve"> </w:t>
      </w:r>
      <w:r>
        <w:t xml:space="preserve">v průběhu posledních let se počet návštěvníků regionu, vč. </w:t>
      </w:r>
      <w:r w:rsidRPr="00CC779F">
        <w:t>zahraničních</w:t>
      </w:r>
      <w:r>
        <w:t xml:space="preserve">, příliš nemění. Samotný celkový objem počtu návštěvníků kraje navíc ne zcela koreluje s výkony letiště, pro ten jsou rozhodující objemy zahraničních návštěvníků z </w:t>
      </w:r>
      <w:r w:rsidRPr="00B601A5">
        <w:t xml:space="preserve">jednotlivých </w:t>
      </w:r>
      <w:r>
        <w:t>zemí.</w:t>
      </w:r>
    </w:p>
    <w:p w:rsidR="009E424D" w:rsidRDefault="00005545">
      <w:pPr>
        <w:pStyle w:val="Titulek"/>
      </w:pPr>
      <w:bookmarkStart w:id="374" w:name="_Ref464460220"/>
      <w:bookmarkStart w:id="375" w:name="_Toc488234383"/>
      <w:r>
        <w:t xml:space="preserve">Graf </w:t>
      </w:r>
      <w:r w:rsidR="008965FE">
        <w:fldChar w:fldCharType="begin"/>
      </w:r>
      <w:r w:rsidR="00FD378B">
        <w:instrText xml:space="preserve"> STYLEREF 1 \s </w:instrText>
      </w:r>
      <w:r w:rsidR="008965FE">
        <w:fldChar w:fldCharType="separate"/>
      </w:r>
      <w:r w:rsidR="00CB29BD">
        <w:t>15</w:t>
      </w:r>
      <w:r w:rsidR="008965FE">
        <w:fldChar w:fldCharType="end"/>
      </w:r>
      <w:r w:rsidR="00FD378B">
        <w:t>.</w:t>
      </w:r>
      <w:r w:rsidR="008965FE">
        <w:fldChar w:fldCharType="begin"/>
      </w:r>
      <w:r w:rsidR="00FD378B">
        <w:instrText xml:space="preserve"> SEQ Graf \* ARABIC \s 1 </w:instrText>
      </w:r>
      <w:r w:rsidR="008965FE">
        <w:fldChar w:fldCharType="separate"/>
      </w:r>
      <w:r w:rsidR="00CB29BD">
        <w:t>3</w:t>
      </w:r>
      <w:r w:rsidR="008965FE">
        <w:fldChar w:fldCharType="end"/>
      </w:r>
      <w:bookmarkEnd w:id="374"/>
      <w:r w:rsidRPr="00CC779F">
        <w:t xml:space="preserve">: Počet návštěvníků Karlovarského kraje </w:t>
      </w:r>
      <w:r>
        <w:t xml:space="preserve">v letech </w:t>
      </w:r>
      <w:r w:rsidRPr="00CC779F">
        <w:t>2012 -</w:t>
      </w:r>
      <w:r>
        <w:t xml:space="preserve"> </w:t>
      </w:r>
      <w:r w:rsidRPr="00CC779F">
        <w:t>2015</w:t>
      </w:r>
      <w:bookmarkEnd w:id="375"/>
    </w:p>
    <w:p w:rsidR="00005545" w:rsidRDefault="00005545" w:rsidP="002C40B2">
      <w:pPr>
        <w:spacing w:after="0"/>
      </w:pPr>
      <w:r>
        <w:t xml:space="preserve"> </w:t>
      </w:r>
      <w:r>
        <w:rPr>
          <w:noProof/>
        </w:rPr>
        <w:drawing>
          <wp:inline distT="0" distB="0" distL="0" distR="0">
            <wp:extent cx="5657850" cy="2552700"/>
            <wp:effectExtent l="0" t="0" r="0" b="0"/>
            <wp:docPr id="244" name="Graf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05545" w:rsidRPr="0093419E" w:rsidRDefault="00005545" w:rsidP="002C40B2">
      <w:pPr>
        <w:pStyle w:val="poznzdroj"/>
        <w:spacing w:line="276" w:lineRule="auto"/>
      </w:pPr>
      <w:r w:rsidRPr="0093419E">
        <w:t>Zdroj: ČSÚ, vlastní výpočty</w:t>
      </w:r>
    </w:p>
    <w:p w:rsidR="00005545" w:rsidRDefault="00005545" w:rsidP="002C40B2">
      <w:pPr>
        <w:rPr>
          <w:b/>
        </w:rPr>
      </w:pPr>
      <w:r>
        <w:t xml:space="preserve">Z hlediska využívání letecké dopravy má zásadní dopad do výkonů letiště skutečnost, že v posledních letech dochází k poklesu objemu ruské klientely a nárůstu objemu klientely německé, která dohromady tvoří polovinu všech zahraničních návštěvníků kraje. Propad cestujících využívajících leteckou dopravu pro cesty do regionu však není možné jednoduše nahradit, byť se fakticky počet zahraničních návštěvníků pohybuje stále nad úrovní 500 000 ročně. Důvodem je zejména fakt, že </w:t>
      </w:r>
      <w:r w:rsidRPr="00390FCB">
        <w:t>německ</w:t>
      </w:r>
      <w:r>
        <w:t>á</w:t>
      </w:r>
      <w:r w:rsidRPr="00390FCB">
        <w:t xml:space="preserve"> klientel</w:t>
      </w:r>
      <w:r>
        <w:t xml:space="preserve">a, ač svým objemem prakticky dvojnásobná ve srovnání s klientelou ruskou, je jednak svým charakterem odlišná a navíc je pro mnoho německých návštěvníků region snadno dosažitelný za využití pozemních druhů dopravy. Počet tuzemských návštěvníků, byť jejich objem </w:t>
      </w:r>
      <w:r>
        <w:lastRenderedPageBreak/>
        <w:t xml:space="preserve">roste, nemá z hlediska fungování letiště prakticky žádný význam, neboť vnitrostátní letecká doprava v ČR, s výjimkou trasy Ostrava – Praha, neexistuje. Díky velké vzdálenosti je tak </w:t>
      </w:r>
      <w:r w:rsidRPr="00CD6901">
        <w:rPr>
          <w:b/>
        </w:rPr>
        <w:t xml:space="preserve">ruská klientela pro letiště v Karlových Varech nejvýznamnější skupinou cestujících. </w:t>
      </w:r>
    </w:p>
    <w:p w:rsidR="00352D74" w:rsidRDefault="00005545" w:rsidP="000B3B9C">
      <w:pPr>
        <w:pStyle w:val="Titulek"/>
      </w:pPr>
      <w:bookmarkStart w:id="376" w:name="_Ref464462892"/>
      <w:bookmarkStart w:id="377" w:name="_Toc488234384"/>
      <w:r>
        <w:t xml:space="preserve">Graf </w:t>
      </w:r>
      <w:r w:rsidR="008965FE">
        <w:fldChar w:fldCharType="begin"/>
      </w:r>
      <w:r w:rsidR="00FD378B">
        <w:instrText xml:space="preserve"> STYLEREF 1 \s </w:instrText>
      </w:r>
      <w:r w:rsidR="008965FE">
        <w:fldChar w:fldCharType="separate"/>
      </w:r>
      <w:r w:rsidR="00CB29BD">
        <w:t>15</w:t>
      </w:r>
      <w:r w:rsidR="008965FE">
        <w:fldChar w:fldCharType="end"/>
      </w:r>
      <w:r w:rsidR="00FD378B">
        <w:t>.</w:t>
      </w:r>
      <w:r w:rsidR="008965FE">
        <w:fldChar w:fldCharType="begin"/>
      </w:r>
      <w:r w:rsidR="00FD378B">
        <w:instrText xml:space="preserve"> SEQ Graf \* ARABIC \s 1 </w:instrText>
      </w:r>
      <w:r w:rsidR="008965FE">
        <w:fldChar w:fldCharType="separate"/>
      </w:r>
      <w:r w:rsidR="00CB29BD">
        <w:t>4</w:t>
      </w:r>
      <w:r w:rsidR="008965FE">
        <w:fldChar w:fldCharType="end"/>
      </w:r>
      <w:bookmarkEnd w:id="376"/>
      <w:r>
        <w:t xml:space="preserve">: </w:t>
      </w:r>
      <w:r w:rsidRPr="001F7A4B">
        <w:t>Poč</w:t>
      </w:r>
      <w:r>
        <w:t>et</w:t>
      </w:r>
      <w:r w:rsidRPr="001F7A4B">
        <w:t xml:space="preserve"> návštěvníků </w:t>
      </w:r>
      <w:r>
        <w:t>Karlovarského</w:t>
      </w:r>
      <w:r w:rsidRPr="001F7A4B">
        <w:t xml:space="preserve"> </w:t>
      </w:r>
      <w:r>
        <w:t>kraje</w:t>
      </w:r>
      <w:r w:rsidRPr="001F7A4B">
        <w:t xml:space="preserve"> </w:t>
      </w:r>
      <w:r>
        <w:t>v letech</w:t>
      </w:r>
      <w:r w:rsidRPr="001F7A4B">
        <w:t xml:space="preserve"> 2012 -</w:t>
      </w:r>
      <w:r>
        <w:t xml:space="preserve"> </w:t>
      </w:r>
      <w:r w:rsidRPr="001F7A4B">
        <w:t>2015</w:t>
      </w:r>
      <w:r>
        <w:t xml:space="preserve"> </w:t>
      </w:r>
      <w:r w:rsidRPr="001F7A4B">
        <w:t>(vybrané země)</w:t>
      </w:r>
      <w:bookmarkEnd w:id="377"/>
    </w:p>
    <w:p w:rsidR="00005545" w:rsidRDefault="00005545" w:rsidP="000B3B9C">
      <w:pPr>
        <w:pStyle w:val="Titulek"/>
      </w:pPr>
      <w:r>
        <w:drawing>
          <wp:inline distT="0" distB="0" distL="0" distR="0">
            <wp:extent cx="5476874" cy="26860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cstate="print">
                      <a:extLst>
                        <a:ext uri="{BEBA8EAE-BF5A-486C-A8C5-ECC9F3942E4B}">
                          <a14:imgProps xmlns:a14="http://schemas.microsoft.com/office/drawing/2010/main">
                            <a14:imgLayer r:embed="rId163">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5576337" cy="2734830"/>
                    </a:xfrm>
                    <a:prstGeom prst="rect">
                      <a:avLst/>
                    </a:prstGeom>
                    <a:noFill/>
                    <a:ln>
                      <a:noFill/>
                    </a:ln>
                    <a:extLst>
                      <a:ext uri="{53640926-AAD7-44D8-BBD7-CCE9431645EC}">
                        <a14:shadowObscured xmlns:a14="http://schemas.microsoft.com/office/drawing/2010/main"/>
                      </a:ext>
                    </a:extLst>
                  </pic:spPr>
                </pic:pic>
              </a:graphicData>
            </a:graphic>
          </wp:inline>
        </w:drawing>
      </w:r>
    </w:p>
    <w:p w:rsidR="00005545" w:rsidRPr="001F7A4B" w:rsidRDefault="00005545" w:rsidP="002C40B2">
      <w:pPr>
        <w:pStyle w:val="poznzdroj"/>
        <w:spacing w:line="276" w:lineRule="auto"/>
      </w:pPr>
      <w:r w:rsidRPr="001F7A4B">
        <w:t xml:space="preserve">Zdroj: </w:t>
      </w:r>
      <w:r>
        <w:t>ČSÚ, v</w:t>
      </w:r>
      <w:r w:rsidRPr="001F7A4B">
        <w:t xml:space="preserve">lastní </w:t>
      </w:r>
      <w:r>
        <w:t>výpočty</w:t>
      </w:r>
    </w:p>
    <w:p w:rsidR="00005545" w:rsidRDefault="00005545" w:rsidP="002C40B2">
      <w:r>
        <w:t xml:space="preserve">Jak ukazuje </w:t>
      </w:r>
      <w:fldSimple w:instr=" REF _Ref464462892  \* MERGEFORMAT ">
        <w:r w:rsidR="00536ECC">
          <w:t>g</w:t>
        </w:r>
        <w:r w:rsidR="00CB29BD">
          <w:t>raf 15.4</w:t>
        </w:r>
      </w:fldSimple>
      <w:r>
        <w:t>, stávající objemy cestujících, ať už ze zemí v rámci Evropy či dalších, mimoevropských, jsou s výjimkou zemí popsaných výše pro zavedení leteckých linek nedostatečné. Jejich meziroční nárůst je velmi slabý, v řádech pouze desítek či málo stovek návštěvníků regionu ročně, z některých významných a bonitních trhů dokonce dochází k relativně velkým poklesům (Holandsko).</w:t>
      </w:r>
    </w:p>
    <w:p w:rsidR="00005545" w:rsidRDefault="00005545" w:rsidP="002C40B2">
      <w:r>
        <w:t>Pro zavedení a udržení pravidelné letecké linky jsou tedy počty zahraničních návštěvníků z ostatních zemí EU a z VB prozatím nízké, dosažitelnost regionu ze vzdálenějších destinací ze zemí mimo Evropu je do určité míry limitována technickými parametry letiště, zejména parametry vzletové a přistávací dráhy (viz dále).</w:t>
      </w:r>
    </w:p>
    <w:p w:rsidR="00005545" w:rsidRDefault="00005545" w:rsidP="002C40B2">
      <w:r>
        <w:t>Letiště se v současné době zaměřuje na zavedení linek z následujících cílových trhů:</w:t>
      </w:r>
    </w:p>
    <w:p w:rsidR="00005545" w:rsidRDefault="00005545" w:rsidP="002C40B2">
      <w:pPr>
        <w:pStyle w:val="Odstavecseseznamem"/>
        <w:numPr>
          <w:ilvl w:val="0"/>
          <w:numId w:val="17"/>
        </w:numPr>
      </w:pPr>
      <w:r>
        <w:t xml:space="preserve">Německo – objem německé klientely je natolik vysoký, že by zavedení leteckého spojení, konkrétně s Porůřím a oblastmi severozápadního Německa, mělo své opodstatnění. Zavedení přímé letecké linky závisí na třech faktorech – na ochotě spolupracovat ze strany německých touroperátorů, dostatečný objem prostředků pro případné pokrytí rizik počátečních období provozu v rámci Sdružení Karlovarského kraje pro rozvoj leteckých linek a dopravce disponujícího vhodnou leteckou technikou. </w:t>
      </w:r>
    </w:p>
    <w:p w:rsidR="00005545" w:rsidRDefault="00005545" w:rsidP="002C40B2">
      <w:pPr>
        <w:pStyle w:val="Odstavecseseznamem"/>
        <w:numPr>
          <w:ilvl w:val="0"/>
          <w:numId w:val="17"/>
        </w:numPr>
      </w:pPr>
      <w:r>
        <w:t>Izrael – objem návštěvníků z Izraele trvale narůstá a zejména se prodlužuje doba jejich pobytu v regionu. Z tohoto důvodu aktuálně probíhají jednání o zavedení pravidelné charterové sezónní linky, která by karlovarský region dále zatraktivnila pro izraelskou klientelu.</w:t>
      </w:r>
    </w:p>
    <w:p w:rsidR="00005545" w:rsidRDefault="00005545" w:rsidP="002C40B2">
      <w:pPr>
        <w:pStyle w:val="Odstavecseseznamem"/>
        <w:numPr>
          <w:ilvl w:val="0"/>
          <w:numId w:val="17"/>
        </w:numPr>
      </w:pPr>
      <w:r>
        <w:t xml:space="preserve">Země bývalého SSSR – např. Uzbekistán, Ázerbájdžán nebo Kazachstán, kde je možné využít historických vazeb a zájmu klientů o návštěvu našeho regionu. </w:t>
      </w:r>
    </w:p>
    <w:p w:rsidR="00005545" w:rsidRDefault="00005545" w:rsidP="002C40B2">
      <w:r>
        <w:lastRenderedPageBreak/>
        <w:t>Fyzická kapacita letiště Karlovy Vary je v současnosti zhruba 0,5 mil. cestujících ročně (dle studie ASMZ z prosince 2011 a vyjádření vedení letiště) a je dána především kapacitou odbavovací haly a technického zázemí. Vzletová a přistávací dráha dnes umožňuje provoz v Evropě standardně používaných letadel typu Boeing 737/Airbus A320, ovšem pouze za určitých omezujících podmínek. V současnosti umožňují rozměry dráhy a její světelné zabezpečovací zařízení přistání letadel za pod</w:t>
      </w:r>
      <w:r w:rsidR="005C4721">
        <w:t>mínek tzv. CAT</w:t>
      </w:r>
      <w:r>
        <w:t xml:space="preserve">I (dohlednost minimálně 550 m a výška základny oblačnosti minimálně 60 m nad terénem). Zároveň některá letadla nesmí být naplněna na 100 %, aby bylo zajištěno jejich bezpečné přistání/vzlet. Letiště Karlovy Vary připravuje projekt na prodloužení a rozšíření stávající dráhy, která má v současnosti rozměry 2150m x 30m. V budoucnu by tato investice v řádu stovek </w:t>
      </w:r>
      <w:r>
        <w:br/>
        <w:t>mil. Kč měla rozšířit a prodloužit dráhu na rozměry 2 660m x 45 m. Součástí investice by mělo být také doplnění světelného vybavení dráhy a naváděcích systémů, včetně úpravy pojezdových drah a přeložení některých objektů v areálu letiště apod. Po dokončení tohoto projektu by bylo možné přijímat letadla i v horších povětrnostních podmínkách, zvýšila by se jejich maximální možná obsazenost a letiště by bylo schopné obsloužit i kapacitně větší letadla typu A330 nebo B767. Tím by se zvýšila konkurenceschopnost letiště zejména pro lety do vzdálenějších destinací a také pro tzv. feedingové lety a low-cost dopravce, kde riziko zpoždění/relokalizace letu způsobuje nemalé finanční škody pro dopravce i cestující.</w:t>
      </w:r>
    </w:p>
    <w:p w:rsidR="00005545" w:rsidRPr="005C4721" w:rsidRDefault="00005545" w:rsidP="002C40B2">
      <w:pPr>
        <w:pStyle w:val="Nadpis2"/>
      </w:pPr>
      <w:r w:rsidRPr="005C4721">
        <w:t>Poloha, dopravní dostupnost, konkurence</w:t>
      </w:r>
    </w:p>
    <w:p w:rsidR="00005545" w:rsidRPr="003F4FEB" w:rsidRDefault="00005545" w:rsidP="002C40B2">
      <w:r>
        <w:t xml:space="preserve">Letiště Karlovy Vary leží 5 km od centra města a v těsné blízkosti silnice I/6, která je hlavní spojnicí kraje s Prahou. Karlovy Vary jsou </w:t>
      </w:r>
      <w:r w:rsidRPr="003F4FEB">
        <w:t>napojeny na část dobudované dálnice D6, která spojuje města ležící v pánevní oblasti kraje (Cheb – Kynšperk nad Ohří – Sokolov – Karlovy Vary – Ostrov). Areál letiště není napojen na železniční trať. Největší města ležící v blízkosti Karlovarského kraje jsou Praha (</w:t>
      </w:r>
      <w:r w:rsidR="005C4721">
        <w:t>1,2 mil. obyvatel, 110 km, 1h 45 min</w:t>
      </w:r>
      <w:r w:rsidRPr="003F4FEB">
        <w:t xml:space="preserve"> jízdy autem), Plzeň (170 tis. obyv., 80</w:t>
      </w:r>
      <w:r w:rsidR="005C4721">
        <w:t xml:space="preserve"> </w:t>
      </w:r>
      <w:r w:rsidRPr="003F4FEB">
        <w:t>km, 1h 15</w:t>
      </w:r>
      <w:r w:rsidR="005C4721">
        <w:t xml:space="preserve"> </w:t>
      </w:r>
      <w:r w:rsidRPr="003F4FEB">
        <w:t>min) a v Německu ležící Chemnitz (240 tis. obyv., 85</w:t>
      </w:r>
      <w:r w:rsidR="005C4721">
        <w:t xml:space="preserve"> </w:t>
      </w:r>
      <w:r w:rsidRPr="003F4FEB">
        <w:t xml:space="preserve">km, 1h 20 min), Hof (45 tis. obyv., 103 km, 1h 20 min), Zwickau (94 tis. obyv., 80 km, 1h 30 min), Plauen (66 tis. obyv., 77 km, 1h 30 min). </w:t>
      </w:r>
    </w:p>
    <w:p w:rsidR="00005545" w:rsidRDefault="00005545" w:rsidP="002C40B2">
      <w:r w:rsidRPr="003F4FEB">
        <w:t>Pro využití letiště v Karlových Varech pro</w:t>
      </w:r>
      <w:r>
        <w:t xml:space="preserve"> výjezdový CR a vůbec cesty z regionu je důležitá populační velikost jeho spádové oblasti. Ta se vymezuje buď na základě kilometrové vzdálenosti od letiště (50, 100 nebo 150 km) případně podle časové dostupnosti letiště pozemní dopravou (60, 90, 120 min). Podle údajů ze studie </w:t>
      </w:r>
      <w:r w:rsidRPr="00CD6901">
        <w:rPr>
          <w:i/>
        </w:rPr>
        <w:t>Prognóza počtu přepravených cestujících na letišti Karlovy Vary do roku 2025</w:t>
      </w:r>
      <w:r>
        <w:rPr>
          <w:i/>
        </w:rPr>
        <w:t xml:space="preserve"> </w:t>
      </w:r>
      <w:r w:rsidRPr="00CD6901">
        <w:t xml:space="preserve">a </w:t>
      </w:r>
      <w:r>
        <w:rPr>
          <w:i/>
        </w:rPr>
        <w:t xml:space="preserve">studie ASM </w:t>
      </w:r>
      <w:r w:rsidR="005C4721">
        <w:t xml:space="preserve">z prosince roku </w:t>
      </w:r>
      <w:r w:rsidRPr="005C4721">
        <w:t>2011</w:t>
      </w:r>
      <w:r>
        <w:t xml:space="preserve"> žije </w:t>
      </w:r>
      <w:r>
        <w:rPr>
          <w:b/>
        </w:rPr>
        <w:t>v dojezdové vzdálenosti 60 min od letiště v Karlových Varech 778 tis. obyvatel, které může letiště reálně oslovit, z toho 111 tis. v Německu</w:t>
      </w:r>
      <w:r>
        <w:t xml:space="preserve">. Toto číslo není prostý počet obyvatel v dojezdu 60 min., ale je brána v úvahu i působnost okolních letišť (zejména vliv Letiště Praha na získání obyvatel Plzeňského kraje díky lepší dostupnosti D5) a nedostatečné dopravní napojení Saska a Bavorska. Pro získání většího počtu obyvatel z německé části spádové oblasti bude nutná marketingová propagace a případná spolupráce s německými touroperátory a zejména vylepšení přeshraničního dopravního napojení. </w:t>
      </w:r>
    </w:p>
    <w:p w:rsidR="00005545" w:rsidRPr="00CD6901" w:rsidRDefault="00005545" w:rsidP="000B3B9C">
      <w:pPr>
        <w:pStyle w:val="Titulek"/>
      </w:pPr>
      <w:bookmarkStart w:id="378" w:name="_Ref464460810"/>
      <w:bookmarkStart w:id="379" w:name="_Toc488234398"/>
      <w:r>
        <w:lastRenderedPageBreak/>
        <w:t xml:space="preserve">Obrázek </w:t>
      </w:r>
      <w:r w:rsidR="008965FE">
        <w:fldChar w:fldCharType="begin"/>
      </w:r>
      <w:r w:rsidR="00564668">
        <w:instrText xml:space="preserve"> STYLEREF 1 \s </w:instrText>
      </w:r>
      <w:r w:rsidR="008965FE">
        <w:fldChar w:fldCharType="separate"/>
      </w:r>
      <w:r w:rsidR="00CB29BD">
        <w:t>15</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1</w:t>
      </w:r>
      <w:r w:rsidR="008965FE">
        <w:fldChar w:fldCharType="end"/>
      </w:r>
      <w:bookmarkEnd w:id="378"/>
      <w:r>
        <w:t xml:space="preserve">: </w:t>
      </w:r>
      <w:r w:rsidRPr="00CD6901">
        <w:t>Spádová oblast (catchment area) letiště Karlovy Vary a okolních letišť (dojezd 60 min)</w:t>
      </w:r>
      <w:bookmarkEnd w:id="379"/>
    </w:p>
    <w:p w:rsidR="00005545" w:rsidRDefault="00D05E50" w:rsidP="002C40B2">
      <w:pPr>
        <w:spacing w:after="0"/>
      </w:pPr>
      <w:r>
        <w:rPr>
          <w:noProof/>
        </w:rPr>
        <w:pict w14:anchorId="7952DF36">
          <v:oval id="Ovál 249" o:spid="_x0000_s1056" style="position:absolute;left:0;text-align:left;margin-left:169.15pt;margin-top:83.3pt;width:42pt;height:56.25pt;rotation:3460569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" strokeweight="1.5pt">
            <v:fill opacity="0"/>
          </v:oval>
        </w:pict>
      </w:r>
      <w:r w:rsidR="00005545">
        <w:rPr>
          <w:noProof/>
        </w:rPr>
        <w:drawing>
          <wp:inline distT="0" distB="0" distL="0" distR="0">
            <wp:extent cx="5762625" cy="28765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rsidR="00005545" w:rsidRPr="005C4721" w:rsidRDefault="00005545" w:rsidP="002C40B2">
      <w:pPr>
        <w:pStyle w:val="Zdrojdat"/>
        <w:spacing w:before="120" w:line="276" w:lineRule="auto"/>
        <w:rPr>
          <w:rStyle w:val="Zdraznnjemn"/>
          <w:i/>
        </w:rPr>
      </w:pPr>
      <w:r w:rsidRPr="005C4721">
        <w:rPr>
          <w:rStyle w:val="Zdraznnjemn"/>
          <w:i/>
        </w:rPr>
        <w:t>Zdroj: ASM 2011, vlastní úpravy</w:t>
      </w:r>
    </w:p>
    <w:p w:rsidR="00005545" w:rsidRDefault="003E6BE0" w:rsidP="002C40B2">
      <w:pPr>
        <w:spacing w:after="0"/>
      </w:pPr>
      <w:r>
        <w:t>Z obrázku výše</w:t>
      </w:r>
      <w:r w:rsidR="00005545">
        <w:t xml:space="preserve"> je jasně patrné, že </w:t>
      </w:r>
      <w:r w:rsidR="00005545">
        <w:rPr>
          <w:b/>
        </w:rPr>
        <w:t>spádová oblast letiště v Karlových Varech s dojezdem 60min je z okolních letišť nejmenší</w:t>
      </w:r>
      <w:r w:rsidR="00005545">
        <w:t>. Příčinou je špatné dopravní spojení Karlovarského kraje s jeho okolím. Především poměrně hustě obydlená oblast německého Podkrušnohoří kolem měst Zwickau a Chemnitz je díky dálniční síti lépe dostupná z letiště v Drážďanech. Karlovarské letiště se může reálně snažit získat obyvatele v oblasti okolo měst Hof a Plauen (na mapě v kroužku), kteří mají všechna 3 nejbližší německá letiště poměrně daleko (i když dobře dostupná díky dálniční síti). Naopak v Česku je největším konkurentem Letiště Praha, spádové oblasti obou letišť se dokonce lehce překrývají. Letiště Praha však obyvatele bydlící na hranicích spádové oblasti získává díky nepoměrně větší nabídce spojů a lepší dostupnosti z těchto míst v Ústeckém, Plzeňském i Středočeském kraji. Spádová oblast letiště Karlovy Vary by se měla zvětšit po dokončení silnice D6 v celé její délce a její vymezení by mělo být aktualizováno.</w:t>
      </w:r>
    </w:p>
    <w:p w:rsidR="00005545" w:rsidRDefault="00005545" w:rsidP="002C40B2">
      <w:pPr>
        <w:spacing w:before="120" w:after="0"/>
      </w:pPr>
      <w:r w:rsidRPr="005B49A7">
        <w:t>Z regionálních letišť v Německu (např. Erfurt, Hof</w:t>
      </w:r>
      <w:r w:rsidRPr="009B059D">
        <w:t xml:space="preserve">) </w:t>
      </w:r>
      <w:r w:rsidRPr="003F13D9">
        <w:t>byly v minulosti v režimu závazku veřejné služby</w:t>
      </w:r>
      <w:r>
        <w:rPr>
          <w:b/>
        </w:rPr>
        <w:t xml:space="preserve"> </w:t>
      </w:r>
      <w:r w:rsidRPr="005B49A7">
        <w:t xml:space="preserve">nabízeny tzv. přibližovací (feedingové) spoje do uzlového letiště </w:t>
      </w:r>
      <w:r w:rsidRPr="003F4FEB">
        <w:t>ve Frankfurtu nebo v Mnichově, které však již nejsou provozovány. Tyto spoje byly dotovány tamější r</w:t>
      </w:r>
      <w:r>
        <w:t xml:space="preserve">egionální vládou částkou kolem 3 mil. EUR ročně. </w:t>
      </w:r>
      <w:r w:rsidRPr="005B49A7">
        <w:rPr>
          <w:b/>
        </w:rPr>
        <w:t>Podobný typ spojení do uzlového letiště je ovšem finančně náročný a v rámci regionu by musela být shoda na tom, že investice do takové linky se v dlouhodobé perspektivě vyplatí.</w:t>
      </w:r>
      <w:r>
        <w:t xml:space="preserve"> Letiště Drážďany a Norimberk jsou svým charakterem odlišná, nabízí kromě charterů i řadu přímých spojení po Evropě a proto jde o jinou kategorii letišť a nelze s nimi letiště Karlovy Vary porovnávat.</w:t>
      </w:r>
    </w:p>
    <w:p w:rsidR="00005545" w:rsidRDefault="00005545" w:rsidP="002C40B2">
      <w:pPr>
        <w:spacing w:before="120" w:after="0"/>
        <w:rPr>
          <w:sz w:val="18"/>
        </w:rPr>
      </w:pPr>
      <w:r>
        <w:t xml:space="preserve">Obecně lze konstatovat, že </w:t>
      </w:r>
      <w:r w:rsidRPr="0069677B">
        <w:rPr>
          <w:b/>
        </w:rPr>
        <w:t xml:space="preserve">pro fungování regionálních letišť v Evropě do objemu cca 500 000 cestujících ročně je zásadní, v jakém prostředí fungují, zejména </w:t>
      </w:r>
      <w:r>
        <w:rPr>
          <w:b/>
        </w:rPr>
        <w:t xml:space="preserve">jeho </w:t>
      </w:r>
      <w:r w:rsidRPr="0069677B">
        <w:rPr>
          <w:b/>
        </w:rPr>
        <w:t>atraktivita jako turistick</w:t>
      </w:r>
      <w:r>
        <w:rPr>
          <w:b/>
        </w:rPr>
        <w:t>é</w:t>
      </w:r>
      <w:r w:rsidRPr="0069677B">
        <w:rPr>
          <w:b/>
        </w:rPr>
        <w:t xml:space="preserve"> destinace, velikost spádové oblasti a ekonomická výkonnost</w:t>
      </w:r>
      <w:r>
        <w:t xml:space="preserve">. Od těchto faktorů se totiž odvíjí potenciál možné poptávky po cestování. Rozvoj počtu linek je však úzce spojen i s ochotou či možností investovat do zavedení a udržení provozu linky. </w:t>
      </w:r>
    </w:p>
    <w:p w:rsidR="00005545" w:rsidRDefault="00005545" w:rsidP="002C40B2">
      <w:pPr>
        <w:spacing w:before="120" w:after="0"/>
      </w:pPr>
      <w:r>
        <w:lastRenderedPageBreak/>
        <w:t>Zkušenosti ze zahraničí přitom ukazují, že pro fungování regionálních letišť je třeba nejen aktivity a podpory v rámci regionu, kde se nachází, ale je nutná i spolupráce a vytváření příznivých podmínek pro rozvoj podnikání i ze strany státu. Příkladem může být letiště Poprad Tatry na Slovensku, kde přijetí zákona o cestovním ruchu, ve kterém je přesně definovaný příspěvek ze státního rozpočtu na rozvoj turistického ruchu subjektům v regionech</w:t>
      </w:r>
      <w:r>
        <w:rPr>
          <w:rStyle w:val="Znakapoznpodarou"/>
          <w:rFonts w:eastAsia="Calibri"/>
        </w:rPr>
        <w:footnoteReference w:id="30"/>
      </w:r>
      <w:r>
        <w:t xml:space="preserve">, přispělo k zavedení pravidelných linek a letiště tak </w:t>
      </w:r>
      <w:r w:rsidRPr="009561E2">
        <w:t xml:space="preserve">dosáhlo </w:t>
      </w:r>
      <w:r>
        <w:t xml:space="preserve">téměř trojnásobného </w:t>
      </w:r>
      <w:r w:rsidRPr="009561E2">
        <w:t>nárůstu objemu přepravy</w:t>
      </w:r>
      <w:r>
        <w:t>.</w:t>
      </w:r>
      <w:r w:rsidRPr="009561E2">
        <w:t xml:space="preserve"> </w:t>
      </w:r>
    </w:p>
    <w:p w:rsidR="00005545" w:rsidRDefault="00005545" w:rsidP="002C40B2">
      <w:pPr>
        <w:spacing w:before="120" w:after="0"/>
      </w:pPr>
      <w:r>
        <w:t xml:space="preserve">Podpora zavádění pravidelných linek, zejména síťových, je přitom zcela běžná i na ostatních regionálních letištích v  České republice. Aktuálním příkladem může být zavedení letecké linky Mnichov – Brno, kde jsou hlavními investory město </w:t>
      </w:r>
      <w:r w:rsidRPr="00C15F11">
        <w:t xml:space="preserve">Brno </w:t>
      </w:r>
      <w:r>
        <w:t xml:space="preserve">a Jihomoravský kraj (vlastník). V Rakousku je do jisté míry možné porovnání s regionálním letištěm v Klagenfurtu. Zdejší region se obdobně jako náš orientuje ve velké míře na cestovní ruch, který však v porovnání s Karlovarským krajem nabízí větší šíři produktů (zimní i letní CR, lázně). Přesto zde v průběhu let došlo k poklesu objemu cestujících, zejména z důvodu omezení podpor pro nízkonákladové dopravce. </w:t>
      </w:r>
    </w:p>
    <w:p w:rsidR="00005545" w:rsidRDefault="00005545" w:rsidP="002C40B2">
      <w:pPr>
        <w:spacing w:before="120" w:after="0"/>
      </w:pPr>
      <w:r>
        <w:rPr>
          <w:b/>
        </w:rPr>
        <w:t>Další rozvoj Karlovarského letiště bude vyžadovat kombinaci většího využití obecně používaných nástrojů pro přilákání a udržení leteckých linek a zároveň musejí příslušné subjekty v rámci regionu aktivně pracovat na nalezení nových trhů či zvýšení úsilí k přilákání nových klientů v objemech, které by byly atraktivní pro letecké společnosti a vyústily v zavedení nových linek</w:t>
      </w:r>
      <w:r>
        <w:t>.</w:t>
      </w:r>
    </w:p>
    <w:p w:rsidR="00005545" w:rsidRPr="004F4B06" w:rsidRDefault="00005545" w:rsidP="002C40B2">
      <w:pPr>
        <w:pStyle w:val="Nadpis2"/>
      </w:pPr>
      <w:r w:rsidRPr="004F4B06">
        <w:t>Možné směry a orientace budoucího rozvoje letiště Karlovy Vary</w:t>
      </w:r>
    </w:p>
    <w:p w:rsidR="00005545" w:rsidRPr="002C1EBF" w:rsidRDefault="00005545" w:rsidP="002C40B2">
      <w:r>
        <w:t xml:space="preserve">Při mapování budoucích směrů rozvoje letiště v Karlových Varech je nutné vycházet především ze zpracovaných odborných studií, informací poskytnutých vedením letiště a obecných trendů fungování regionálních letišť v rámci EU. Klíčovým předpokladem pro rozvoj letiště však zůstává rozvoj turistického ruchu v regionu a poptávka po cestování jak ze, tak do zahraničí, a to ze strany návštěvníků i vlastních občanů. Letecká doprava je velmi citlivá i na ekonomický a politický vývoj ve světě, takže nepříznivé okolnosti se vždy velice rychle promítnou do poklesu poptávky po cestování, ale návrat na původní hodnoty poptávky většinou trvá nesrovnatelně déle. </w:t>
      </w:r>
      <w:r w:rsidRPr="00CF5F08">
        <w:rPr>
          <w:b/>
        </w:rPr>
        <w:t xml:space="preserve">Rozhodujícím faktorem bude rovněž disponibilita prostředků pro podporu a rozvoj leteckých linek. K zajištění finančních prostředků vzniklo v roce 2015 </w:t>
      </w:r>
      <w:r w:rsidRPr="001E2F21">
        <w:rPr>
          <w:b/>
        </w:rPr>
        <w:t>Sdružení Karlovarského kraje pro rozvoj leteckých linek</w:t>
      </w:r>
      <w:r w:rsidRPr="00CF5F08">
        <w:rPr>
          <w:b/>
        </w:rPr>
        <w:t xml:space="preserve">, </w:t>
      </w:r>
      <w:r w:rsidRPr="002C1EBF">
        <w:t>jehož hlavními úkoly jsou zejména shromáždění zdrojů na podporu linek, vyhledávání potenciálních destinací pro zavedení nových linek, komunikace s leteckými společnostmi a dalšími potenciálními partnery.</w:t>
      </w:r>
    </w:p>
    <w:p w:rsidR="00005545" w:rsidRDefault="00005545" w:rsidP="002C40B2">
      <w:r w:rsidRPr="003B72AF">
        <w:rPr>
          <w:b/>
        </w:rPr>
        <w:t>V krátkodobém horizontu</w:t>
      </w:r>
      <w:r>
        <w:t xml:space="preserve"> je nutné stabilizovat situaci a zajistit postupný rozvoj nových linek. Pro nejbližší období je nutné udržet provoz společnosti ČSA na linkách do Moskvy a Petrohradu a případně rozšířit provoz na těchto linkách, a to buď ve spolupráci s ČSA, nebo s určeným dopravcem z ruské strany. Dále je třeba dokončit jednání o zavedení letů z Německa ve spolupráci s německými touroperátory, a to buď ve formátu pravidelné linky, nebo charterového spojení s možností částečného volného projede míst na těchto letech. </w:t>
      </w:r>
      <w:r w:rsidR="007A5913">
        <w:t>Dále</w:t>
      </w:r>
      <w:r>
        <w:t xml:space="preserve"> se pokusit ve spolupráci s touroperátory obnovit nabídku letů charterových linek do letních destinací a tuto postupně v následujících letech rozšiřovat a aktivně participovat na projektu zavedení letů z</w:t>
      </w:r>
      <w:r w:rsidR="007A5913">
        <w:t> </w:t>
      </w:r>
      <w:r>
        <w:t>Izraele</w:t>
      </w:r>
      <w:r w:rsidR="007A5913">
        <w:t>.</w:t>
      </w:r>
    </w:p>
    <w:p w:rsidR="00005545" w:rsidRDefault="00005545" w:rsidP="002C40B2">
      <w:r w:rsidRPr="003B72AF">
        <w:rPr>
          <w:b/>
        </w:rPr>
        <w:lastRenderedPageBreak/>
        <w:t>Ve střednědobém horizontu</w:t>
      </w:r>
      <w:r>
        <w:t xml:space="preserve"> začít pracovat na rozvoji linek do destinací ve smyslu doporučení studií zpracovaných společnostmi LH Consulting a ASM. </w:t>
      </w:r>
      <w:r w:rsidRPr="007877F3">
        <w:t>V tomto případě by se mělo jednat o destinace, které by generovaly novou dodatečnou poptávku po příjezdovém cestovním ruchu do Karlovarského kraje a zároveň by zajišťovaly nárůst poptávky po cestách z regionu. Musí tedy jít o destinace dostatečně atraktivní pro obyvatele ve spádové oblasti letiště v Karlových Varech a zároveň o země mající velký krátkodobý objem příjezdového CR do kraje.</w:t>
      </w:r>
      <w:r>
        <w:t xml:space="preserve"> </w:t>
      </w:r>
      <w:r w:rsidRPr="007877F3">
        <w:t xml:space="preserve">V úvahu připadají především Velká Británie (Londýn), což je osvědčená, populární a prakticky na všech regionálních letištích vždy fungující linka. Důležitým faktorem bude ale vývoj na politické scéně vzhledem k vystoupení </w:t>
      </w:r>
      <w:r w:rsidR="007A5913">
        <w:t>Velké Británie</w:t>
      </w:r>
      <w:r w:rsidR="007A5913" w:rsidRPr="007877F3">
        <w:t xml:space="preserve"> </w:t>
      </w:r>
      <w:r w:rsidRPr="007877F3">
        <w:t>z EU a možné zavedení určitých restrikcí pro práci či život občanů EU, což může mít negativní dopad na poptávku po cestách do Velké Británie. Dalšími zajímavými zeměmi z hlediska případného zavedení nových linek jsou například Itálie (Milán) a Francie (Paříž). Zde by se jednalo převážně o víkendový provoz. Velmi pravděpodobně budou v těchto případech spojení nabízet pouze nízkonákladoví</w:t>
      </w:r>
      <w:r>
        <w:t xml:space="preserve"> (tzv. low-cost) dopravci tak, aby byla zajištěna přijatelná cena </w:t>
      </w:r>
      <w:r w:rsidRPr="007877F3">
        <w:t xml:space="preserve">letenek a spoj byl dostatečně atraktivní </w:t>
      </w:r>
      <w:r w:rsidR="001E2F21">
        <w:br/>
      </w:r>
      <w:r w:rsidRPr="007877F3">
        <w:t xml:space="preserve">a konkurenceschopný. S tím je pak spojená výše zmíněná </w:t>
      </w:r>
      <w:r w:rsidRPr="003B72AF">
        <w:t xml:space="preserve">nutnost podílet se určitým způsobem na </w:t>
      </w:r>
      <w:r w:rsidRPr="007877F3">
        <w:t xml:space="preserve">financování linky, což je dnes u regionálních letišť zcela běžná věc. </w:t>
      </w:r>
    </w:p>
    <w:p w:rsidR="00005545" w:rsidRDefault="00005545" w:rsidP="002C40B2">
      <w:r>
        <w:t>P</w:t>
      </w:r>
      <w:r w:rsidRPr="007877F3">
        <w:t>ro úspěch těchto</w:t>
      </w:r>
      <w:r>
        <w:t xml:space="preserve"> </w:t>
      </w:r>
      <w:r w:rsidRPr="007877F3">
        <w:t xml:space="preserve">linek </w:t>
      </w:r>
      <w:r>
        <w:t xml:space="preserve">bude zároveň potřeba </w:t>
      </w:r>
      <w:r w:rsidRPr="003B72AF">
        <w:rPr>
          <w:b/>
        </w:rPr>
        <w:t xml:space="preserve">zvýšit kvalitu i rozsah poskytovaných služeb </w:t>
      </w:r>
      <w:r w:rsidR="007A5913">
        <w:rPr>
          <w:b/>
        </w:rPr>
        <w:br/>
      </w:r>
      <w:r w:rsidRPr="003B72AF">
        <w:rPr>
          <w:b/>
        </w:rPr>
        <w:t xml:space="preserve">a produktů CR </w:t>
      </w:r>
      <w:r w:rsidRPr="007877F3">
        <w:t>a proměnit formu komunikace s návštěvníky z výše uvedených zemí, neboť ti preferují spíše krátkodobé a neorganizované pobyty.</w:t>
      </w:r>
      <w:r>
        <w:t xml:space="preserve"> Léčebné lázeňské pobyty, které vyžadují dlouhodobější pobyt, pro ně nejsou příliš atraktivní. Stále bohužel platí, že nejvýznamnější aktéři v oblasti lázeňství v kraji zatím nejsou ochotni zaměřit svou pozornost na nové trhy a snaží se stále orientovat pouze na tradiční zákazníky z východní Evropy a Německa. V budoucnu by měly být více rozvíjeny a zejména propagovány další produkty v CR (relaxační a wellness pobyty, pobyty v přírodě, cykloturistika, lyžování, golf, vodáctví) tak, aby se stal kraj atraktivní i pro jiný typ návštěvníků. Rovněž bude nutné spustit sofistikovanou marketingovou propagaci v cílových zemích a regionech zaměřenou na specifickou skupinu návštěvníků</w:t>
      </w:r>
      <w:r w:rsidRPr="007877F3">
        <w:t xml:space="preserve">, což musí být </w:t>
      </w:r>
      <w:r w:rsidRPr="003B72AF">
        <w:t>primárně aktivita nově založené</w:t>
      </w:r>
      <w:r w:rsidRPr="001C4F00">
        <w:rPr>
          <w:b/>
        </w:rPr>
        <w:t xml:space="preserve"> </w:t>
      </w:r>
      <w:r w:rsidRPr="003B72AF">
        <w:t>krajské</w:t>
      </w:r>
      <w:r w:rsidRPr="001C4F00">
        <w:rPr>
          <w:b/>
        </w:rPr>
        <w:t xml:space="preserve"> Destinační agentury</w:t>
      </w:r>
      <w:r>
        <w:t xml:space="preserve">. Tyto linky by mohli ve větší míře využívat i obyvatelé příhraničních německých území, ovšem pouze za předpokladu značného zlepšení pozemního dopravního spojení (zejména dokončení rychlostní silnice přes Cheb až k německé dálnici A93 a vetší prostupnosti hranic směrem na Sasko). O tyto linky by </w:t>
      </w:r>
      <w:r w:rsidRPr="008809A2">
        <w:t xml:space="preserve">pro krátké několikadenní výlety do evropských metropolí </w:t>
      </w:r>
      <w:r>
        <w:t xml:space="preserve">mohli projevit zájem např. </w:t>
      </w:r>
      <w:r w:rsidR="007A5913">
        <w:br/>
      </w:r>
      <w:r>
        <w:t xml:space="preserve">i dlouhodobě pobývající lázeňští hosté.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62"/>
      </w:tblGrid>
      <w:tr w:rsidR="00005545" w:rsidTr="0001301B">
        <w:tc>
          <w:tcPr>
            <w:tcW w:w="9062" w:type="dxa"/>
            <w:tcBorders>
              <w:top w:val="single" w:sz="4" w:space="0" w:color="auto"/>
              <w:left w:val="single" w:sz="4" w:space="0" w:color="auto"/>
              <w:bottom w:val="single" w:sz="4" w:space="0" w:color="auto"/>
              <w:right w:val="single" w:sz="4" w:space="0" w:color="auto"/>
            </w:tcBorders>
            <w:shd w:val="clear" w:color="auto" w:fill="DBE5F1"/>
            <w:hideMark/>
          </w:tcPr>
          <w:p w:rsidR="00005545" w:rsidRDefault="00005545" w:rsidP="002C40B2">
            <w:pPr>
              <w:spacing w:after="60"/>
              <w:rPr>
                <w:b/>
              </w:rPr>
            </w:pPr>
            <w:r>
              <w:rPr>
                <w:b/>
              </w:rPr>
              <w:t>Financování spojů na regionálních letištích</w:t>
            </w:r>
          </w:p>
          <w:p w:rsidR="00005545" w:rsidRDefault="00005545" w:rsidP="002C40B2">
            <w:pPr>
              <w:spacing w:after="0"/>
            </w:pPr>
            <w:r>
              <w:t xml:space="preserve">Většina nízkonákladových i tradičních dopravců požaduje </w:t>
            </w:r>
            <w:r>
              <w:rPr>
                <w:b/>
                <w:i/>
              </w:rPr>
              <w:t>úhradu určité části nákladů souvisejících se spuštěním nebo i provozem nové linky,</w:t>
            </w:r>
            <w:r>
              <w:t xml:space="preserve"> případně další finanční kompenzace (např. stanovení maximální výše poplatků na cestujícího, podpora na každého odvezeného cestujícího, finanční dotace letecké společnosti za zavedení nového spoje, příspěvky na propagaci a další podpory). V západní Evropě se běžně linky na regionálních trasách </w:t>
            </w:r>
            <w:r>
              <w:rPr>
                <w:b/>
                <w:i/>
              </w:rPr>
              <w:t>dotují z veřejných prostředků</w:t>
            </w:r>
            <w:r>
              <w:t xml:space="preserve"> v režimu závazku veřejné služby. Dalšími formami podpory jsou např. </w:t>
            </w:r>
            <w:r>
              <w:rPr>
                <w:b/>
                <w:i/>
              </w:rPr>
              <w:t xml:space="preserve">finanční podpora z fondů, kam přispívají veřejné i neveřejné instituce z regionu </w:t>
            </w:r>
            <w:r>
              <w:t xml:space="preserve">(v našem případě prostřednictvím Sdružení Karlovarského kraje pro rozvoj linek), případně tzv. </w:t>
            </w:r>
            <w:r>
              <w:rPr>
                <w:b/>
                <w:i/>
              </w:rPr>
              <w:t>incentivní pobídky</w:t>
            </w:r>
            <w:r>
              <w:t xml:space="preserve">, kdy letiště láká nové dopravce slevou na letištních poplatcích (tento systém letiště Karlovy Vary dlouhodobě aplikuje, ale evidentně bez výrazného úspěchu). Zcela běžnou aktivitou je také </w:t>
            </w:r>
            <w:r>
              <w:rPr>
                <w:b/>
                <w:i/>
              </w:rPr>
              <w:t>společná marketingová propagace regionu či města a letecké společnosti</w:t>
            </w:r>
            <w:r>
              <w:t>.</w:t>
            </w:r>
          </w:p>
          <w:p w:rsidR="00005545" w:rsidRDefault="00005545" w:rsidP="002C40B2">
            <w:pPr>
              <w:spacing w:after="0"/>
            </w:pPr>
            <w:r>
              <w:t xml:space="preserve">Výsledkem všech uvedených druhů podpory je zlepšení dopravní dostupnosti a z toho plynoucí </w:t>
            </w:r>
            <w:r>
              <w:lastRenderedPageBreak/>
              <w:t>vyšší příliv návštěvníků do regionu a větší atraktivitu pro investory. Konečným dopadem v regionální ekonomice je poté snížení nezaměstnanosti, zvýšení tržeb v sektoru CR a návazných odvětví a obecně zvýšení blahobytu a otevření regionu svému okolí.</w:t>
            </w:r>
          </w:p>
        </w:tc>
      </w:tr>
    </w:tbl>
    <w:p w:rsidR="00005545" w:rsidRPr="005C4721" w:rsidRDefault="00005545" w:rsidP="002C40B2">
      <w:pPr>
        <w:pStyle w:val="Nadpis2"/>
      </w:pPr>
      <w:r w:rsidRPr="005C4721">
        <w:lastRenderedPageBreak/>
        <w:t>Klíčové výzvy/problémy</w:t>
      </w:r>
    </w:p>
    <w:p w:rsidR="00005545" w:rsidRDefault="00005545" w:rsidP="002C40B2">
      <w:pPr>
        <w:spacing w:before="200"/>
        <w:rPr>
          <w:b/>
        </w:rPr>
      </w:pPr>
      <w:r>
        <w:rPr>
          <w:b/>
        </w:rPr>
        <w:t>Infrastruktura vzletové a přistávací dráhy na letišti Karlovy Vary</w:t>
      </w:r>
    </w:p>
    <w:p w:rsidR="00005545" w:rsidRPr="005523A0" w:rsidRDefault="00005545" w:rsidP="002C40B2">
      <w:r>
        <w:t xml:space="preserve">Od doby, kdy bylo letiště v roce 2004 převedeno do majetku Karlovarského kraje, byl do jeho rozvoje investován velký objem finančních prostředků a došlo k rekonstrukci povrchu RWY a modernizaci jejího světelného zabezpečovacího zařízení, vybudování nové odbavovací haly, rekonstrukci haly původní, rozšíření parkovacích stání pro letadla a k dobudování nového parkoviště pro návštěvníky. Významné prostředky byly rovněž investovány do provozní techniky letiště a aktuálně byla zahájena výstavba nové stanice ZPS. Nicméně zásadním limitujícím faktorem pro další rozvoj linek na letišti Karlovy Vary je vzletová a přistávací dráha. Dráha o rozměrech 2150 x 30 m byla sice rekonstruována v roce 2006, ale nedošlo </w:t>
      </w:r>
      <w:r w:rsidR="007A5913">
        <w:t xml:space="preserve">k </w:t>
      </w:r>
      <w:r>
        <w:t xml:space="preserve">jejímu rozšíření ani prodloužení, takže fakticky se stále jedná o její původní parametry z roku 1959. Jakkoliv tato dráha splňuje všechny bezpečnostní požadavky, pro provoz na takové dráze (zejména z důvodů šířky) existují omezení, která způsobují a limitují využitelnost letiště. </w:t>
      </w:r>
    </w:p>
    <w:p w:rsidR="00005545" w:rsidRDefault="00005545" w:rsidP="002C40B2">
      <w:pPr>
        <w:spacing w:before="200"/>
        <w:rPr>
          <w:b/>
          <w:i/>
        </w:rPr>
      </w:pPr>
      <w:r>
        <w:rPr>
          <w:b/>
          <w:i/>
        </w:rPr>
        <w:t>Příčiny</w:t>
      </w:r>
    </w:p>
    <w:p w:rsidR="00005545" w:rsidRDefault="00005545" w:rsidP="002C40B2">
      <w:r>
        <w:t>Příčina je ve velké finanční náročnosti takovéto investice a tedy v obtížném zajištění financování pouze z rozpočtu vlastníka letiště.</w:t>
      </w:r>
    </w:p>
    <w:p w:rsidR="00005545" w:rsidRDefault="00005545" w:rsidP="002C40B2">
      <w:pPr>
        <w:spacing w:before="200"/>
        <w:rPr>
          <w:b/>
          <w:i/>
        </w:rPr>
      </w:pPr>
      <w:r w:rsidRPr="002E1C88">
        <w:rPr>
          <w:b/>
          <w:i/>
        </w:rPr>
        <w:t>Důsledky</w:t>
      </w:r>
    </w:p>
    <w:p w:rsidR="00005545" w:rsidRPr="002E1C88" w:rsidRDefault="00005545" w:rsidP="002C40B2">
      <w:pPr>
        <w:spacing w:before="200"/>
      </w:pPr>
      <w:r>
        <w:t>V současné době většina dopravců požaduje standard</w:t>
      </w:r>
      <w:r w:rsidR="007A5913">
        <w:t>ně</w:t>
      </w:r>
      <w:r>
        <w:t xml:space="preserve"> dráhu o šířce 45 m. Provoz na </w:t>
      </w:r>
      <w:r w:rsidR="007A5913">
        <w:t xml:space="preserve">dráze </w:t>
      </w:r>
      <w:r>
        <w:t xml:space="preserve">o šířce 30 m vyžaduje například speciálně vyškolené posádky, některé letecké úřady dokonce nepovolují provoz jimi registrovaných společností s určitými typy letadel na takové dráhy, na dráhu není možné použít systém pro přesné přiblížení vyšší kategorie než je ILS CAT I, což omezuje využitelnost letiště za zhoršených povětrnostních podmínek (vzhledem k nadmořské výšce letiště KV je toto zásadní problém) apod. Letiště je fakticky bez omezení dostupné jen v rámci Evropy, ale pokud jde o lety z a do vzdálenějších destinací (o které letiště zaznamenává zájem), tak tyto jsou možné pouze za předpokladu snížení užitečného zatížení, což s sebou nese nárůst nákladů a vyšší ceny přepravného a v konečném důsledku i snížení konkurenceschopnosti a atraktivity letiště pro dopravce i cestující. </w:t>
      </w:r>
    </w:p>
    <w:p w:rsidR="00005545" w:rsidRDefault="00005545" w:rsidP="002C40B2">
      <w:pPr>
        <w:spacing w:before="200"/>
        <w:rPr>
          <w:b/>
        </w:rPr>
      </w:pPr>
      <w:r>
        <w:rPr>
          <w:b/>
        </w:rPr>
        <w:t>Nedostatečná spolupráce klíčových aktérů v kraji a jejich propagace na nových trzích</w:t>
      </w:r>
    </w:p>
    <w:p w:rsidR="00005545" w:rsidRDefault="00005545" w:rsidP="002C40B2">
      <w:r>
        <w:t>Pro výkony karlovarského letiště bude vždy základem poptávka generovaná vně regionu, tedy návštěvníci přijíždějící do kraje. Propad stávajícího východoevropského trhu ale ukázal, že je zcela nezbytné, zejména k prosazení na nových západoevropských trzích, vytvoření nových produktů CR a zejména vzájemná aktivní propagace všech subjektů pohybujících se v cestovním ruchu a v návazných službách.</w:t>
      </w:r>
    </w:p>
    <w:p w:rsidR="00005545" w:rsidRDefault="00005545" w:rsidP="002C40B2">
      <w:pPr>
        <w:spacing w:before="200"/>
        <w:rPr>
          <w:b/>
          <w:i/>
        </w:rPr>
      </w:pPr>
      <w:r>
        <w:rPr>
          <w:b/>
          <w:i/>
        </w:rPr>
        <w:t>Příčiny</w:t>
      </w:r>
    </w:p>
    <w:p w:rsidR="00005545" w:rsidRDefault="00005545" w:rsidP="002C40B2">
      <w:r>
        <w:t xml:space="preserve">Příčiny tkví v přílišné orientaci subjektů v CR na ruský a východoevropský trh a jejich specifickou poptávku a neuvědomění si možného potenciálu, který skýtají nové trhy v západní Evropě. Svou roli </w:t>
      </w:r>
      <w:r>
        <w:lastRenderedPageBreak/>
        <w:t>sehrává i určitá uzavřenost velkých lázeňských komplexů a jejich neochota ke spolupráci a podílení se na společných projektech s ostatními subjekty a institucemi, které vytváří nabídku produktů cestovního ruchu v kraji. Jednoznačně největším problémem v této oblasti je absence výraznější společné propagace Karlovarského kraje a jeho atraktivit a produktů v oblasti cestovního ruchu na zahraničních trzích.</w:t>
      </w:r>
    </w:p>
    <w:p w:rsidR="00005545" w:rsidRDefault="00005545" w:rsidP="002C40B2">
      <w:pPr>
        <w:spacing w:before="200"/>
        <w:rPr>
          <w:b/>
          <w:i/>
        </w:rPr>
      </w:pPr>
      <w:r>
        <w:rPr>
          <w:b/>
          <w:i/>
        </w:rPr>
        <w:t>Důsledky</w:t>
      </w:r>
    </w:p>
    <w:p w:rsidR="00005545" w:rsidRDefault="00005545" w:rsidP="002C40B2">
      <w:pPr>
        <w:spacing w:before="120"/>
      </w:pPr>
      <w:r>
        <w:t>Nedostatek spolupráce a společné propagace komplexních produktů v oblasti CR může ve svém důsledku znamenat stagnaci/úbytek počtu návštěvníků v kraji. Propad poptávky z východní Evropy byl sice do jisté míry nahrazen zvýšením počtu domácích hostů a návštěvníků z Německa, ale poptávka po cestách do regionu z dalších zemí západní Evropy stagnuje či se dokonce poměrně rychle snižuje. V této situaci, kdy není ani sezónně dosahováno takových počtů návštěvníků, které by byly dostatečné pro zajištění profitabilního provozu letecké linky, ohrožuje reálně možnost spuštění nových linek z letiště v Karlových Varech a tím následně stagnaci celého odvětví cestovního ruchu.</w:t>
      </w:r>
    </w:p>
    <w:p w:rsidR="00005545" w:rsidRDefault="00005545" w:rsidP="002C40B2">
      <w:pPr>
        <w:spacing w:before="200"/>
        <w:rPr>
          <w:b/>
        </w:rPr>
      </w:pPr>
      <w:r>
        <w:rPr>
          <w:b/>
        </w:rPr>
        <w:t>Neochota ostatních subjektů podílet se na finanční podpoře spuštění nových linek z letiště Karlovy Vary</w:t>
      </w:r>
    </w:p>
    <w:p w:rsidR="00005545" w:rsidRDefault="00005545" w:rsidP="002C40B2">
      <w:r>
        <w:t xml:space="preserve">V dnešní době je velice časté, že spoje z regionálních letišť jsou určitým způsobem dotovány/podporovány subjekty, které z toho profitují (kraj, města, podnikatelé aj.). V případě karlovarského letiště se podařilo založit formou zapsaného spolku Sdružení Karlovarského kraje pro rozvoj leteckých linek, jehož zakládajícími členy jsou Karlovarský kraj, Statutární město Karlovy vary a provozovatel letiště, společnost Letiště Karlovy Vary s.r.o. Jediným členem mimo zakládající trojici je Národní dům provozní s.r.o. Naprostá většina subjektů cestovního ruchu stále zapojení do sdružení odmítá. Přitom, jak bylo uvedeno, bez podpory není možné dnes uvažovat o zavedení prakticky žádné linky, zejména pokud by šlo o linky provozované nízkonákladovými dopravci či o tzv. přibližovací (feedingové) linky na uzlová letiště. </w:t>
      </w:r>
    </w:p>
    <w:p w:rsidR="00005545" w:rsidRDefault="00005545" w:rsidP="002C40B2">
      <w:pPr>
        <w:spacing w:before="200"/>
        <w:rPr>
          <w:b/>
          <w:i/>
        </w:rPr>
      </w:pPr>
      <w:r>
        <w:rPr>
          <w:b/>
          <w:i/>
        </w:rPr>
        <w:t>Příčiny</w:t>
      </w:r>
    </w:p>
    <w:p w:rsidR="00005545" w:rsidRDefault="00005545" w:rsidP="002C40B2">
      <w:r>
        <w:t xml:space="preserve">Většina subjektů CR zde působící (města, hotely, lázně) si dostatečně neuvědomují potenciál těchto linek pro růst ekonomiky v kraji. Nízký hospodářský růst minulých let a zejména nepříznivé vyhlídky do blízké budoucnosti limitují ochotu investovat poměrně velké finanční prostředky na podporu takových linek, což je vnímáno jako nejistá nebo nejasně (pro konkrétní subjekt) návratná investice. Ochotu podílet se na financování by mohla zvýšit lepší informovanost zainteresovaných subjektů o pozitivních důsledcích leteckých spojení na ekonomiku kraje a těsnější vzájemná spolupráce. </w:t>
      </w:r>
    </w:p>
    <w:p w:rsidR="00005545" w:rsidRDefault="00005545" w:rsidP="002C40B2">
      <w:pPr>
        <w:spacing w:before="200"/>
        <w:rPr>
          <w:b/>
          <w:i/>
        </w:rPr>
      </w:pPr>
      <w:r>
        <w:rPr>
          <w:b/>
          <w:i/>
        </w:rPr>
        <w:t>Důsledky</w:t>
      </w:r>
    </w:p>
    <w:p w:rsidR="00354242" w:rsidRDefault="00005545" w:rsidP="002C40B2">
      <w:pPr>
        <w:spacing w:before="120" w:after="240"/>
      </w:pPr>
      <w:r>
        <w:t>Přímým důsledkem může být nespuštění nových přímých linek z letiště v Karlových Varech. Zejména se jedná o přibližovací linky, případně linky nízkonákladových dopravců do západní Evropy, které zcela jistě budou vyžadovat nějakou formu finanční podpory. Region tak přichází o možnost oslovit návštěvníky z nových zemí a nestoupne jeho atraktivita pro potenciální nové investory.</w:t>
      </w:r>
    </w:p>
    <w:p w:rsidR="00354242" w:rsidRDefault="00354242">
      <w:pPr>
        <w:spacing w:after="160" w:line="259" w:lineRule="auto"/>
        <w:jc w:val="left"/>
      </w:pPr>
      <w:r>
        <w:br w:type="page"/>
      </w:r>
    </w:p>
    <w:p w:rsidR="00005545" w:rsidRPr="00740587" w:rsidRDefault="00005545" w:rsidP="002C40B2">
      <w:pPr>
        <w:pStyle w:val="Nadpis3"/>
        <w:spacing w:line="276" w:lineRule="auto"/>
      </w:pPr>
      <w:r w:rsidRPr="00740587">
        <w:lastRenderedPageBreak/>
        <w:t xml:space="preserve">Literatura: </w:t>
      </w:r>
    </w:p>
    <w:p w:rsidR="00815A00" w:rsidRDefault="00815A00" w:rsidP="002C40B2">
      <w:pPr>
        <w:spacing w:before="120"/>
      </w:pPr>
      <w:r>
        <w:t xml:space="preserve">Airport Strategy and Marketing (ASM). </w:t>
      </w:r>
      <w:r w:rsidRPr="00815A00">
        <w:rPr>
          <w:i/>
        </w:rPr>
        <w:t>Development of a comprehensive forecast of the passenger market potential for Karlovy Vary Airport</w:t>
      </w:r>
      <w:r>
        <w:rPr>
          <w:i/>
        </w:rPr>
        <w:t xml:space="preserve">. </w:t>
      </w:r>
      <w:r w:rsidRPr="00815A00">
        <w:t>P</w:t>
      </w:r>
      <w:r>
        <w:t>ředběžný draft. 2011.</w:t>
      </w:r>
    </w:p>
    <w:p w:rsidR="00815A00" w:rsidRDefault="00815A00" w:rsidP="002C40B2">
      <w:pPr>
        <w:spacing w:before="120"/>
      </w:pPr>
      <w:r>
        <w:t>Golfer s.r.o.</w:t>
      </w:r>
      <w:r w:rsidRPr="00815A00">
        <w:rPr>
          <w:i/>
        </w:rPr>
        <w:t xml:space="preserve"> Prognóza počtu přepravených osob na letišti Karlovy Vary do roku 2025</w:t>
      </w:r>
      <w:r>
        <w:t>. 2007.</w:t>
      </w:r>
    </w:p>
    <w:p w:rsidR="00815A00" w:rsidRDefault="00815A00" w:rsidP="002C40B2">
      <w:pPr>
        <w:spacing w:before="120"/>
      </w:pPr>
      <w:r>
        <w:t xml:space="preserve">Letiště Karlovy Vary s.r.o. </w:t>
      </w:r>
      <w:r w:rsidRPr="00815A00">
        <w:rPr>
          <w:i/>
        </w:rPr>
        <w:t>Koncepce rozvoje pravidelných leteckých linek na letišti v Karlových Varech v období 2012–2016</w:t>
      </w:r>
      <w:r>
        <w:rPr>
          <w:i/>
        </w:rPr>
        <w:t xml:space="preserve">. </w:t>
      </w:r>
      <w:r>
        <w:t>2011.</w:t>
      </w:r>
    </w:p>
    <w:p w:rsidR="00815A00" w:rsidRDefault="00815A00" w:rsidP="002C40B2">
      <w:pPr>
        <w:spacing w:before="120"/>
      </w:pPr>
      <w:r>
        <w:t xml:space="preserve">Lufthansa Consulting. </w:t>
      </w:r>
      <w:r w:rsidRPr="00815A00">
        <w:rPr>
          <w:i/>
        </w:rPr>
        <w:t>1st interim presentation: Module 1- Market Analysis</w:t>
      </w:r>
      <w:r>
        <w:rPr>
          <w:i/>
        </w:rPr>
        <w:t>.</w:t>
      </w:r>
      <w:r>
        <w:t xml:space="preserve"> 2010.</w:t>
      </w:r>
    </w:p>
    <w:p w:rsidR="00815A00" w:rsidRDefault="00815A00" w:rsidP="002C40B2">
      <w:pPr>
        <w:spacing w:before="120"/>
      </w:pPr>
      <w:r>
        <w:t xml:space="preserve">Mag Consulting s.r.o. </w:t>
      </w:r>
      <w:r w:rsidRPr="00815A00">
        <w:rPr>
          <w:i/>
        </w:rPr>
        <w:t>Studie k ověření potenciálu feedingových letů na letišti Karlovy Vary</w:t>
      </w:r>
      <w:r>
        <w:t>. 2009.</w:t>
      </w:r>
    </w:p>
    <w:p w:rsidR="00005545" w:rsidRDefault="00005545" w:rsidP="002C40B2">
      <w:pPr>
        <w:spacing w:after="160"/>
        <w:jc w:val="left"/>
      </w:pPr>
      <w:r>
        <w:br w:type="page"/>
      </w:r>
    </w:p>
    <w:p w:rsidR="0038370F" w:rsidRPr="00815A00" w:rsidRDefault="005C4721" w:rsidP="00094A5B">
      <w:pPr>
        <w:pStyle w:val="Nadpis1"/>
      </w:pPr>
      <w:bookmarkStart w:id="380" w:name="_Toc321405939"/>
      <w:r w:rsidRPr="00815A00">
        <w:lastRenderedPageBreak/>
        <w:t xml:space="preserve"> </w:t>
      </w:r>
      <w:bookmarkStart w:id="381" w:name="_Toc488233401"/>
      <w:r w:rsidR="0038370F" w:rsidRPr="00815A00">
        <w:t>Kvalita životního prostředí</w:t>
      </w:r>
      <w:bookmarkEnd w:id="380"/>
      <w:bookmarkEnd w:id="381"/>
    </w:p>
    <w:p w:rsidR="0038370F" w:rsidRDefault="0038370F" w:rsidP="00E80595">
      <w:r w:rsidRPr="00AE46CF">
        <w:t>Cílem rozvoje regionu je zlepšení podmínek pro jeho obyvatele</w:t>
      </w:r>
      <w:r w:rsidR="00BE081B">
        <w:t>,</w:t>
      </w:r>
      <w:r w:rsidRPr="00AE46CF">
        <w:t xml:space="preserve"> a to v nejširším slova smyslu. Předpokladem pro dlouhodobý rozvoj není pouze ekonomický růst, který by měl zajišťovat blahobyt obyvatel, ale také kvalita životního prostředí. Kvalitní životní prostředí a atraktivita území se dnes stává stále důležitějším aspektem podmiňujícím </w:t>
      </w:r>
      <w:r>
        <w:t>přitažlivost</w:t>
      </w:r>
      <w:r w:rsidRPr="00AE46CF">
        <w:t xml:space="preserve"> </w:t>
      </w:r>
      <w:r w:rsidR="00BE081B">
        <w:t xml:space="preserve">kraje </w:t>
      </w:r>
      <w:r w:rsidRPr="00AE46CF">
        <w:t xml:space="preserve">pro obyvatele a investory, ačkoliv sama o sobě nepřevýší dobré podmínky pro ekonomický rozvoj. Karlovarský kraj má v tomto ohledu nepříliš příznivý </w:t>
      </w:r>
      <w:r>
        <w:t>obraz</w:t>
      </w:r>
      <w:r w:rsidRPr="00AE46CF">
        <w:t>, neboť některá území jsou poznamenána povrchovou těžbou a navázanými energetickými a průmyslovými podniky</w:t>
      </w:r>
      <w:r w:rsidR="00511BDE">
        <w:t xml:space="preserve"> N</w:t>
      </w:r>
      <w:r w:rsidRPr="00AE46CF">
        <w:t>a druhou stranu je zde trojúhelník lázeňských měst a relativně zachovalé přírodní oblasti v jižní části kraje.</w:t>
      </w:r>
      <w:r>
        <w:t xml:space="preserve"> Celkové zatížení životního prostředí v kraji lze považovat za zvýšené. </w:t>
      </w:r>
    </w:p>
    <w:p w:rsidR="0038370F" w:rsidRPr="00815A00" w:rsidRDefault="0038370F" w:rsidP="002C40B2">
      <w:pPr>
        <w:pStyle w:val="Nadpis2"/>
      </w:pPr>
      <w:r w:rsidRPr="00815A00">
        <w:t xml:space="preserve">Vodní toky </w:t>
      </w:r>
    </w:p>
    <w:p w:rsidR="0038370F" w:rsidRDefault="0038370F" w:rsidP="002C40B2">
      <w:pPr>
        <w:spacing w:after="60"/>
        <w:rPr>
          <w:rFonts w:asciiTheme="minorHAnsi" w:eastAsiaTheme="minorHAnsi" w:hAnsiTheme="minorHAnsi" w:cs="Times New Roman"/>
          <w:lang w:eastAsia="en-US"/>
        </w:rPr>
      </w:pPr>
      <w:r w:rsidRPr="0072023D">
        <w:rPr>
          <w:rFonts w:asciiTheme="minorHAnsi" w:eastAsiaTheme="minorHAnsi" w:hAnsiTheme="minorHAnsi" w:cs="Times New Roman"/>
          <w:lang w:eastAsia="en-US"/>
        </w:rPr>
        <w:t>Hustota říční sítě na území Karlovarského kraje je 1,4 km/km</w:t>
      </w:r>
      <w:r w:rsidRPr="0072023D">
        <w:rPr>
          <w:rFonts w:asciiTheme="minorHAnsi" w:eastAsiaTheme="minorHAnsi" w:hAnsiTheme="minorHAnsi" w:cs="Times New Roman"/>
          <w:vertAlign w:val="superscript"/>
          <w:lang w:eastAsia="en-US"/>
        </w:rPr>
        <w:t>2</w:t>
      </w:r>
      <w:r w:rsidRPr="0072023D">
        <w:rPr>
          <w:rFonts w:asciiTheme="minorHAnsi" w:eastAsiaTheme="minorHAnsi" w:hAnsiTheme="minorHAnsi" w:cs="Times New Roman"/>
          <w:lang w:eastAsia="en-US"/>
        </w:rPr>
        <w:t xml:space="preserve">, což je mírně nad průměrem ČR </w:t>
      </w:r>
      <w:r w:rsidRPr="0072023D">
        <w:rPr>
          <w:rFonts w:asciiTheme="minorHAnsi" w:eastAsiaTheme="minorHAnsi" w:hAnsiTheme="minorHAnsi" w:cs="Times New Roman"/>
          <w:lang w:eastAsia="en-US"/>
        </w:rPr>
        <w:br/>
        <w:t>(1,25 km/ km</w:t>
      </w:r>
      <w:r w:rsidRPr="0072023D">
        <w:rPr>
          <w:rFonts w:asciiTheme="minorHAnsi" w:eastAsiaTheme="minorHAnsi" w:hAnsiTheme="minorHAnsi" w:cs="Times New Roman"/>
          <w:vertAlign w:val="superscript"/>
          <w:lang w:eastAsia="en-US"/>
        </w:rPr>
        <w:t>2</w:t>
      </w:r>
      <w:r w:rsidRPr="0072023D">
        <w:rPr>
          <w:rFonts w:asciiTheme="minorHAnsi" w:eastAsiaTheme="minorHAnsi" w:hAnsiTheme="minorHAnsi" w:cs="Times New Roman"/>
          <w:lang w:eastAsia="en-US"/>
        </w:rPr>
        <w:t>).</w:t>
      </w:r>
      <w:r w:rsidRPr="0072023D">
        <w:rPr>
          <w:rFonts w:asciiTheme="minorHAnsi" w:hAnsiTheme="minorHAnsi"/>
        </w:rPr>
        <w:t xml:space="preserve"> </w:t>
      </w:r>
      <w:r w:rsidRPr="0072023D">
        <w:rPr>
          <w:rFonts w:asciiTheme="minorHAnsi" w:eastAsiaTheme="minorHAnsi" w:hAnsiTheme="minorHAnsi" w:cs="Times New Roman"/>
          <w:lang w:eastAsia="en-US"/>
        </w:rPr>
        <w:t>Téměř celé území Karlovarského kraje náleží do povodí řeky Ohře (74,3 %). Jihovýchodní oblasti kraje náleží do povodí řek</w:t>
      </w:r>
      <w:r w:rsidR="00BE081B">
        <w:rPr>
          <w:rFonts w:asciiTheme="minorHAnsi" w:eastAsiaTheme="minorHAnsi" w:hAnsiTheme="minorHAnsi" w:cs="Times New Roman"/>
          <w:lang w:eastAsia="en-US"/>
        </w:rPr>
        <w:t>y</w:t>
      </w:r>
      <w:r w:rsidRPr="0072023D">
        <w:rPr>
          <w:rFonts w:asciiTheme="minorHAnsi" w:eastAsiaTheme="minorHAnsi" w:hAnsiTheme="minorHAnsi" w:cs="Times New Roman"/>
          <w:lang w:eastAsia="en-US"/>
        </w:rPr>
        <w:t xml:space="preserve"> Berounky. Část Ašského výběžku </w:t>
      </w:r>
      <w:r w:rsidRPr="0072023D">
        <w:rPr>
          <w:rFonts w:asciiTheme="minorHAnsi" w:eastAsiaTheme="minorHAnsi" w:hAnsiTheme="minorHAnsi" w:cs="Times New Roman"/>
          <w:lang w:eastAsia="en-US"/>
        </w:rPr>
        <w:br/>
        <w:t xml:space="preserve">a Krušných hor od spojnice Klínovec – Horní Blatná jsou odvodňovány na území Spolkové republiky Německo (5,3 %). </w:t>
      </w:r>
    </w:p>
    <w:p w:rsidR="0038370F" w:rsidRDefault="0038370F" w:rsidP="000B3B9C">
      <w:pPr>
        <w:pStyle w:val="Titulek"/>
      </w:pPr>
      <w:bookmarkStart w:id="382" w:name="_Toc488234399"/>
      <w:r>
        <w:t xml:space="preserve">Obrázek </w:t>
      </w:r>
      <w:r w:rsidR="008965FE">
        <w:fldChar w:fldCharType="begin"/>
      </w:r>
      <w:r w:rsidR="00034D74">
        <w:instrText xml:space="preserve"> STYLEREF 1 \s </w:instrText>
      </w:r>
      <w:r w:rsidR="008965FE">
        <w:fldChar w:fldCharType="separate"/>
      </w:r>
      <w:r w:rsidR="00CB29BD">
        <w:t>16</w:t>
      </w:r>
      <w:r w:rsidR="008965FE">
        <w:fldChar w:fldCharType="end"/>
      </w:r>
      <w:r w:rsidR="00034D74">
        <w:t>.</w:t>
      </w:r>
      <w:r w:rsidR="008965FE">
        <w:fldChar w:fldCharType="begin"/>
      </w:r>
      <w:r w:rsidR="00034D74">
        <w:instrText xml:space="preserve"> SEQ Obrázek \* ARABIC \s 1 </w:instrText>
      </w:r>
      <w:r w:rsidR="008965FE">
        <w:fldChar w:fldCharType="separate"/>
      </w:r>
      <w:r w:rsidR="00CB29BD">
        <w:t>1</w:t>
      </w:r>
      <w:r w:rsidR="008965FE">
        <w:fldChar w:fldCharType="end"/>
      </w:r>
      <w:r>
        <w:t xml:space="preserve">: </w:t>
      </w:r>
      <w:r w:rsidRPr="0072023D">
        <w:t>Jakost vody v tocích, 2013</w:t>
      </w:r>
      <w:r>
        <w:t xml:space="preserve"> </w:t>
      </w:r>
      <w:r w:rsidRPr="0072023D">
        <w:t>–</w:t>
      </w:r>
      <w:r>
        <w:t xml:space="preserve"> </w:t>
      </w:r>
      <w:r w:rsidRPr="0072023D">
        <w:t>2014</w:t>
      </w:r>
      <w:bookmarkEnd w:id="382"/>
    </w:p>
    <w:p w:rsidR="0038370F" w:rsidRDefault="0038370F" w:rsidP="002C40B2">
      <w:pPr>
        <w:spacing w:after="60"/>
        <w:rPr>
          <w:rFonts w:asciiTheme="minorHAnsi" w:eastAsiaTheme="minorHAnsi" w:hAnsiTheme="minorHAnsi" w:cs="Times New Roman"/>
          <w:lang w:eastAsia="en-US"/>
        </w:rPr>
      </w:pPr>
      <w:r w:rsidRPr="0072023D">
        <w:rPr>
          <w:noProof/>
        </w:rPr>
        <w:drawing>
          <wp:inline distT="0" distB="0" distL="0" distR="0">
            <wp:extent cx="5753100" cy="2770268"/>
            <wp:effectExtent l="19050" t="19050" r="19050" b="1143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cstate="print">
                      <a:extLst>
                        <a:ext uri="{28A0092B-C50C-407E-A947-70E740481C1C}">
                          <a14:useLocalDpi xmlns:a14="http://schemas.microsoft.com/office/drawing/2010/main" val="0"/>
                        </a:ext>
                      </a:extLst>
                    </a:blip>
                    <a:srcRect/>
                    <a:stretch/>
                  </pic:blipFill>
                  <pic:spPr bwMode="auto">
                    <a:xfrm>
                      <a:off x="0" y="0"/>
                      <a:ext cx="5760720" cy="277393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38370F" w:rsidRPr="003F0A55" w:rsidRDefault="0038370F" w:rsidP="002C40B2">
      <w:pPr>
        <w:pStyle w:val="poznzdroj"/>
        <w:spacing w:after="0" w:line="276" w:lineRule="auto"/>
      </w:pPr>
      <w:r w:rsidRPr="003F0A55">
        <w:t>Pozn</w:t>
      </w:r>
      <w:r w:rsidR="003F0A55">
        <w:t>ámka</w:t>
      </w:r>
      <w:r w:rsidRPr="003F0A55">
        <w:t xml:space="preserve">: Mapa je sestavena na základě výsledného zatřídění jednotlivých profilů podle normy ČSN 75 7221, bodové zdroje znečištění jsou uvedeny dle IRZ za ohlašovací rok 2013. </w:t>
      </w:r>
    </w:p>
    <w:p w:rsidR="0038370F" w:rsidRPr="003F0A55" w:rsidRDefault="0038370F" w:rsidP="002C40B2">
      <w:pPr>
        <w:pStyle w:val="poznzdroj"/>
        <w:spacing w:before="0" w:line="276" w:lineRule="auto"/>
      </w:pPr>
      <w:r w:rsidRPr="003F0A55">
        <w:t>Zdroj: VÚV T.G.M., v.v.i. z podkladů s.p. Povodí, CENIA</w:t>
      </w:r>
    </w:p>
    <w:p w:rsidR="0038370F" w:rsidRPr="0072023D" w:rsidRDefault="0038370F" w:rsidP="002C40B2">
      <w:pPr>
        <w:spacing w:after="60"/>
      </w:pPr>
      <w:r>
        <w:t>Jak lze vidět na obrázku výše, v</w:t>
      </w:r>
      <w:r w:rsidRPr="0072023D">
        <w:t>e vodních tocích Karlovarského kraje převládá neznečištěná nebo jen mírně znečištěná voda. Znečištěná voda (III. třída jakosti) byla za období 2013</w:t>
      </w:r>
      <w:r>
        <w:t xml:space="preserve"> </w:t>
      </w:r>
      <w:r w:rsidRPr="0072023D">
        <w:t>–</w:t>
      </w:r>
      <w:r>
        <w:t xml:space="preserve"> </w:t>
      </w:r>
      <w:r w:rsidRPr="0072023D">
        <w:t xml:space="preserve">2014 vyhodnocena pouze na toku Ohře pod Karlovými Vary. </w:t>
      </w:r>
      <w:r>
        <w:t xml:space="preserve">Za období 2014 - 2015 byly vyhodnoceny jako znečištěné </w:t>
      </w:r>
      <w:r w:rsidR="00F12210">
        <w:t xml:space="preserve">úseky </w:t>
      </w:r>
      <w:r>
        <w:t xml:space="preserve">vody (III. třída jakosti) na toku Ohře za vodní nádrží Skalka a na vodním toku Bílý Halštrov v Ašském výběžku. </w:t>
      </w:r>
      <w:r w:rsidRPr="0072023D">
        <w:t xml:space="preserve">Kromě znečištění z bodových zdrojů (ČOV, vypouštění důlních vod) ovlivňuje výslednou jakost vod, a tím i stav vodních útvarů, plošné znečištění povrchových vod. </w:t>
      </w:r>
      <w:r w:rsidRPr="0072023D">
        <w:lastRenderedPageBreak/>
        <w:t xml:space="preserve">Nejvýznamnějším zdrojem plošného znečištění je rostlinná výroba v zemědělství (dusík, fosfor a pesticidy), významné jsou také vstupy atmosférickou depozicí (dusík). Zhoršený ekologický a chemický stav vykazují v Karlovarském kraji kromě řeky Ohře dále např. vodní toky: </w:t>
      </w:r>
      <w:r>
        <w:t xml:space="preserve">Teplá, Rolava, </w:t>
      </w:r>
      <w:r w:rsidRPr="0072023D">
        <w:t>Svatava, Chodovský potok, Plesná, Libocký potok, Jáchymovský potok, Kosový potok, Střela.</w:t>
      </w:r>
    </w:p>
    <w:p w:rsidR="0038370F" w:rsidRPr="0072023D" w:rsidRDefault="0038370F" w:rsidP="002C40B2">
      <w:pPr>
        <w:spacing w:after="60"/>
      </w:pPr>
      <w:r>
        <w:t>V</w:t>
      </w:r>
      <w:r w:rsidRPr="0072023D">
        <w:t xml:space="preserve"> Karlovarském kraji </w:t>
      </w:r>
      <w:r>
        <w:t xml:space="preserve">je nutné stále </w:t>
      </w:r>
      <w:r w:rsidRPr="0072023D">
        <w:t>postupně zlepš</w:t>
      </w:r>
      <w:r>
        <w:t>ovat jakost povrchových vod</w:t>
      </w:r>
      <w:r w:rsidRPr="0072023D">
        <w:t>. To může být</w:t>
      </w:r>
      <w:r w:rsidR="00BB4373">
        <w:t xml:space="preserve"> prováděno </w:t>
      </w:r>
      <w:r>
        <w:t>zejména podporou</w:t>
      </w:r>
      <w:r w:rsidRPr="0072023D">
        <w:t xml:space="preserve"> opatření </w:t>
      </w:r>
      <w:r w:rsidR="00BB4373">
        <w:t>v oblasti čištění odpadních vod</w:t>
      </w:r>
      <w:r w:rsidRPr="0072023D">
        <w:t>.</w:t>
      </w:r>
      <w:r>
        <w:t xml:space="preserve"> Dále by bylo žádoucí podpořit projekt německé (bavorské) strany ohledně odstranění znečištění rtutí v sedimentech vodních toků přitékajících z Německa do našeho kraje (zejména Ohře – Skalka).</w:t>
      </w:r>
    </w:p>
    <w:p w:rsidR="0038370F" w:rsidRPr="009D5DD5" w:rsidRDefault="0038370F" w:rsidP="002C40B2">
      <w:pPr>
        <w:pStyle w:val="Nadpis2"/>
      </w:pPr>
      <w:r w:rsidRPr="009D5DD5">
        <w:t>Zdroje vody a jejich potřeba</w:t>
      </w:r>
    </w:p>
    <w:p w:rsidR="0038370F" w:rsidRDefault="0038370F" w:rsidP="00050F78">
      <w:r>
        <w:t>Kromě říční sítě tvoří významnou součást zdrojů vody Karlovarského kraje i vodní nádrže a rybníky. Nejvíce</w:t>
      </w:r>
      <w:r w:rsidRPr="0067789E">
        <w:t xml:space="preserve"> rozsáhlejších vodních ploch </w:t>
      </w:r>
      <w:r>
        <w:t>se nachází</w:t>
      </w:r>
      <w:r w:rsidRPr="0067789E">
        <w:t xml:space="preserve"> v ORP Cheb, </w:t>
      </w:r>
      <w:r>
        <w:t>a to</w:t>
      </w:r>
      <w:r w:rsidRPr="0067789E">
        <w:t xml:space="preserve"> vodní nádrže Jesenice (760 ha) a Skalka (378 ha), naopak </w:t>
      </w:r>
      <w:r>
        <w:t>nejméně</w:t>
      </w:r>
      <w:r w:rsidRPr="0067789E">
        <w:t xml:space="preserve"> vodních ploch je v  ORP Aš. Jako vodárenské slouží nádrže Mariánské Lázně, Žlutice, Horka, Podhora, Stanovice a Myslivny.</w:t>
      </w:r>
      <w:r>
        <w:t xml:space="preserve"> Významné jsou i rybniční soustavy, a to především na Bochovsku, Ostrovsku, Tepelsku a v okolí Františkových Lázní. </w:t>
      </w:r>
      <w:r w:rsidRPr="0067789E">
        <w:t>V souvislosti s rekultivacemi území po těžbě vznik</w:t>
      </w:r>
      <w:r>
        <w:t>ly</w:t>
      </w:r>
      <w:r w:rsidRPr="0067789E">
        <w:t xml:space="preserve"> na Sokolovsku rozsáhlé nové vodní plochy </w:t>
      </w:r>
      <w:r>
        <w:t xml:space="preserve">- vodní nádrž Michal (30 ha) a </w:t>
      </w:r>
      <w:r w:rsidRPr="0067789E">
        <w:t xml:space="preserve">Medard </w:t>
      </w:r>
      <w:r>
        <w:t>(</w:t>
      </w:r>
      <w:r w:rsidRPr="0067789E">
        <w:t>495,76 ha)</w:t>
      </w:r>
      <w:r>
        <w:t xml:space="preserve">. V Karlovarském kraji se nachází také významné zdroje podzemních vod, a to v oblasti Chebská pánev – Slavkovský les, a minerálních vod v oblastech Františkových Lázní, Mariánských Lázní a Karlových Varů, a to převážně studených pramenů spolu se vzácnými vývěry termální vody. </w:t>
      </w:r>
    </w:p>
    <w:p w:rsidR="0038370F" w:rsidRDefault="0038370F" w:rsidP="002C40B2">
      <w:r w:rsidRPr="0072023D">
        <w:t xml:space="preserve">Karlovarský kraj má od roku 2009 zpracovanou </w:t>
      </w:r>
      <w:r w:rsidRPr="0072023D">
        <w:rPr>
          <w:i/>
        </w:rPr>
        <w:t xml:space="preserve">Výhledovou studii potřeb a zdrojů vody </w:t>
      </w:r>
      <w:r w:rsidRPr="0072023D">
        <w:rPr>
          <w:i/>
        </w:rPr>
        <w:br/>
        <w:t>v Karlovarském kraj</w:t>
      </w:r>
      <w:r>
        <w:rPr>
          <w:i/>
        </w:rPr>
        <w:t>i</w:t>
      </w:r>
      <w:r w:rsidRPr="0036415C">
        <w:t>, která</w:t>
      </w:r>
      <w:r>
        <w:rPr>
          <w:i/>
        </w:rPr>
        <w:t xml:space="preserve"> </w:t>
      </w:r>
      <w:r w:rsidRPr="0072023D">
        <w:t>pop</w:t>
      </w:r>
      <w:r>
        <w:t>isuje</w:t>
      </w:r>
      <w:r w:rsidRPr="0072023D">
        <w:t xml:space="preserve"> současné podmínky zdrojů a potřeb vody a posoudila je z hlediska budoucího vývoje, tedy v horizontu dvaceti let a dále.</w:t>
      </w:r>
      <w:r>
        <w:t xml:space="preserve"> V roce 2016 bylo součástí Generelu 6 výhledových vodních nádrží (Dvorečky, Chaloupky, Mnichov – jako náhrada za původní Poutnov, Skřiváň, Hlubocká pila a Mětikalov). </w:t>
      </w:r>
    </w:p>
    <w:p w:rsidR="0038370F" w:rsidRDefault="0038370F" w:rsidP="002C40B2">
      <w:pPr>
        <w:pStyle w:val="Nadpis2"/>
      </w:pPr>
      <w:r w:rsidRPr="009D5DD5">
        <w:t>Ochrana před povodněmi</w:t>
      </w:r>
    </w:p>
    <w:p w:rsidR="0038370F" w:rsidRPr="0072023D" w:rsidRDefault="0038370F" w:rsidP="002C40B2">
      <w:r w:rsidRPr="0072023D">
        <w:t>V Karlovarském kraji došlo k významným povodňovým událostem zejména v roce 2011 a v roce 2013.</w:t>
      </w:r>
      <w:r>
        <w:t xml:space="preserve"> </w:t>
      </w:r>
      <w:r w:rsidRPr="0067789E">
        <w:t>Na území Karlovarského kraje nejsou stanovena prioritní území z hlediska povodní, kterým by měla být věnována zvláštní pozorn</w:t>
      </w:r>
      <w:r>
        <w:t>ost</w:t>
      </w:r>
      <w:r w:rsidRPr="0067789E">
        <w:t xml:space="preserve">. </w:t>
      </w:r>
      <w:r w:rsidRPr="0072023D">
        <w:t>Karlovarský kraj v rámci povodňové ochrany průběžně zpracovává studie či plány, resp. jejich aktualizace. V roce 2015 byly aktuální tyto koncepční dokumenty:</w:t>
      </w:r>
    </w:p>
    <w:p w:rsidR="0038370F" w:rsidRPr="0072023D" w:rsidRDefault="0038370F" w:rsidP="002C40B2">
      <w:pPr>
        <w:pStyle w:val="Odstavecseseznamem"/>
        <w:numPr>
          <w:ilvl w:val="1"/>
          <w:numId w:val="5"/>
        </w:numPr>
        <w:ind w:left="709" w:hanging="709"/>
      </w:pPr>
      <w:r w:rsidRPr="009D5DD5">
        <w:rPr>
          <w:i/>
        </w:rPr>
        <w:t xml:space="preserve">Strategie ochrany před povodněmi Karlovarského kraje, </w:t>
      </w:r>
      <w:r w:rsidRPr="0072023D">
        <w:t>v roce 2017 je plánována její další aktualizace</w:t>
      </w:r>
      <w:r>
        <w:t>.</w:t>
      </w:r>
    </w:p>
    <w:p w:rsidR="0038370F" w:rsidRPr="0072023D" w:rsidRDefault="0038370F" w:rsidP="002C40B2">
      <w:pPr>
        <w:pStyle w:val="Odstavecseseznamem"/>
        <w:numPr>
          <w:ilvl w:val="1"/>
          <w:numId w:val="5"/>
        </w:numPr>
        <w:ind w:left="709" w:hanging="709"/>
      </w:pPr>
      <w:r w:rsidRPr="009D5DD5">
        <w:rPr>
          <w:i/>
        </w:rPr>
        <w:t xml:space="preserve">Digitální povodňový plán Karlovarského kraje </w:t>
      </w:r>
      <w:r w:rsidRPr="00A67B82">
        <w:t>– s podrobností do území obcí s rozšířenou působností</w:t>
      </w:r>
      <w:r>
        <w:t>:</w:t>
      </w:r>
      <w:r w:rsidRPr="00A67B82">
        <w:t xml:space="preserve"> Aš, Cheb, Karlovy Vary, Sokolov,</w:t>
      </w:r>
      <w:r w:rsidRPr="00AE582D">
        <w:t xml:space="preserve"> Ostrov, Mariánské Lázně a Kraslice. </w:t>
      </w:r>
    </w:p>
    <w:p w:rsidR="0038370F" w:rsidRPr="0072023D" w:rsidRDefault="0038370F" w:rsidP="002C40B2">
      <w:pPr>
        <w:pStyle w:val="Odstavecseseznamem"/>
        <w:numPr>
          <w:ilvl w:val="1"/>
          <w:numId w:val="5"/>
        </w:numPr>
        <w:ind w:left="709" w:hanging="709"/>
      </w:pPr>
      <w:r w:rsidRPr="0036415C">
        <w:t>Studie Karlovarského kraje</w:t>
      </w:r>
      <w:r w:rsidRPr="009D5DD5">
        <w:rPr>
          <w:i/>
        </w:rPr>
        <w:t xml:space="preserve"> Riziková území při extrémních přívalových srážkách</w:t>
      </w:r>
      <w:r w:rsidRPr="0072023D">
        <w:t xml:space="preserve">. </w:t>
      </w:r>
    </w:p>
    <w:p w:rsidR="0038370F" w:rsidRDefault="0038370F" w:rsidP="002C40B2">
      <w:pPr>
        <w:spacing w:after="60"/>
      </w:pPr>
      <w:r w:rsidRPr="0072023D">
        <w:t xml:space="preserve">Karlovarský kraj, a to i v rámci krajské povodňové komise, zpracovává také řadu metodických dokumentů a informací </w:t>
      </w:r>
      <w:r>
        <w:t xml:space="preserve">a </w:t>
      </w:r>
      <w:r w:rsidRPr="0072023D">
        <w:t xml:space="preserve">od roku 2015 spravuje tzv. </w:t>
      </w:r>
      <w:r w:rsidRPr="0072023D">
        <w:rPr>
          <w:i/>
        </w:rPr>
        <w:t xml:space="preserve">povodňový portál </w:t>
      </w:r>
      <w:r w:rsidRPr="009B3607">
        <w:rPr>
          <w:i/>
        </w:rPr>
        <w:t>kraje (http://</w:t>
      </w:r>
      <w:r w:rsidRPr="009B3607">
        <w:rPr>
          <w:rStyle w:val="CittHTML"/>
          <w:rFonts w:eastAsia="Calibri" w:cs="Arial"/>
        </w:rPr>
        <w:t>povodne.kr-karlovarsky.cz)</w:t>
      </w:r>
      <w:r w:rsidRPr="009B3607">
        <w:t xml:space="preserve">, kde jsou na jednom místě přehledně uvedeny všechny důležité informace k ochraně před povodněmi, a to jak preventivní, tak aktuální. Všechny povodňové studie, plány </w:t>
      </w:r>
      <w:r>
        <w:t>a</w:t>
      </w:r>
      <w:r w:rsidRPr="0072023D">
        <w:t xml:space="preserve"> metodické </w:t>
      </w:r>
      <w:r w:rsidRPr="0072023D">
        <w:lastRenderedPageBreak/>
        <w:t>pomůcky je nutné udržovat aktuální, aby ochrana před povodněmi byla efektivní.</w:t>
      </w:r>
      <w:r w:rsidR="00AE54D1">
        <w:t xml:space="preserve"> Záplavové oblasti na území KK jsou vyznačena na </w:t>
      </w:r>
      <w:r w:rsidR="003E6BE0">
        <w:t>obrázku níže.</w:t>
      </w:r>
    </w:p>
    <w:p w:rsidR="009E424D" w:rsidRDefault="001B20A8" w:rsidP="009B420D">
      <w:pPr>
        <w:pStyle w:val="Titulek"/>
        <w:spacing w:before="240" w:after="0"/>
      </w:pPr>
      <w:bookmarkStart w:id="383" w:name="_Ref469051620"/>
      <w:bookmarkStart w:id="384" w:name="_Toc488234400"/>
      <w:r>
        <w:t xml:space="preserve">Obrázek </w:t>
      </w:r>
      <w:r w:rsidR="008965FE">
        <w:fldChar w:fldCharType="begin"/>
      </w:r>
      <w:r w:rsidR="00564668">
        <w:instrText xml:space="preserve"> STYLEREF 1 \s </w:instrText>
      </w:r>
      <w:r w:rsidR="008965FE">
        <w:fldChar w:fldCharType="separate"/>
      </w:r>
      <w:r w:rsidR="00CB29BD">
        <w:t>16</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2</w:t>
      </w:r>
      <w:r w:rsidR="008965FE">
        <w:fldChar w:fldCharType="end"/>
      </w:r>
      <w:bookmarkEnd w:id="383"/>
      <w:r>
        <w:t>: Záplavová území Karlovarského kraje</w:t>
      </w:r>
      <w:bookmarkEnd w:id="384"/>
    </w:p>
    <w:p w:rsidR="001B20A8" w:rsidRPr="009D5DD5" w:rsidRDefault="00050F78" w:rsidP="00050F78">
      <w:pPr>
        <w:spacing w:before="240"/>
        <w:rPr>
          <w:rStyle w:val="Zdraznnjemn"/>
        </w:rPr>
      </w:pPr>
      <w:r w:rsidRPr="0067789E">
        <w:rPr>
          <w:noProof/>
        </w:rPr>
        <w:drawing>
          <wp:anchor distT="0" distB="0" distL="114300" distR="114300" simplePos="0" relativeHeight="251681792" behindDoc="1" locked="0" layoutInCell="1" allowOverlap="1">
            <wp:simplePos x="0" y="0"/>
            <wp:positionH relativeFrom="margin">
              <wp:posOffset>-6350</wp:posOffset>
            </wp:positionH>
            <wp:positionV relativeFrom="paragraph">
              <wp:posOffset>111125</wp:posOffset>
            </wp:positionV>
            <wp:extent cx="5038725" cy="3618230"/>
            <wp:effectExtent l="19050" t="19050" r="28575" b="20320"/>
            <wp:wrapTopAndBottom/>
            <wp:docPr id="12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UAPk - schema  záplavová území"/>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a:stretch/>
                  </pic:blipFill>
                  <pic:spPr bwMode="auto">
                    <a:xfrm>
                      <a:off x="0" y="0"/>
                      <a:ext cx="5038725" cy="361823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anchor>
        </w:drawing>
      </w:r>
      <w:r w:rsidR="001B20A8" w:rsidRPr="009D5DD5">
        <w:rPr>
          <w:rStyle w:val="Zdraznnjemn"/>
        </w:rPr>
        <w:t>Zdroj: ÚAP 2015</w:t>
      </w:r>
    </w:p>
    <w:p w:rsidR="0038370F" w:rsidRPr="00AE54D1" w:rsidRDefault="0038370F" w:rsidP="002C40B2">
      <w:pPr>
        <w:pStyle w:val="Nadpis2"/>
      </w:pPr>
      <w:r w:rsidRPr="00AE54D1">
        <w:t>Problematika sucha</w:t>
      </w:r>
    </w:p>
    <w:p w:rsidR="0038370F" w:rsidRDefault="0038370F" w:rsidP="00F12210">
      <w:pPr>
        <w:rPr>
          <w:rFonts w:eastAsia="Calibri"/>
          <w:lang w:eastAsia="en-US"/>
        </w:rPr>
      </w:pPr>
      <w:r w:rsidRPr="0072023D">
        <w:rPr>
          <w:rFonts w:eastAsia="Calibri"/>
          <w:lang w:eastAsia="en-US"/>
        </w:rPr>
        <w:t>S přicházejícími klimatickými změnami se v Karlovarském kraji, stejně jako i</w:t>
      </w:r>
      <w:r>
        <w:rPr>
          <w:rFonts w:eastAsia="Calibri"/>
          <w:lang w:eastAsia="en-US"/>
        </w:rPr>
        <w:t xml:space="preserve"> jinde</w:t>
      </w:r>
      <w:r w:rsidRPr="0072023D">
        <w:rPr>
          <w:rFonts w:eastAsia="Calibri"/>
          <w:lang w:eastAsia="en-US"/>
        </w:rPr>
        <w:t xml:space="preserve"> v České republice, resp. i v dalších částech světa, začínají stále častěji objevovat kromě povodní také extrémně klimaticky suchá období (tzv. klimatické sucho). </w:t>
      </w:r>
      <w:r>
        <w:rPr>
          <w:rFonts w:eastAsia="Calibri"/>
          <w:lang w:eastAsia="en-US"/>
        </w:rPr>
        <w:t xml:space="preserve">Ta společně </w:t>
      </w:r>
      <w:r w:rsidRPr="0072023D">
        <w:rPr>
          <w:rFonts w:eastAsia="Calibri"/>
          <w:lang w:eastAsia="en-US"/>
        </w:rPr>
        <w:t>s dalšími negativními vlivy klimatický</w:t>
      </w:r>
      <w:r>
        <w:rPr>
          <w:rFonts w:eastAsia="Calibri"/>
          <w:lang w:eastAsia="en-US"/>
        </w:rPr>
        <w:t xml:space="preserve">ch </w:t>
      </w:r>
      <w:r w:rsidRPr="0072023D">
        <w:rPr>
          <w:rFonts w:eastAsia="Calibri"/>
          <w:lang w:eastAsia="en-US"/>
        </w:rPr>
        <w:t>změn</w:t>
      </w:r>
      <w:r>
        <w:rPr>
          <w:rFonts w:eastAsia="Calibri"/>
          <w:lang w:eastAsia="en-US"/>
        </w:rPr>
        <w:t xml:space="preserve"> </w:t>
      </w:r>
      <w:r w:rsidRPr="0072023D">
        <w:rPr>
          <w:rFonts w:eastAsia="Calibri"/>
          <w:lang w:eastAsia="en-US"/>
        </w:rPr>
        <w:t>způsobují dlouhodobé snižování zásob podzemních vod, které následně urychluje výskyt půdního a hydrologického</w:t>
      </w:r>
      <w:r>
        <w:rPr>
          <w:rFonts w:eastAsia="Calibri"/>
          <w:lang w:eastAsia="en-US"/>
        </w:rPr>
        <w:t xml:space="preserve"> sucha</w:t>
      </w:r>
      <w:r w:rsidRPr="0072023D">
        <w:rPr>
          <w:rFonts w:eastAsia="Calibri"/>
          <w:lang w:eastAsia="en-US"/>
        </w:rPr>
        <w:t>. V případě, že sucho již nastane, není takřka možné proti němu bojovat. Je proto nutné, aby se lidská společnost naučila těmto projevům předcházet a začala korigovat své využívání krajiny (zejména zemědělské) a přírodních zdrojů.</w:t>
      </w:r>
      <w:r>
        <w:rPr>
          <w:rFonts w:eastAsia="Calibri"/>
          <w:lang w:eastAsia="en-US"/>
        </w:rPr>
        <w:t xml:space="preserve"> </w:t>
      </w:r>
      <w:r w:rsidRPr="0072023D">
        <w:rPr>
          <w:rFonts w:eastAsia="Calibri"/>
          <w:lang w:eastAsia="en-US"/>
        </w:rPr>
        <w:t>Karlovarský kraj</w:t>
      </w:r>
      <w:r>
        <w:rPr>
          <w:rFonts w:eastAsia="Calibri"/>
          <w:lang w:eastAsia="en-US"/>
        </w:rPr>
        <w:t xml:space="preserve"> </w:t>
      </w:r>
      <w:r w:rsidRPr="0072023D">
        <w:rPr>
          <w:rFonts w:eastAsia="Calibri"/>
          <w:lang w:eastAsia="en-US"/>
        </w:rPr>
        <w:t xml:space="preserve">je krajem životně závislým na dostatečném množství povrchových i podzemních vod. </w:t>
      </w:r>
      <w:r>
        <w:rPr>
          <w:rFonts w:eastAsia="Calibri"/>
          <w:lang w:eastAsia="en-US"/>
        </w:rPr>
        <w:t>J</w:t>
      </w:r>
      <w:r w:rsidRPr="0072023D">
        <w:rPr>
          <w:rFonts w:eastAsia="Calibri"/>
          <w:lang w:eastAsia="en-US"/>
        </w:rPr>
        <w:t xml:space="preserve">e </w:t>
      </w:r>
      <w:r>
        <w:rPr>
          <w:rFonts w:eastAsia="Calibri"/>
          <w:lang w:eastAsia="en-US"/>
        </w:rPr>
        <w:t xml:space="preserve">proto </w:t>
      </w:r>
      <w:r w:rsidRPr="0072023D">
        <w:rPr>
          <w:rFonts w:eastAsia="Calibri"/>
          <w:lang w:eastAsia="en-US"/>
        </w:rPr>
        <w:t>nutné, aby bylo započato s přípravou a realizací opatření, která bezpečně zajistí trval</w:t>
      </w:r>
      <w:r>
        <w:rPr>
          <w:rFonts w:eastAsia="Calibri"/>
          <w:lang w:eastAsia="en-US"/>
        </w:rPr>
        <w:t>e</w:t>
      </w:r>
      <w:r w:rsidRPr="0072023D">
        <w:rPr>
          <w:rFonts w:eastAsia="Calibri"/>
          <w:lang w:eastAsia="en-US"/>
        </w:rPr>
        <w:t xml:space="preserve"> udržitelné zemědělské, lesnické, rekreační a lázeňské užívání krajiny</w:t>
      </w:r>
      <w:r>
        <w:rPr>
          <w:rFonts w:eastAsia="Calibri"/>
          <w:lang w:eastAsia="en-US"/>
        </w:rPr>
        <w:t>.</w:t>
      </w:r>
    </w:p>
    <w:p w:rsidR="0038370F" w:rsidRPr="00AE54D1" w:rsidRDefault="0038370F" w:rsidP="002C40B2">
      <w:pPr>
        <w:pStyle w:val="Nadpis2"/>
      </w:pPr>
      <w:r w:rsidRPr="00AE54D1">
        <w:t>Vodovody a kanalizace</w:t>
      </w:r>
    </w:p>
    <w:p w:rsidR="0038370F" w:rsidRPr="0072023D" w:rsidRDefault="0038370F" w:rsidP="00F12210">
      <w:r w:rsidRPr="0072023D">
        <w:t xml:space="preserve">Karlovarský kraj patří v porovnání s ostatními kraji České republiky mezi regiony s vysokým podílem obyvatel napojených na vodovod a kanalizaci (v současnosti je druhým v pořadí po Hl. m. Praha). Podíl obyvatel zásobovaných vodou z vodovodů se v Karlovarském kraji blíží 100 % (údaje k roku 2014, </w:t>
      </w:r>
      <w:r w:rsidR="00AE54D1">
        <w:t>přičemž průměr v ČR je 94,2 %).</w:t>
      </w:r>
    </w:p>
    <w:p w:rsidR="0038370F" w:rsidRPr="0072023D" w:rsidRDefault="0038370F" w:rsidP="00F12210">
      <w:r w:rsidRPr="0072023D">
        <w:lastRenderedPageBreak/>
        <w:t xml:space="preserve">Podíl obyvatel bydlících v domech napojených na kanalizaci, která je většinou zakončena ČOV, je </w:t>
      </w:r>
      <w:r>
        <w:br/>
      </w:r>
      <w:r w:rsidRPr="0072023D">
        <w:t>95,7 % (údaje k roku 2014, přičemž průměr v ČR je 83,9 %). Pro oblast severozápadních Čech je příznačná větší hustota velkých a středních sídel, a proto bylo v tomto regionu v minulosti vybudování potřebné technické infrastruktury v porovnání s jinými regiony ČR tech</w:t>
      </w:r>
      <w:r w:rsidR="00AE54D1">
        <w:t>nicky i ekonomicky dostupnější.</w:t>
      </w:r>
    </w:p>
    <w:p w:rsidR="0038370F" w:rsidRDefault="0038370F" w:rsidP="00F12210">
      <w:r w:rsidRPr="0072023D">
        <w:t>Malá sídla nacházející se na odlehlejších místech kraje není v současné době z provozního ani investičního pohledu efektivní napojovat na skupinové vodovody či kanalizace pro veřejnou potřebu</w:t>
      </w:r>
      <w:r>
        <w:t xml:space="preserve"> a</w:t>
      </w:r>
      <w:r w:rsidRPr="0072023D">
        <w:t xml:space="preserve"> v těchto případech je tedy žádoucí podporovat odkanalizování jednotlivých malých obcí.</w:t>
      </w:r>
    </w:p>
    <w:p w:rsidR="0038370F" w:rsidRPr="00AE46CF" w:rsidRDefault="0038370F" w:rsidP="002C40B2">
      <w:pPr>
        <w:pStyle w:val="Nadpis2"/>
        <w:ind w:left="576" w:hanging="576"/>
      </w:pPr>
      <w:r>
        <w:t>Rekultivace a staré ekologické zátěže</w:t>
      </w:r>
    </w:p>
    <w:p w:rsidR="0038370F" w:rsidRPr="009B3607" w:rsidRDefault="0038370F" w:rsidP="00F12210">
      <w:r w:rsidRPr="009B3607">
        <w:t>Výrazným činitelem, který mění ráz krajiny v Karlovarském kraji, je těžba nerostných surovin a s ní spojená rekultivace krajiny. Od konce 50. let bylo v okrese Sokolov do konce roku 2015 dokončeno celkem 4 900 ha rekultivací (1 131 ha zemědělských, 3 033 ha lesnických, 583 ha hydrických a 153 ha ostatních), a to na plochách v oblasti bývalých hlubinných dolů, kde těžba končila ve 30. a 40. letech, a především na plochách vnějších výsypek. V roce 2015 bylo rozpracováno dalších 1 536 ha rekultivací. U některých zbytkových jam (lomy Boden, Medard – Libík, Michal,) byl zvolen postup zatápění (</w:t>
      </w:r>
      <w:r w:rsidRPr="009B3607">
        <w:rPr>
          <w:rFonts w:cs="Times New Roman"/>
        </w:rPr>
        <w:t>hydrické rekultivace</w:t>
      </w:r>
      <w:r w:rsidRPr="009B3607">
        <w:t xml:space="preserve">). Tímto způsobem vzniklo nedaleko Sokolova </w:t>
      </w:r>
      <w:r w:rsidRPr="009B3607">
        <w:rPr>
          <w:rFonts w:cs="Times New Roman"/>
        </w:rPr>
        <w:t>jezero Michal</w:t>
      </w:r>
      <w:r w:rsidRPr="009B3607">
        <w:t xml:space="preserve"> využívané pro rekreační účely a jezero Medard.</w:t>
      </w:r>
    </w:p>
    <w:p w:rsidR="0038370F" w:rsidRPr="00AE54D1" w:rsidRDefault="0038370F" w:rsidP="00F12210">
      <w:r w:rsidRPr="00AE54D1">
        <w:t>Problematika starých ekologických zátěží je na území Karlovarského kraje významná. V rámci projektu Min</w:t>
      </w:r>
      <w:r w:rsidR="00AE54D1">
        <w:t xml:space="preserve">isterstva životního prostředí </w:t>
      </w:r>
      <w:r w:rsidRPr="00AE54D1">
        <w:rPr>
          <w:i/>
        </w:rPr>
        <w:t>Národní inventarizace kontaminovaných míst</w:t>
      </w:r>
      <w:r w:rsidRPr="00AE54D1">
        <w:t xml:space="preserve"> (NIKM) bylo na území Karlovarského kraje identifikováno 492 kontaminovaných a potencionálně kontaminov</w:t>
      </w:r>
      <w:r w:rsidR="00AE54D1">
        <w:t>aných lokalit.</w:t>
      </w:r>
    </w:p>
    <w:p w:rsidR="0038370F" w:rsidRPr="00AE54D1" w:rsidRDefault="0038370F" w:rsidP="00F12210">
      <w:r w:rsidRPr="00AE54D1">
        <w:t xml:space="preserve">Zjištěné lokality se postupně vyhodnocují, zařazují dle nutnosti provedení nápravných opatření do kategorií dle priorit a zapisují se do veřejné databáze </w:t>
      </w:r>
      <w:r w:rsidRPr="00AE54D1">
        <w:rPr>
          <w:i/>
        </w:rPr>
        <w:t>Systému evidence kontaminovaných míst</w:t>
      </w:r>
      <w:r w:rsidRPr="00AE54D1">
        <w:t xml:space="preserve"> (SEKM). V současné době je v databázi SEKM zapsáno 163 lokalit nacházejících se na území </w:t>
      </w:r>
      <w:r w:rsidR="009B420D">
        <w:t>Karlovarského kraje</w:t>
      </w:r>
      <w:r w:rsidRPr="00AE54D1">
        <w:t xml:space="preserve">, z toho 15ti lokalitám byla přiřazena priorita A - provedení nápravného opatření je nutné nebo žádoucí. </w:t>
      </w:r>
    </w:p>
    <w:p w:rsidR="0038370F" w:rsidRDefault="0038370F" w:rsidP="000B3B9C">
      <w:pPr>
        <w:pStyle w:val="Titulek"/>
      </w:pPr>
      <w:bookmarkStart w:id="385" w:name="_Toc488233511"/>
      <w:r>
        <w:t xml:space="preserve">Tabulka </w:t>
      </w:r>
      <w:r w:rsidR="008965FE">
        <w:fldChar w:fldCharType="begin"/>
      </w:r>
      <w:r w:rsidR="00B33DFE">
        <w:instrText xml:space="preserve"> STYLEREF 1 \s </w:instrText>
      </w:r>
      <w:r w:rsidR="008965FE">
        <w:fldChar w:fldCharType="separate"/>
      </w:r>
      <w:r w:rsidR="00CB29BD">
        <w:t>16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r>
        <w:t xml:space="preserve">: </w:t>
      </w:r>
      <w:r w:rsidRPr="0036415C">
        <w:t xml:space="preserve">Lokality se starou ekologickou zátěží s prioritou A v Karlovarském kraji </w:t>
      </w:r>
      <w:r>
        <w:t xml:space="preserve">(stav </w:t>
      </w:r>
      <w:r w:rsidRPr="0036415C">
        <w:t>k 2015</w:t>
      </w:r>
      <w:r>
        <w:t>)</w:t>
      </w:r>
      <w:bookmarkEnd w:id="385"/>
    </w:p>
    <w:tbl>
      <w:tblPr>
        <w:tblW w:w="5000" w:type="pct"/>
        <w:tblCellMar>
          <w:left w:w="70" w:type="dxa"/>
          <w:right w:w="70" w:type="dxa"/>
        </w:tblCellMar>
        <w:tblLook w:val="04A0" w:firstRow="1" w:lastRow="0" w:firstColumn="1" w:lastColumn="0" w:noHBand="0" w:noVBand="1"/>
      </w:tblPr>
      <w:tblGrid>
        <w:gridCol w:w="4180"/>
        <w:gridCol w:w="2410"/>
        <w:gridCol w:w="2622"/>
      </w:tblGrid>
      <w:tr w:rsidR="0038370F" w:rsidRPr="00F12210" w:rsidTr="009B420D">
        <w:trPr>
          <w:trHeight w:val="284"/>
        </w:trPr>
        <w:tc>
          <w:tcPr>
            <w:tcW w:w="226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8370F" w:rsidRPr="00F12210" w:rsidRDefault="002F684C" w:rsidP="002C40B2">
            <w:pPr>
              <w:spacing w:after="0"/>
              <w:jc w:val="center"/>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Lokality A3 - opatření bezodkladně nutná</w:t>
            </w:r>
          </w:p>
        </w:tc>
        <w:tc>
          <w:tcPr>
            <w:tcW w:w="130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370F" w:rsidRPr="00F12210" w:rsidRDefault="002F684C" w:rsidP="002C40B2">
            <w:pPr>
              <w:spacing w:after="0"/>
              <w:jc w:val="center"/>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Umístění</w:t>
            </w:r>
          </w:p>
        </w:tc>
        <w:tc>
          <w:tcPr>
            <w:tcW w:w="142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rsidR="0038370F" w:rsidRPr="00F12210" w:rsidRDefault="002F684C" w:rsidP="002C40B2">
            <w:pPr>
              <w:spacing w:after="0"/>
              <w:jc w:val="center"/>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stav nápravného opatření</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Kovošrot - divize Sokolov</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Dolní Rychnov</w:t>
            </w:r>
          </w:p>
        </w:tc>
        <w:tc>
          <w:tcPr>
            <w:tcW w:w="1423" w:type="pct"/>
            <w:tcBorders>
              <w:top w:val="nil"/>
              <w:left w:val="nil"/>
              <w:bottom w:val="single" w:sz="4" w:space="0" w:color="auto"/>
              <w:right w:val="single" w:sz="4" w:space="0" w:color="auto"/>
            </w:tcBorders>
            <w:shd w:val="clear" w:color="auto" w:fill="auto"/>
            <w:noWrap/>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ukončeno</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Obchodní zařízení Toužim a.s.</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Toužim</w:t>
            </w:r>
          </w:p>
        </w:tc>
        <w:tc>
          <w:tcPr>
            <w:tcW w:w="1423" w:type="pct"/>
            <w:tcBorders>
              <w:top w:val="nil"/>
              <w:left w:val="nil"/>
              <w:bottom w:val="single" w:sz="4" w:space="0" w:color="auto"/>
              <w:right w:val="single" w:sz="4" w:space="0" w:color="auto"/>
            </w:tcBorders>
            <w:shd w:val="clear" w:color="auto" w:fill="auto"/>
            <w:noWrap/>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Prameny</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Prameny</w:t>
            </w:r>
          </w:p>
        </w:tc>
        <w:tc>
          <w:tcPr>
            <w:tcW w:w="1423" w:type="pct"/>
            <w:tcBorders>
              <w:top w:val="nil"/>
              <w:left w:val="nil"/>
              <w:bottom w:val="single" w:sz="4" w:space="0" w:color="auto"/>
              <w:right w:val="single" w:sz="4" w:space="0" w:color="auto"/>
            </w:tcBorders>
            <w:shd w:val="clear" w:color="auto" w:fill="auto"/>
            <w:noWrap/>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neřešeno</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stavební parcela č.1722/1,k.ú.Aš</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Aš</w:t>
            </w:r>
          </w:p>
        </w:tc>
        <w:tc>
          <w:tcPr>
            <w:tcW w:w="1423" w:type="pct"/>
            <w:tcBorders>
              <w:top w:val="nil"/>
              <w:left w:val="nil"/>
              <w:bottom w:val="single" w:sz="4" w:space="0" w:color="auto"/>
              <w:right w:val="single" w:sz="4" w:space="0" w:color="auto"/>
            </w:tcBorders>
            <w:shd w:val="clear" w:color="auto" w:fill="auto"/>
            <w:noWrap/>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neřešeno</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ZČE a.s. Karlovy Vary Tuhnice</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Tuhnice</w:t>
            </w:r>
          </w:p>
        </w:tc>
        <w:tc>
          <w:tcPr>
            <w:tcW w:w="1423" w:type="pct"/>
            <w:tcBorders>
              <w:top w:val="nil"/>
              <w:left w:val="nil"/>
              <w:bottom w:val="single" w:sz="4" w:space="0" w:color="auto"/>
              <w:right w:val="single" w:sz="4" w:space="0" w:color="auto"/>
            </w:tcBorders>
            <w:shd w:val="clear" w:color="auto" w:fill="auto"/>
            <w:noWrap/>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ZČP,a.s. Karlovy Vary</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Tuhnice</w:t>
            </w:r>
          </w:p>
        </w:tc>
        <w:tc>
          <w:tcPr>
            <w:tcW w:w="1423" w:type="pct"/>
            <w:tcBorders>
              <w:top w:val="nil"/>
              <w:left w:val="nil"/>
              <w:bottom w:val="single" w:sz="4" w:space="0" w:color="auto"/>
              <w:right w:val="single" w:sz="4" w:space="0" w:color="auto"/>
            </w:tcBorders>
            <w:shd w:val="clear" w:color="auto" w:fill="auto"/>
            <w:noWrap/>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38370F" w:rsidRPr="00F12210" w:rsidRDefault="002F684C" w:rsidP="002C40B2">
            <w:pPr>
              <w:spacing w:after="0"/>
              <w:jc w:val="left"/>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Lokality A2 - nutná opatření</w:t>
            </w:r>
          </w:p>
        </w:tc>
        <w:tc>
          <w:tcPr>
            <w:tcW w:w="1308" w:type="pct"/>
            <w:tcBorders>
              <w:top w:val="nil"/>
              <w:left w:val="nil"/>
              <w:bottom w:val="single" w:sz="4" w:space="0" w:color="auto"/>
              <w:right w:val="single" w:sz="4" w:space="0" w:color="auto"/>
            </w:tcBorders>
            <w:shd w:val="clear" w:color="auto" w:fill="C5E0B3" w:themeFill="accent6" w:themeFillTint="66"/>
            <w:noWrap/>
            <w:vAlign w:val="center"/>
            <w:hideMark/>
          </w:tcPr>
          <w:p w:rsidR="0038370F" w:rsidRPr="00F12210" w:rsidRDefault="002F684C" w:rsidP="002C40B2">
            <w:pPr>
              <w:spacing w:after="0"/>
              <w:jc w:val="center"/>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Umístění</w:t>
            </w:r>
          </w:p>
        </w:tc>
        <w:tc>
          <w:tcPr>
            <w:tcW w:w="1423" w:type="pct"/>
            <w:tcBorders>
              <w:top w:val="nil"/>
              <w:left w:val="nil"/>
              <w:bottom w:val="single" w:sz="4" w:space="0" w:color="auto"/>
              <w:right w:val="single" w:sz="4" w:space="0" w:color="auto"/>
            </w:tcBorders>
            <w:shd w:val="clear" w:color="auto" w:fill="C5E0B3" w:themeFill="accent6" w:themeFillTint="66"/>
            <w:noWrap/>
            <w:vAlign w:val="center"/>
            <w:hideMark/>
          </w:tcPr>
          <w:p w:rsidR="0038370F" w:rsidRPr="00F12210" w:rsidRDefault="002F684C" w:rsidP="002C40B2">
            <w:pPr>
              <w:spacing w:after="0"/>
              <w:jc w:val="center"/>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stav nápravného opatření</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Dolní nádraží</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Karlovy Vary</w:t>
            </w:r>
          </w:p>
        </w:tc>
        <w:tc>
          <w:tcPr>
            <w:tcW w:w="1423"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hotovo</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GLAVERBEL Czech a.s.</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Oloví</w:t>
            </w:r>
          </w:p>
        </w:tc>
        <w:tc>
          <w:tcPr>
            <w:tcW w:w="1423"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left="209"/>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Momentive (Hexion) Specialty Chemicals a.s</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Sokolov</w:t>
            </w:r>
          </w:p>
        </w:tc>
        <w:tc>
          <w:tcPr>
            <w:tcW w:w="1423"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Skládka TDK Stará Chodovská</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Stará Chodovská</w:t>
            </w:r>
          </w:p>
        </w:tc>
        <w:tc>
          <w:tcPr>
            <w:tcW w:w="1423"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nil"/>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Výsypka lomu Hájek</w:t>
            </w:r>
          </w:p>
        </w:tc>
        <w:tc>
          <w:tcPr>
            <w:tcW w:w="1308"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Hroznětín</w:t>
            </w:r>
          </w:p>
        </w:tc>
        <w:tc>
          <w:tcPr>
            <w:tcW w:w="1423" w:type="pct"/>
            <w:tcBorders>
              <w:top w:val="nil"/>
              <w:left w:val="nil"/>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8370F" w:rsidRPr="00F12210" w:rsidRDefault="002F684C" w:rsidP="002C40B2">
            <w:pPr>
              <w:spacing w:after="0"/>
              <w:jc w:val="left"/>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lastRenderedPageBreak/>
              <w:t>Lokality A1 - žádoucí opatření</w:t>
            </w:r>
          </w:p>
        </w:tc>
        <w:tc>
          <w:tcPr>
            <w:tcW w:w="130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8370F" w:rsidRPr="00F12210" w:rsidRDefault="002F684C" w:rsidP="002C40B2">
            <w:pPr>
              <w:spacing w:after="0"/>
              <w:jc w:val="center"/>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Umístění</w:t>
            </w:r>
          </w:p>
        </w:tc>
        <w:tc>
          <w:tcPr>
            <w:tcW w:w="1423"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38370F" w:rsidRPr="00F12210" w:rsidRDefault="002F684C" w:rsidP="002C40B2">
            <w:pPr>
              <w:spacing w:after="0"/>
              <w:jc w:val="center"/>
              <w:rPr>
                <w:rFonts w:asciiTheme="minorHAnsi" w:hAnsiTheme="minorHAnsi" w:cs="Times New Roman"/>
                <w:b/>
                <w:bCs/>
                <w:color w:val="000000"/>
                <w:sz w:val="20"/>
                <w:szCs w:val="20"/>
              </w:rPr>
            </w:pPr>
            <w:r w:rsidRPr="002F684C">
              <w:rPr>
                <w:rFonts w:asciiTheme="minorHAnsi" w:hAnsiTheme="minorHAnsi" w:cs="Times New Roman"/>
                <w:b/>
                <w:bCs/>
                <w:color w:val="000000"/>
                <w:sz w:val="20"/>
                <w:szCs w:val="20"/>
              </w:rPr>
              <w:t>stav nápravného opatření</w:t>
            </w:r>
          </w:p>
        </w:tc>
      </w:tr>
      <w:tr w:rsidR="0038370F" w:rsidRPr="00F12210" w:rsidTr="009B420D">
        <w:trPr>
          <w:trHeight w:val="284"/>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AMATI -Denak, s.r.o.</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Kraslice</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r w:rsidR="0038370F" w:rsidRPr="00F12210" w:rsidTr="009B420D">
        <w:trPr>
          <w:trHeight w:val="284"/>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GLAVERBEL Czech a.s.</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Boučí</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neřešeno</w:t>
            </w:r>
          </w:p>
        </w:tc>
      </w:tr>
      <w:tr w:rsidR="0038370F" w:rsidRPr="00F12210" w:rsidTr="009B420D">
        <w:trPr>
          <w:trHeight w:val="284"/>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Kojšovice -zemědělský areál</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Kojšovice</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neřešeno</w:t>
            </w:r>
          </w:p>
        </w:tc>
      </w:tr>
      <w:tr w:rsidR="0038370F" w:rsidRPr="00F12210" w:rsidTr="009B420D">
        <w:trPr>
          <w:trHeight w:val="284"/>
        </w:trPr>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left"/>
              <w:rPr>
                <w:rFonts w:asciiTheme="minorHAnsi" w:hAnsiTheme="minorHAnsi" w:cs="Times New Roman"/>
                <w:color w:val="000000"/>
                <w:sz w:val="20"/>
                <w:szCs w:val="20"/>
              </w:rPr>
            </w:pPr>
            <w:r w:rsidRPr="002F684C">
              <w:rPr>
                <w:rFonts w:asciiTheme="minorHAnsi" w:hAnsiTheme="minorHAnsi" w:cs="Times New Roman"/>
                <w:color w:val="000000"/>
                <w:sz w:val="20"/>
                <w:szCs w:val="20"/>
              </w:rPr>
              <w:t>Strabag Bochov obalovna</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ind w:firstLineChars="100" w:firstLine="20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Bochov</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F12210" w:rsidRDefault="002F684C" w:rsidP="002C40B2">
            <w:pPr>
              <w:spacing w:after="0"/>
              <w:jc w:val="center"/>
              <w:rPr>
                <w:rFonts w:asciiTheme="minorHAnsi" w:hAnsiTheme="minorHAnsi" w:cs="Times New Roman"/>
                <w:color w:val="000000"/>
                <w:sz w:val="20"/>
                <w:szCs w:val="20"/>
              </w:rPr>
            </w:pPr>
            <w:r w:rsidRPr="002F684C">
              <w:rPr>
                <w:rFonts w:asciiTheme="minorHAnsi" w:hAnsiTheme="minorHAnsi" w:cs="Times New Roman"/>
                <w:color w:val="000000"/>
                <w:sz w:val="20"/>
                <w:szCs w:val="20"/>
              </w:rPr>
              <w:t>probíhá</w:t>
            </w:r>
          </w:p>
        </w:tc>
      </w:tr>
    </w:tbl>
    <w:p w:rsidR="0038370F" w:rsidRPr="0036415C" w:rsidRDefault="0038370F" w:rsidP="00050F78">
      <w:pPr>
        <w:pStyle w:val="poznzdroj"/>
        <w:spacing w:after="0" w:line="276" w:lineRule="auto"/>
      </w:pPr>
      <w:r w:rsidRPr="0036415C">
        <w:t>Pozn</w:t>
      </w:r>
      <w:r>
        <w:t>ámka</w:t>
      </w:r>
      <w:r w:rsidRPr="0036415C">
        <w:t>: u lokalit, které nejsou řešeny, jsou důvodem nejasný způsob odstranění kontaminace nebo problematické jednání s vlastníky pozemků.</w:t>
      </w:r>
    </w:p>
    <w:p w:rsidR="009E424D" w:rsidRDefault="0038370F">
      <w:pPr>
        <w:pStyle w:val="poznzdroj"/>
        <w:spacing w:before="0" w:line="276" w:lineRule="auto"/>
      </w:pPr>
      <w:r w:rsidRPr="0036415C">
        <w:t>Zdroj: SEKM</w:t>
      </w:r>
    </w:p>
    <w:p w:rsidR="0038370F" w:rsidRDefault="009B420D" w:rsidP="000B3B9C">
      <w:pPr>
        <w:pStyle w:val="Titulek"/>
      </w:pPr>
      <w:bookmarkStart w:id="386" w:name="_Toc488234401"/>
      <w:r>
        <w:drawing>
          <wp:anchor distT="0" distB="0" distL="114300" distR="114300" simplePos="0" relativeHeight="251664384" behindDoc="1" locked="0" layoutInCell="1" allowOverlap="1">
            <wp:simplePos x="0" y="0"/>
            <wp:positionH relativeFrom="column">
              <wp:posOffset>-6985</wp:posOffset>
            </wp:positionH>
            <wp:positionV relativeFrom="paragraph">
              <wp:posOffset>394335</wp:posOffset>
            </wp:positionV>
            <wp:extent cx="5334635" cy="3812540"/>
            <wp:effectExtent l="19050" t="0" r="0" b="0"/>
            <wp:wrapTopAndBottom/>
            <wp:docPr id="552"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5" descr="UAPk - schema staré ekologické zátěže dle míry rizika"/>
                    <pic:cNvPicPr>
                      <a:picLocks noChangeAspect="1" noChangeArrowheads="1"/>
                    </pic:cNvPicPr>
                  </pic:nvPicPr>
                  <pic:blipFill>
                    <a:blip r:embed="rId167" cstate="print">
                      <a:extLst>
                        <a:ext uri="{28A0092B-C50C-407E-A947-70E740481C1C}">
                          <a14:useLocalDpi xmlns:a14="http://schemas.microsoft.com/office/drawing/2010/main" val="0"/>
                        </a:ext>
                      </a:extLst>
                    </a:blip>
                    <a:stretch>
                      <a:fillRect/>
                    </a:stretch>
                  </pic:blipFill>
                  <pic:spPr bwMode="auto">
                    <a:xfrm>
                      <a:off x="0" y="0"/>
                      <a:ext cx="5334635" cy="3812540"/>
                    </a:xfrm>
                    <a:prstGeom prst="rect">
                      <a:avLst/>
                    </a:prstGeom>
                    <a:noFill/>
                    <a:ln>
                      <a:noFill/>
                    </a:ln>
                  </pic:spPr>
                </pic:pic>
              </a:graphicData>
            </a:graphic>
          </wp:anchor>
        </w:drawing>
      </w:r>
      <w:r w:rsidR="0038370F">
        <w:t xml:space="preserve">Obrázek </w:t>
      </w:r>
      <w:r w:rsidR="008965FE">
        <w:fldChar w:fldCharType="begin"/>
      </w:r>
      <w:r w:rsidR="00564668">
        <w:instrText xml:space="preserve"> STYLEREF 1 \s </w:instrText>
      </w:r>
      <w:r w:rsidR="008965FE">
        <w:fldChar w:fldCharType="separate"/>
      </w:r>
      <w:r w:rsidR="00CB29BD">
        <w:t>16</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3</w:t>
      </w:r>
      <w:r w:rsidR="008965FE">
        <w:fldChar w:fldCharType="end"/>
      </w:r>
      <w:r w:rsidR="0038370F">
        <w:t>: Staré ekologické zátěže dle míry rizika</w:t>
      </w:r>
      <w:bookmarkEnd w:id="386"/>
    </w:p>
    <w:p w:rsidR="0038370F" w:rsidRPr="00AE54D1" w:rsidRDefault="00C51C1A" w:rsidP="00050F78">
      <w:pPr>
        <w:pStyle w:val="Zdrojdat"/>
        <w:spacing w:before="240" w:line="276" w:lineRule="auto"/>
        <w:rPr>
          <w:rStyle w:val="Zdraznnjemn"/>
          <w:i/>
        </w:rPr>
      </w:pPr>
      <w:r w:rsidRPr="00AE54D1">
        <w:rPr>
          <w:rStyle w:val="Zdraznnjemn"/>
          <w:i/>
        </w:rPr>
        <w:t>Zdroj: ÚAP</w:t>
      </w:r>
      <w:r w:rsidR="0038370F" w:rsidRPr="00AE54D1">
        <w:rPr>
          <w:rStyle w:val="Zdraznnjemn"/>
          <w:i/>
        </w:rPr>
        <w:t xml:space="preserve"> 2015</w:t>
      </w:r>
    </w:p>
    <w:p w:rsidR="0038370F" w:rsidRPr="00AE54D1" w:rsidRDefault="0038370F" w:rsidP="002C40B2">
      <w:pPr>
        <w:pStyle w:val="Nadpis2"/>
      </w:pPr>
      <w:r w:rsidRPr="00AE54D1">
        <w:t>Odpady a odpadové hospodářství</w:t>
      </w:r>
    </w:p>
    <w:p w:rsidR="0038370F" w:rsidRDefault="0038370F" w:rsidP="002C40B2">
      <w:pPr>
        <w:spacing w:after="140"/>
        <w:rPr>
          <w:rFonts w:asciiTheme="minorHAnsi" w:hAnsiTheme="minorHAnsi"/>
        </w:rPr>
      </w:pPr>
      <w:r w:rsidRPr="009769DB">
        <w:rPr>
          <w:rFonts w:asciiTheme="minorHAnsi" w:hAnsiTheme="minorHAnsi"/>
        </w:rPr>
        <w:t xml:space="preserve">Informačním zdrojem </w:t>
      </w:r>
      <w:r>
        <w:rPr>
          <w:rFonts w:asciiTheme="minorHAnsi" w:hAnsiTheme="minorHAnsi"/>
        </w:rPr>
        <w:t xml:space="preserve">dat </w:t>
      </w:r>
      <w:r w:rsidRPr="009769DB">
        <w:rPr>
          <w:rFonts w:asciiTheme="minorHAnsi" w:hAnsiTheme="minorHAnsi"/>
        </w:rPr>
        <w:t>je databáze o odpadech Krajského úřadu Karlovarského kraje (tzv. krajský ISOH). Tato vstupní data byla preferována především kvůli skutečnosti, že vznikají na základě zákonné povinnosti původců</w:t>
      </w:r>
      <w:r>
        <w:rPr>
          <w:rFonts w:asciiTheme="minorHAnsi" w:hAnsiTheme="minorHAnsi"/>
        </w:rPr>
        <w:t>.</w:t>
      </w:r>
      <w:r w:rsidRPr="009769DB">
        <w:rPr>
          <w:rFonts w:asciiTheme="minorHAnsi" w:hAnsiTheme="minorHAnsi"/>
        </w:rPr>
        <w:t xml:space="preserve"> </w:t>
      </w:r>
    </w:p>
    <w:p w:rsidR="0038370F" w:rsidRDefault="0038370F" w:rsidP="000B3B9C">
      <w:pPr>
        <w:pStyle w:val="Titulek"/>
      </w:pPr>
      <w:bookmarkStart w:id="387" w:name="_Toc488233512"/>
      <w:r>
        <w:t xml:space="preserve">Tabulka </w:t>
      </w:r>
      <w:r w:rsidR="008965FE">
        <w:fldChar w:fldCharType="begin"/>
      </w:r>
      <w:r w:rsidR="00B33DFE">
        <w:instrText xml:space="preserve"> STYLEREF 1 \s </w:instrText>
      </w:r>
      <w:r w:rsidR="008965FE">
        <w:fldChar w:fldCharType="separate"/>
      </w:r>
      <w:r w:rsidR="00CB29BD">
        <w:t>16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r>
        <w:t>: Produkce odpadů v Karlovarském kraji v letech 2009 – 2013 (v t)</w:t>
      </w:r>
      <w:bookmarkEnd w:id="387"/>
    </w:p>
    <w:tbl>
      <w:tblPr>
        <w:tblW w:w="8990" w:type="dxa"/>
        <w:tblInd w:w="70" w:type="dxa"/>
        <w:tblCellMar>
          <w:left w:w="70" w:type="dxa"/>
          <w:right w:w="70" w:type="dxa"/>
        </w:tblCellMar>
        <w:tblLook w:val="04A0" w:firstRow="1" w:lastRow="0" w:firstColumn="1" w:lastColumn="0" w:noHBand="0" w:noVBand="1"/>
      </w:tblPr>
      <w:tblGrid>
        <w:gridCol w:w="2494"/>
        <w:gridCol w:w="1216"/>
        <w:gridCol w:w="1056"/>
        <w:gridCol w:w="1056"/>
        <w:gridCol w:w="1056"/>
        <w:gridCol w:w="1056"/>
        <w:gridCol w:w="1056"/>
      </w:tblGrid>
      <w:tr w:rsidR="0038370F" w:rsidRPr="00AE54D1" w:rsidTr="00277262">
        <w:trPr>
          <w:trHeight w:val="369"/>
        </w:trPr>
        <w:tc>
          <w:tcPr>
            <w:tcW w:w="37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370F" w:rsidRPr="00050F78" w:rsidRDefault="0038370F" w:rsidP="002C40B2">
            <w:pPr>
              <w:spacing w:after="0"/>
              <w:jc w:val="left"/>
              <w:rPr>
                <w:rFonts w:asciiTheme="minorHAnsi" w:hAnsiTheme="minorHAnsi" w:cs="Times New Roman"/>
                <w:b/>
                <w:bCs/>
                <w:color w:val="000000"/>
                <w:sz w:val="20"/>
                <w:szCs w:val="20"/>
              </w:rPr>
            </w:pPr>
            <w:r w:rsidRPr="00050F78">
              <w:rPr>
                <w:rFonts w:asciiTheme="minorHAnsi" w:hAnsiTheme="minorHAnsi" w:cs="Times New Roman"/>
                <w:b/>
                <w:bCs/>
                <w:color w:val="000000"/>
                <w:sz w:val="20"/>
                <w:szCs w:val="20"/>
              </w:rPr>
              <w:t>Druh odpadu/rok</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b/>
                <w:bCs/>
                <w:color w:val="000000"/>
                <w:sz w:val="20"/>
                <w:szCs w:val="20"/>
              </w:rPr>
            </w:pPr>
            <w:r w:rsidRPr="00AE54D1">
              <w:rPr>
                <w:rFonts w:asciiTheme="minorHAnsi" w:hAnsiTheme="minorHAnsi" w:cs="Times New Roman"/>
                <w:b/>
                <w:bCs/>
                <w:color w:val="000000"/>
                <w:sz w:val="20"/>
                <w:szCs w:val="20"/>
              </w:rPr>
              <w:t>2009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b/>
                <w:bCs/>
                <w:color w:val="000000"/>
                <w:sz w:val="20"/>
                <w:szCs w:val="20"/>
              </w:rPr>
            </w:pPr>
            <w:r w:rsidRPr="00AE54D1">
              <w:rPr>
                <w:rFonts w:asciiTheme="minorHAnsi" w:hAnsiTheme="minorHAnsi" w:cs="Times New Roman"/>
                <w:b/>
                <w:bCs/>
                <w:color w:val="000000"/>
                <w:sz w:val="20"/>
                <w:szCs w:val="20"/>
              </w:rPr>
              <w:t>2010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b/>
                <w:bCs/>
                <w:color w:val="000000"/>
                <w:sz w:val="20"/>
                <w:szCs w:val="20"/>
              </w:rPr>
            </w:pPr>
            <w:r w:rsidRPr="00AE54D1">
              <w:rPr>
                <w:rFonts w:asciiTheme="minorHAnsi" w:hAnsiTheme="minorHAnsi" w:cs="Times New Roman"/>
                <w:b/>
                <w:bCs/>
                <w:color w:val="000000"/>
                <w:sz w:val="20"/>
                <w:szCs w:val="20"/>
              </w:rPr>
              <w:t>2011</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b/>
                <w:bCs/>
                <w:color w:val="000000"/>
                <w:sz w:val="20"/>
                <w:szCs w:val="20"/>
              </w:rPr>
            </w:pPr>
            <w:r w:rsidRPr="00AE54D1">
              <w:rPr>
                <w:rFonts w:asciiTheme="minorHAnsi" w:hAnsiTheme="minorHAnsi" w:cs="Times New Roman"/>
                <w:b/>
                <w:bCs/>
                <w:color w:val="000000"/>
                <w:sz w:val="20"/>
                <w:szCs w:val="20"/>
              </w:rPr>
              <w:t>2012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b/>
                <w:bCs/>
                <w:color w:val="000000"/>
                <w:sz w:val="20"/>
                <w:szCs w:val="20"/>
              </w:rPr>
            </w:pPr>
            <w:r w:rsidRPr="00AE54D1">
              <w:rPr>
                <w:rFonts w:asciiTheme="minorHAnsi" w:hAnsiTheme="minorHAnsi" w:cs="Times New Roman"/>
                <w:b/>
                <w:bCs/>
                <w:color w:val="000000"/>
                <w:sz w:val="20"/>
                <w:szCs w:val="20"/>
              </w:rPr>
              <w:t>2013</w:t>
            </w:r>
          </w:p>
        </w:tc>
      </w:tr>
      <w:tr w:rsidR="0038370F" w:rsidRPr="00AE54D1" w:rsidTr="00277262">
        <w:trPr>
          <w:trHeight w:val="369"/>
        </w:trPr>
        <w:tc>
          <w:tcPr>
            <w:tcW w:w="3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bCs/>
                <w:color w:val="000000"/>
                <w:sz w:val="20"/>
                <w:szCs w:val="20"/>
              </w:rPr>
            </w:pPr>
            <w:r w:rsidRPr="00050F78">
              <w:rPr>
                <w:rFonts w:asciiTheme="minorHAnsi" w:hAnsiTheme="minorHAnsi" w:cs="Times New Roman"/>
                <w:b/>
                <w:bCs/>
                <w:color w:val="000000"/>
                <w:sz w:val="20"/>
                <w:szCs w:val="20"/>
              </w:rPr>
              <w:t>všechny (v t)</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893 990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792 130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630 630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580 460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579 680</w:t>
            </w:r>
          </w:p>
        </w:tc>
      </w:tr>
      <w:tr w:rsidR="0038370F" w:rsidRPr="00AE54D1" w:rsidTr="00277262">
        <w:trPr>
          <w:trHeight w:val="369"/>
        </w:trPr>
        <w:tc>
          <w:tcPr>
            <w:tcW w:w="2494" w:type="dxa"/>
            <w:vMerge w:val="restart"/>
            <w:tcBorders>
              <w:top w:val="nil"/>
              <w:left w:val="single" w:sz="4" w:space="0" w:color="auto"/>
              <w:bottom w:val="single" w:sz="4" w:space="0" w:color="auto"/>
              <w:right w:val="single" w:sz="4" w:space="0" w:color="auto"/>
            </w:tcBorders>
            <w:shd w:val="clear" w:color="auto" w:fill="auto"/>
            <w:noWrap/>
            <w:hideMark/>
          </w:tcPr>
          <w:p w:rsidR="0038370F" w:rsidRPr="00050F78" w:rsidRDefault="0038370F" w:rsidP="002C40B2">
            <w:pPr>
              <w:spacing w:after="0"/>
              <w:jc w:val="left"/>
              <w:rPr>
                <w:rFonts w:asciiTheme="minorHAnsi" w:hAnsiTheme="minorHAnsi" w:cs="Times New Roman"/>
                <w:b/>
                <w:color w:val="000000"/>
                <w:sz w:val="20"/>
                <w:szCs w:val="20"/>
              </w:rPr>
            </w:pPr>
            <w:r w:rsidRPr="00050F78">
              <w:rPr>
                <w:rFonts w:asciiTheme="minorHAnsi" w:hAnsiTheme="minorHAnsi" w:cs="Times New Roman"/>
                <w:b/>
                <w:color w:val="000000"/>
                <w:sz w:val="20"/>
                <w:szCs w:val="20"/>
              </w:rPr>
              <w:t>z toho</w:t>
            </w:r>
          </w:p>
        </w:tc>
        <w:tc>
          <w:tcPr>
            <w:tcW w:w="1216" w:type="dxa"/>
            <w:tcBorders>
              <w:top w:val="nil"/>
              <w:left w:val="nil"/>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color w:val="000000"/>
                <w:sz w:val="20"/>
                <w:szCs w:val="20"/>
              </w:rPr>
            </w:pPr>
            <w:r w:rsidRPr="00050F78">
              <w:rPr>
                <w:rFonts w:asciiTheme="minorHAnsi" w:hAnsiTheme="minorHAnsi" w:cs="Times New Roman"/>
                <w:b/>
                <w:color w:val="000000"/>
                <w:sz w:val="20"/>
                <w:szCs w:val="20"/>
              </w:rPr>
              <w:t xml:space="preserve">ostatní </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865 620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770 730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614 490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493 590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558 200</w:t>
            </w:r>
          </w:p>
        </w:tc>
      </w:tr>
      <w:tr w:rsidR="0038370F" w:rsidRPr="00AE54D1" w:rsidTr="00277262">
        <w:trPr>
          <w:trHeight w:val="369"/>
        </w:trPr>
        <w:tc>
          <w:tcPr>
            <w:tcW w:w="2494" w:type="dxa"/>
            <w:vMerge/>
            <w:tcBorders>
              <w:top w:val="nil"/>
              <w:left w:val="single" w:sz="4" w:space="0" w:color="auto"/>
              <w:bottom w:val="single" w:sz="4" w:space="0" w:color="auto"/>
              <w:right w:val="single" w:sz="4" w:space="0" w:color="auto"/>
            </w:tcBorders>
            <w:vAlign w:val="center"/>
            <w:hideMark/>
          </w:tcPr>
          <w:p w:rsidR="0038370F" w:rsidRPr="00050F78" w:rsidRDefault="0038370F" w:rsidP="002C40B2">
            <w:pPr>
              <w:spacing w:after="0"/>
              <w:jc w:val="left"/>
              <w:rPr>
                <w:rFonts w:asciiTheme="minorHAnsi" w:hAnsiTheme="minorHAnsi" w:cs="Times New Roman"/>
                <w:b/>
                <w:color w:val="000000"/>
                <w:sz w:val="20"/>
                <w:szCs w:val="20"/>
              </w:rPr>
            </w:pPr>
          </w:p>
        </w:tc>
        <w:tc>
          <w:tcPr>
            <w:tcW w:w="1216" w:type="dxa"/>
            <w:tcBorders>
              <w:top w:val="nil"/>
              <w:left w:val="nil"/>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color w:val="000000"/>
                <w:sz w:val="20"/>
                <w:szCs w:val="20"/>
              </w:rPr>
            </w:pPr>
            <w:r w:rsidRPr="00050F78">
              <w:rPr>
                <w:rFonts w:asciiTheme="minorHAnsi" w:hAnsiTheme="minorHAnsi" w:cs="Times New Roman"/>
                <w:b/>
                <w:color w:val="000000"/>
                <w:sz w:val="20"/>
                <w:szCs w:val="20"/>
              </w:rPr>
              <w:t xml:space="preserve">nebezpečné </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28 370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21 400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16 140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14 870</w:t>
            </w:r>
          </w:p>
        </w:tc>
        <w:tc>
          <w:tcPr>
            <w:tcW w:w="1056" w:type="dxa"/>
            <w:tcBorders>
              <w:top w:val="nil"/>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21 480</w:t>
            </w:r>
          </w:p>
        </w:tc>
      </w:tr>
      <w:tr w:rsidR="0038370F" w:rsidRPr="00AE54D1" w:rsidTr="00277262">
        <w:trPr>
          <w:trHeight w:val="369"/>
        </w:trPr>
        <w:tc>
          <w:tcPr>
            <w:tcW w:w="37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8370F" w:rsidRPr="00050F78" w:rsidRDefault="0038370F" w:rsidP="002C40B2">
            <w:pPr>
              <w:spacing w:after="0"/>
              <w:jc w:val="left"/>
              <w:rPr>
                <w:rFonts w:asciiTheme="minorHAnsi" w:hAnsiTheme="minorHAnsi" w:cs="Times New Roman"/>
                <w:b/>
                <w:bCs/>
                <w:color w:val="000000"/>
                <w:sz w:val="20"/>
                <w:szCs w:val="20"/>
              </w:rPr>
            </w:pPr>
            <w:r w:rsidRPr="00050F78">
              <w:rPr>
                <w:rFonts w:asciiTheme="minorHAnsi" w:hAnsiTheme="minorHAnsi" w:cs="Times New Roman"/>
                <w:b/>
                <w:bCs/>
                <w:color w:val="000000"/>
                <w:sz w:val="20"/>
                <w:szCs w:val="20"/>
              </w:rPr>
              <w:lastRenderedPageBreak/>
              <w:t>všechny (v kg/obyv.)</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2 903</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2 572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2 080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1 689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1 926</w:t>
            </w:r>
          </w:p>
        </w:tc>
      </w:tr>
      <w:tr w:rsidR="0038370F" w:rsidRPr="00AE54D1" w:rsidTr="00277262">
        <w:trPr>
          <w:trHeight w:val="369"/>
        </w:trPr>
        <w:tc>
          <w:tcPr>
            <w:tcW w:w="249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8370F" w:rsidRPr="00050F78" w:rsidRDefault="0038370F" w:rsidP="002C40B2">
            <w:pPr>
              <w:spacing w:after="0"/>
              <w:jc w:val="left"/>
              <w:rPr>
                <w:rFonts w:asciiTheme="minorHAnsi" w:hAnsiTheme="minorHAnsi" w:cs="Times New Roman"/>
                <w:b/>
                <w:color w:val="000000"/>
                <w:sz w:val="20"/>
                <w:szCs w:val="20"/>
              </w:rPr>
            </w:pPr>
            <w:r w:rsidRPr="00050F78">
              <w:rPr>
                <w:rFonts w:asciiTheme="minorHAnsi" w:hAnsiTheme="minorHAnsi" w:cs="Times New Roman"/>
                <w:b/>
                <w:color w:val="000000"/>
                <w:sz w:val="20"/>
                <w:szCs w:val="20"/>
              </w:rPr>
              <w:t>z toho</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color w:val="000000"/>
                <w:sz w:val="20"/>
                <w:szCs w:val="20"/>
              </w:rPr>
            </w:pPr>
            <w:r w:rsidRPr="00050F78">
              <w:rPr>
                <w:rFonts w:asciiTheme="minorHAnsi" w:hAnsiTheme="minorHAnsi" w:cs="Times New Roman"/>
                <w:b/>
                <w:color w:val="000000"/>
                <w:sz w:val="20"/>
                <w:szCs w:val="20"/>
              </w:rPr>
              <w:t xml:space="preserve">ostatní </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2 811</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2 503</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2 027</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1 639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1 855</w:t>
            </w:r>
          </w:p>
        </w:tc>
      </w:tr>
      <w:tr w:rsidR="0038370F" w:rsidRPr="00AE54D1" w:rsidTr="00277262">
        <w:trPr>
          <w:trHeight w:val="369"/>
        </w:trPr>
        <w:tc>
          <w:tcPr>
            <w:tcW w:w="2494" w:type="dxa"/>
            <w:vMerge/>
            <w:tcBorders>
              <w:top w:val="single" w:sz="4" w:space="0" w:color="auto"/>
              <w:left w:val="single" w:sz="4" w:space="0" w:color="auto"/>
              <w:bottom w:val="single" w:sz="4" w:space="0" w:color="auto"/>
              <w:right w:val="single" w:sz="4" w:space="0" w:color="auto"/>
            </w:tcBorders>
            <w:vAlign w:val="center"/>
            <w:hideMark/>
          </w:tcPr>
          <w:p w:rsidR="0038370F" w:rsidRPr="00050F78" w:rsidRDefault="0038370F" w:rsidP="002C40B2">
            <w:pPr>
              <w:spacing w:after="0"/>
              <w:jc w:val="left"/>
              <w:rPr>
                <w:rFonts w:asciiTheme="minorHAnsi" w:hAnsiTheme="minorHAnsi" w:cs="Times New Roman"/>
                <w:b/>
                <w:color w:val="000000"/>
                <w:sz w:val="20"/>
                <w:szCs w:val="20"/>
              </w:rPr>
            </w:pP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color w:val="000000"/>
                <w:sz w:val="20"/>
                <w:szCs w:val="20"/>
              </w:rPr>
            </w:pPr>
            <w:r w:rsidRPr="00050F78">
              <w:rPr>
                <w:rFonts w:asciiTheme="minorHAnsi" w:hAnsiTheme="minorHAnsi" w:cs="Times New Roman"/>
                <w:b/>
                <w:color w:val="000000"/>
                <w:sz w:val="20"/>
                <w:szCs w:val="20"/>
              </w:rPr>
              <w:t xml:space="preserve">nebezpečné </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92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69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53</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49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71</w:t>
            </w:r>
          </w:p>
        </w:tc>
      </w:tr>
      <w:tr w:rsidR="0038370F" w:rsidRPr="00AE54D1" w:rsidTr="00277262">
        <w:trPr>
          <w:trHeight w:val="369"/>
        </w:trPr>
        <w:tc>
          <w:tcPr>
            <w:tcW w:w="3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bCs/>
                <w:color w:val="000000"/>
                <w:sz w:val="20"/>
                <w:szCs w:val="20"/>
              </w:rPr>
            </w:pPr>
            <w:r w:rsidRPr="00050F78">
              <w:rPr>
                <w:rFonts w:asciiTheme="minorHAnsi" w:hAnsiTheme="minorHAnsi" w:cs="Times New Roman"/>
                <w:b/>
                <w:bCs/>
                <w:color w:val="000000"/>
                <w:sz w:val="20"/>
                <w:szCs w:val="20"/>
              </w:rPr>
              <w:t>komunální (KO)</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131 500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142 120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156 670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132 130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130 090</w:t>
            </w:r>
          </w:p>
        </w:tc>
      </w:tr>
      <w:tr w:rsidR="0038370F" w:rsidRPr="00AE54D1" w:rsidTr="00277262">
        <w:trPr>
          <w:trHeight w:val="369"/>
        </w:trPr>
        <w:tc>
          <w:tcPr>
            <w:tcW w:w="3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color w:val="000000"/>
                <w:sz w:val="20"/>
                <w:szCs w:val="20"/>
              </w:rPr>
            </w:pPr>
            <w:r w:rsidRPr="00050F78">
              <w:rPr>
                <w:rFonts w:asciiTheme="minorHAnsi" w:hAnsiTheme="minorHAnsi" w:cs="Times New Roman"/>
                <w:b/>
                <w:color w:val="000000"/>
                <w:sz w:val="20"/>
                <w:szCs w:val="20"/>
              </w:rPr>
              <w:t>z toho z obcí</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93 879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90 793</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93 756</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84 926</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86 645</w:t>
            </w:r>
          </w:p>
        </w:tc>
      </w:tr>
      <w:tr w:rsidR="0038370F" w:rsidRPr="00AE54D1" w:rsidTr="00277262">
        <w:trPr>
          <w:trHeight w:val="369"/>
        </w:trPr>
        <w:tc>
          <w:tcPr>
            <w:tcW w:w="37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70F" w:rsidRPr="00050F78" w:rsidRDefault="0038370F" w:rsidP="002C40B2">
            <w:pPr>
              <w:spacing w:after="0"/>
              <w:jc w:val="left"/>
              <w:rPr>
                <w:rFonts w:asciiTheme="minorHAnsi" w:hAnsiTheme="minorHAnsi" w:cs="Times New Roman"/>
                <w:b/>
                <w:bCs/>
                <w:color w:val="000000"/>
                <w:sz w:val="20"/>
                <w:szCs w:val="20"/>
              </w:rPr>
            </w:pPr>
            <w:r w:rsidRPr="00050F78">
              <w:rPr>
                <w:rFonts w:asciiTheme="minorHAnsi" w:hAnsiTheme="minorHAnsi" w:cs="Times New Roman"/>
                <w:b/>
                <w:bCs/>
                <w:color w:val="000000"/>
                <w:sz w:val="20"/>
                <w:szCs w:val="20"/>
              </w:rPr>
              <w:t>směsný KO</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90 800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87 442</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103 787</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81 150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78 443</w:t>
            </w:r>
          </w:p>
        </w:tc>
      </w:tr>
      <w:tr w:rsidR="0038370F" w:rsidRPr="00AE54D1" w:rsidTr="00277262">
        <w:trPr>
          <w:trHeight w:val="369"/>
        </w:trPr>
        <w:tc>
          <w:tcPr>
            <w:tcW w:w="371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8370F" w:rsidRPr="00050F78" w:rsidRDefault="0038370F" w:rsidP="002C40B2">
            <w:pPr>
              <w:spacing w:after="0"/>
              <w:jc w:val="left"/>
              <w:rPr>
                <w:rFonts w:asciiTheme="minorHAnsi" w:hAnsiTheme="minorHAnsi" w:cs="Times New Roman"/>
                <w:b/>
                <w:bCs/>
                <w:color w:val="000000"/>
                <w:sz w:val="20"/>
                <w:szCs w:val="20"/>
              </w:rPr>
            </w:pPr>
            <w:r w:rsidRPr="00050F78">
              <w:rPr>
                <w:rFonts w:asciiTheme="minorHAnsi" w:hAnsiTheme="minorHAnsi" w:cs="Times New Roman"/>
                <w:b/>
                <w:bCs/>
                <w:color w:val="000000"/>
                <w:sz w:val="20"/>
                <w:szCs w:val="20"/>
              </w:rPr>
              <w:t>objemný KO</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16 784</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14 999</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16 665</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15 997</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38370F" w:rsidRPr="00AE54D1" w:rsidRDefault="0038370F" w:rsidP="00050F78">
            <w:pPr>
              <w:spacing w:after="0"/>
              <w:jc w:val="center"/>
              <w:rPr>
                <w:rFonts w:asciiTheme="minorHAnsi" w:hAnsiTheme="minorHAnsi" w:cs="Times New Roman"/>
                <w:color w:val="000000"/>
                <w:sz w:val="20"/>
                <w:szCs w:val="20"/>
              </w:rPr>
            </w:pPr>
            <w:r w:rsidRPr="00AE54D1">
              <w:rPr>
                <w:rFonts w:asciiTheme="minorHAnsi" w:hAnsiTheme="minorHAnsi" w:cs="Times New Roman"/>
                <w:color w:val="000000"/>
                <w:sz w:val="20"/>
                <w:szCs w:val="20"/>
              </w:rPr>
              <w:t>16 654</w:t>
            </w:r>
          </w:p>
        </w:tc>
      </w:tr>
    </w:tbl>
    <w:p w:rsidR="0038370F" w:rsidRPr="00AE54D1" w:rsidRDefault="0038370F" w:rsidP="002C40B2">
      <w:pPr>
        <w:pStyle w:val="Zdrojdat"/>
        <w:spacing w:before="120" w:line="276" w:lineRule="auto"/>
        <w:rPr>
          <w:rStyle w:val="Zdraznnjemn"/>
          <w:i/>
        </w:rPr>
      </w:pPr>
      <w:r w:rsidRPr="00AE54D1">
        <w:rPr>
          <w:rStyle w:val="Zdraznnjemn"/>
          <w:i/>
        </w:rPr>
        <w:t>Zdroj: Databáze Karlovarského kraje (ISOH), 2015</w:t>
      </w:r>
    </w:p>
    <w:p w:rsidR="0038370F" w:rsidRDefault="0038370F" w:rsidP="002C40B2">
      <w:r>
        <w:t>Dle databáze bylo</w:t>
      </w:r>
      <w:r w:rsidRPr="009769DB">
        <w:t xml:space="preserve"> v Karlovarském kraji </w:t>
      </w:r>
      <w:r>
        <w:t xml:space="preserve">za rok 2013 </w:t>
      </w:r>
      <w:r w:rsidRPr="009769DB">
        <w:t xml:space="preserve">vyprodukováno </w:t>
      </w:r>
      <w:r>
        <w:t xml:space="preserve">téměř </w:t>
      </w:r>
      <w:r w:rsidRPr="009769DB">
        <w:t xml:space="preserve">580 tis. tun všech odpadů, z toho 21,5 tis. tun nebezpečného odpadu a 558 tis. tun ostatních odpadů. </w:t>
      </w:r>
      <w:r>
        <w:t xml:space="preserve">V posledních letech dochází k </w:t>
      </w:r>
      <w:r w:rsidRPr="009769DB">
        <w:t>poklesu produkce odpadů</w:t>
      </w:r>
      <w:r>
        <w:t>, který</w:t>
      </w:r>
      <w:r w:rsidRPr="009769DB">
        <w:t xml:space="preserve"> je pravděpodobně způsoben nástupem účinnějších technologií ve výrobě a omezením spotřeby</w:t>
      </w:r>
      <w:r>
        <w:t>.</w:t>
      </w:r>
      <w:r w:rsidRPr="009769DB">
        <w:t xml:space="preserve"> </w:t>
      </w:r>
    </w:p>
    <w:p w:rsidR="0038370F" w:rsidRDefault="0038370F" w:rsidP="002C40B2">
      <w:pPr>
        <w:rPr>
          <w:rFonts w:asciiTheme="minorHAnsi" w:hAnsiTheme="minorHAnsi"/>
        </w:rPr>
      </w:pPr>
      <w:r>
        <w:rPr>
          <w:rFonts w:asciiTheme="minorHAnsi" w:hAnsiTheme="minorHAnsi"/>
        </w:rPr>
        <w:t xml:space="preserve">Komunálního odpadu (KO) </w:t>
      </w:r>
      <w:r w:rsidRPr="009769DB">
        <w:rPr>
          <w:rFonts w:asciiTheme="minorHAnsi" w:hAnsiTheme="minorHAnsi"/>
        </w:rPr>
        <w:t xml:space="preserve">bylo v Karlovarském kraji vyprodukováno </w:t>
      </w:r>
      <w:r>
        <w:rPr>
          <w:rFonts w:asciiTheme="minorHAnsi" w:hAnsiTheme="minorHAnsi"/>
        </w:rPr>
        <w:t xml:space="preserve">v roce 2013 </w:t>
      </w:r>
      <w:r w:rsidRPr="009769DB">
        <w:rPr>
          <w:rFonts w:asciiTheme="minorHAnsi" w:hAnsiTheme="minorHAnsi"/>
        </w:rPr>
        <w:t>celkem 130 tis. tun</w:t>
      </w:r>
      <w:r>
        <w:rPr>
          <w:rFonts w:asciiTheme="minorHAnsi" w:hAnsiTheme="minorHAnsi"/>
        </w:rPr>
        <w:t xml:space="preserve">, z toho činily odpady obcí cca 86 tis, </w:t>
      </w:r>
      <w:r w:rsidRPr="009769DB">
        <w:rPr>
          <w:rFonts w:asciiTheme="minorHAnsi" w:hAnsiTheme="minorHAnsi"/>
        </w:rPr>
        <w:t>zbytek tvoří komunální odpady od všech původců mimo obce.</w:t>
      </w:r>
      <w:r>
        <w:rPr>
          <w:rFonts w:asciiTheme="minorHAnsi" w:hAnsiTheme="minorHAnsi"/>
        </w:rPr>
        <w:t xml:space="preserve"> </w:t>
      </w:r>
      <w:r w:rsidR="00AE54D1">
        <w:rPr>
          <w:rFonts w:asciiTheme="minorHAnsi" w:hAnsiTheme="minorHAnsi"/>
        </w:rPr>
        <w:br/>
      </w:r>
      <w:r>
        <w:rPr>
          <w:rFonts w:asciiTheme="minorHAnsi" w:hAnsiTheme="minorHAnsi"/>
        </w:rPr>
        <w:t>V porovnání s pře</w:t>
      </w:r>
      <w:r w:rsidR="00277262">
        <w:rPr>
          <w:rFonts w:asciiTheme="minorHAnsi" w:hAnsiTheme="minorHAnsi"/>
        </w:rPr>
        <w:t>d</w:t>
      </w:r>
      <w:r>
        <w:rPr>
          <w:rFonts w:asciiTheme="minorHAnsi" w:hAnsiTheme="minorHAnsi"/>
        </w:rPr>
        <w:t>chozími lety</w:t>
      </w:r>
      <w:r w:rsidRPr="009769DB">
        <w:rPr>
          <w:rFonts w:asciiTheme="minorHAnsi" w:hAnsiTheme="minorHAnsi"/>
        </w:rPr>
        <w:t xml:space="preserve"> </w:t>
      </w:r>
      <w:r>
        <w:rPr>
          <w:rFonts w:asciiTheme="minorHAnsi" w:hAnsiTheme="minorHAnsi"/>
        </w:rPr>
        <w:t>produkce KO klesá, což je</w:t>
      </w:r>
      <w:r w:rsidRPr="009769DB">
        <w:rPr>
          <w:rFonts w:asciiTheme="minorHAnsi" w:hAnsiTheme="minorHAnsi"/>
        </w:rPr>
        <w:t xml:space="preserve"> možné vysvětlit uplatňováním prevenčních opatření (např. kompostování domovního odpadu). </w:t>
      </w:r>
    </w:p>
    <w:p w:rsidR="0038370F" w:rsidRDefault="0038370F" w:rsidP="002C40B2">
      <w:pPr>
        <w:rPr>
          <w:rFonts w:asciiTheme="minorHAnsi" w:hAnsiTheme="minorHAnsi"/>
        </w:rPr>
      </w:pPr>
      <w:r w:rsidRPr="009769DB">
        <w:rPr>
          <w:rFonts w:asciiTheme="minorHAnsi" w:hAnsiTheme="minorHAnsi"/>
        </w:rPr>
        <w:t>Produkce směsných komunálních odpadů (SKO) v Karlovarském kraji dlouhodobě klesá. Příčinou je jednoznačně rozvoj separovaného sběru komunálních odpadů, kdy obyvatelé SKO třídí na jednotlivé komodity</w:t>
      </w:r>
      <w:r>
        <w:rPr>
          <w:rFonts w:asciiTheme="minorHAnsi" w:hAnsiTheme="minorHAnsi"/>
        </w:rPr>
        <w:t>.</w:t>
      </w:r>
      <w:r w:rsidRPr="009769DB">
        <w:rPr>
          <w:rFonts w:asciiTheme="minorHAnsi" w:hAnsiTheme="minorHAnsi"/>
        </w:rPr>
        <w:t xml:space="preserve"> Úbytek SKO rovněž souvisí s možností separace bioodpadů občany, kdy tyto jsou odděleně shromažďovány a využívány jako surovina v obecních/průmyslových kompostárnách či bioplynových stanicích, nebo přímo v domácích kompostech na zahradách u rodinných domů a chat</w:t>
      </w:r>
      <w:r>
        <w:rPr>
          <w:rFonts w:asciiTheme="minorHAnsi" w:hAnsiTheme="minorHAnsi"/>
        </w:rPr>
        <w:t>,</w:t>
      </w:r>
      <w:r w:rsidRPr="009769DB">
        <w:rPr>
          <w:rFonts w:asciiTheme="minorHAnsi" w:hAnsiTheme="minorHAnsi"/>
        </w:rPr>
        <w:t xml:space="preserve"> eventuálně v</w:t>
      </w:r>
      <w:r>
        <w:rPr>
          <w:rFonts w:asciiTheme="minorHAnsi" w:hAnsiTheme="minorHAnsi"/>
        </w:rPr>
        <w:t> </w:t>
      </w:r>
      <w:r w:rsidRPr="009769DB">
        <w:rPr>
          <w:rFonts w:asciiTheme="minorHAnsi" w:hAnsiTheme="minorHAnsi"/>
        </w:rPr>
        <w:t>kompostérech</w:t>
      </w:r>
      <w:r>
        <w:rPr>
          <w:rFonts w:asciiTheme="minorHAnsi" w:hAnsiTheme="minorHAnsi"/>
        </w:rPr>
        <w:t>.</w:t>
      </w:r>
      <w:r w:rsidRPr="009769DB">
        <w:rPr>
          <w:rFonts w:asciiTheme="minorHAnsi" w:hAnsiTheme="minorHAnsi"/>
        </w:rPr>
        <w:t xml:space="preserve"> Pokles množství SKO též souvisí s uvážlivějším chováním spotřebitelů (ekologická výchova a osvěta nejen ve školkách a školách)</w:t>
      </w:r>
      <w:r>
        <w:rPr>
          <w:rFonts w:asciiTheme="minorHAnsi" w:hAnsiTheme="minorHAnsi"/>
        </w:rPr>
        <w:t>.</w:t>
      </w:r>
      <w:r w:rsidRPr="009769DB">
        <w:rPr>
          <w:rFonts w:asciiTheme="minorHAnsi" w:hAnsiTheme="minorHAnsi"/>
        </w:rPr>
        <w:t xml:space="preserve"> </w:t>
      </w:r>
    </w:p>
    <w:p w:rsidR="0038370F" w:rsidRPr="009769DB" w:rsidRDefault="0038370F" w:rsidP="002C40B2">
      <w:pPr>
        <w:rPr>
          <w:rFonts w:asciiTheme="minorHAnsi" w:hAnsiTheme="minorHAnsi"/>
        </w:rPr>
      </w:pPr>
      <w:r w:rsidRPr="009769DB">
        <w:rPr>
          <w:rFonts w:asciiTheme="minorHAnsi" w:hAnsiTheme="minorHAnsi"/>
        </w:rPr>
        <w:t xml:space="preserve">Produkce objemného odpadu v Karlovarském kraji </w:t>
      </w:r>
      <w:r>
        <w:rPr>
          <w:rFonts w:asciiTheme="minorHAnsi" w:hAnsiTheme="minorHAnsi"/>
        </w:rPr>
        <w:t>dlouhodobě</w:t>
      </w:r>
      <w:r w:rsidRPr="009769DB">
        <w:rPr>
          <w:rFonts w:asciiTheme="minorHAnsi" w:hAnsiTheme="minorHAnsi"/>
        </w:rPr>
        <w:t xml:space="preserve"> osciluje kolem hodnoty 16, 5 tis. tun</w:t>
      </w:r>
      <w:r>
        <w:rPr>
          <w:rFonts w:asciiTheme="minorHAnsi" w:hAnsiTheme="minorHAnsi"/>
        </w:rPr>
        <w:t>.</w:t>
      </w:r>
      <w:r w:rsidRPr="009769DB">
        <w:rPr>
          <w:rFonts w:asciiTheme="minorHAnsi" w:hAnsiTheme="minorHAnsi"/>
        </w:rPr>
        <w:t xml:space="preserve"> </w:t>
      </w:r>
    </w:p>
    <w:p w:rsidR="0038370F" w:rsidRDefault="0038370F" w:rsidP="002C40B2">
      <w:pPr>
        <w:rPr>
          <w:rFonts w:asciiTheme="minorHAnsi" w:hAnsiTheme="minorHAnsi"/>
        </w:rPr>
      </w:pPr>
      <w:r>
        <w:rPr>
          <w:rFonts w:asciiTheme="minorHAnsi" w:hAnsiTheme="minorHAnsi"/>
        </w:rPr>
        <w:t xml:space="preserve">Co se tříděného odpadu týče </w:t>
      </w:r>
      <w:r w:rsidRPr="009769DB">
        <w:rPr>
          <w:rFonts w:asciiTheme="minorHAnsi" w:hAnsiTheme="minorHAnsi"/>
        </w:rPr>
        <w:t>(papír, plasty,</w:t>
      </w:r>
      <w:r>
        <w:rPr>
          <w:rFonts w:asciiTheme="minorHAnsi" w:hAnsiTheme="minorHAnsi"/>
        </w:rPr>
        <w:t xml:space="preserve"> sklo, nápojový karton a kovy), bylo odděleně shromážděno</w:t>
      </w:r>
      <w:r w:rsidRPr="009769DB">
        <w:rPr>
          <w:rFonts w:asciiTheme="minorHAnsi" w:hAnsiTheme="minorHAnsi"/>
        </w:rPr>
        <w:t xml:space="preserve"> 9,3 tis. tun (</w:t>
      </w:r>
      <w:r>
        <w:rPr>
          <w:rFonts w:asciiTheme="minorHAnsi" w:hAnsiTheme="minorHAnsi"/>
        </w:rPr>
        <w:t>17,3</w:t>
      </w:r>
      <w:r w:rsidRPr="009769DB">
        <w:rPr>
          <w:rFonts w:asciiTheme="minorHAnsi" w:hAnsiTheme="minorHAnsi"/>
        </w:rPr>
        <w:t xml:space="preserve"> kg/obyv.) papírového odpadu</w:t>
      </w:r>
      <w:r>
        <w:rPr>
          <w:rFonts w:asciiTheme="minorHAnsi" w:hAnsiTheme="minorHAnsi"/>
        </w:rPr>
        <w:t xml:space="preserve">, </w:t>
      </w:r>
      <w:r w:rsidRPr="009769DB">
        <w:rPr>
          <w:rFonts w:asciiTheme="minorHAnsi" w:hAnsiTheme="minorHAnsi"/>
        </w:rPr>
        <w:t>3,4 tis. tun (</w:t>
      </w:r>
      <w:r>
        <w:rPr>
          <w:rFonts w:asciiTheme="minorHAnsi" w:hAnsiTheme="minorHAnsi"/>
        </w:rPr>
        <w:t>10,3</w:t>
      </w:r>
      <w:r w:rsidRPr="009769DB">
        <w:rPr>
          <w:rFonts w:asciiTheme="minorHAnsi" w:hAnsiTheme="minorHAnsi"/>
        </w:rPr>
        <w:t> kg/obyv.) plastového odpadu a 8,4 tis. tun (</w:t>
      </w:r>
      <w:r>
        <w:rPr>
          <w:rFonts w:asciiTheme="minorHAnsi" w:hAnsiTheme="minorHAnsi"/>
        </w:rPr>
        <w:t>3,3</w:t>
      </w:r>
      <w:r w:rsidRPr="009769DB">
        <w:rPr>
          <w:rFonts w:asciiTheme="minorHAnsi" w:hAnsiTheme="minorHAnsi"/>
        </w:rPr>
        <w:t xml:space="preserve"> kg/obyv.) kovového odpadu. Množství odděleně shromážděného papíru se od roku 2009 do současnosti dlouhodobě zvyšuje, u kovů naopak dochází od roku 2011 k poklesu. </w:t>
      </w:r>
      <w:r>
        <w:rPr>
          <w:rFonts w:asciiTheme="minorHAnsi" w:hAnsiTheme="minorHAnsi"/>
        </w:rPr>
        <w:t>Množství odděleně shromážděného plastu</w:t>
      </w:r>
      <w:r w:rsidRPr="00CB4CFA">
        <w:rPr>
          <w:rFonts w:asciiTheme="minorHAnsi" w:hAnsiTheme="minorHAnsi"/>
        </w:rPr>
        <w:t xml:space="preserve"> </w:t>
      </w:r>
      <w:r>
        <w:rPr>
          <w:rFonts w:asciiTheme="minorHAnsi" w:hAnsiTheme="minorHAnsi"/>
        </w:rPr>
        <w:t xml:space="preserve">v posledních letech roste, a to díky </w:t>
      </w:r>
      <w:r w:rsidRPr="009769DB">
        <w:rPr>
          <w:rFonts w:asciiTheme="minorHAnsi" w:hAnsiTheme="minorHAnsi"/>
        </w:rPr>
        <w:t>zvyšování kapacity systémů odděleného sběru plastů v</w:t>
      </w:r>
      <w:r>
        <w:rPr>
          <w:rFonts w:asciiTheme="minorHAnsi" w:hAnsiTheme="minorHAnsi"/>
        </w:rPr>
        <w:t> </w:t>
      </w:r>
      <w:r w:rsidRPr="009769DB">
        <w:rPr>
          <w:rFonts w:asciiTheme="minorHAnsi" w:hAnsiTheme="minorHAnsi"/>
        </w:rPr>
        <w:t>obcích</w:t>
      </w:r>
      <w:r>
        <w:rPr>
          <w:rFonts w:asciiTheme="minorHAnsi" w:hAnsiTheme="minorHAnsi"/>
        </w:rPr>
        <w:t xml:space="preserve">, </w:t>
      </w:r>
      <w:r w:rsidRPr="009769DB">
        <w:rPr>
          <w:rFonts w:asciiTheme="minorHAnsi" w:hAnsiTheme="minorHAnsi"/>
        </w:rPr>
        <w:t>větší poptáv</w:t>
      </w:r>
      <w:r>
        <w:rPr>
          <w:rFonts w:asciiTheme="minorHAnsi" w:hAnsiTheme="minorHAnsi"/>
        </w:rPr>
        <w:t>ce</w:t>
      </w:r>
      <w:r w:rsidRPr="009769DB">
        <w:rPr>
          <w:rFonts w:asciiTheme="minorHAnsi" w:hAnsiTheme="minorHAnsi"/>
        </w:rPr>
        <w:t xml:space="preserve"> po surovině a možnost</w:t>
      </w:r>
      <w:r>
        <w:rPr>
          <w:rFonts w:asciiTheme="minorHAnsi" w:hAnsiTheme="minorHAnsi"/>
        </w:rPr>
        <w:t>i</w:t>
      </w:r>
      <w:r w:rsidRPr="009769DB">
        <w:rPr>
          <w:rFonts w:asciiTheme="minorHAnsi" w:hAnsiTheme="minorHAnsi"/>
        </w:rPr>
        <w:t xml:space="preserve"> zpracování suroviny přímo na území Karlovarského kraje.</w:t>
      </w:r>
    </w:p>
    <w:p w:rsidR="0038370F" w:rsidRPr="00EC7FDB" w:rsidRDefault="0038370F" w:rsidP="000B3B9C">
      <w:pPr>
        <w:pStyle w:val="Titulek"/>
      </w:pPr>
      <w:bookmarkStart w:id="388" w:name="_Toc488234385"/>
      <w:r>
        <w:lastRenderedPageBreak/>
        <w:t xml:space="preserve">Graf </w:t>
      </w:r>
      <w:r w:rsidR="008965FE">
        <w:fldChar w:fldCharType="begin"/>
      </w:r>
      <w:r w:rsidR="00FD378B">
        <w:instrText xml:space="preserve"> STYLEREF 1 \s </w:instrText>
      </w:r>
      <w:r w:rsidR="008965FE">
        <w:fldChar w:fldCharType="separate"/>
      </w:r>
      <w:r w:rsidR="00CB29BD">
        <w:t>16</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r>
        <w:t xml:space="preserve">: </w:t>
      </w:r>
      <w:r w:rsidRPr="00EC7FDB">
        <w:t>Výtěžnost tříděného komunálního odpadu</w:t>
      </w:r>
      <w:r>
        <w:t xml:space="preserve"> v letech 2009 - 2013</w:t>
      </w:r>
      <w:r w:rsidRPr="00EC7FDB">
        <w:t xml:space="preserve"> (v kg/obyv.)</w:t>
      </w:r>
      <w:bookmarkEnd w:id="388"/>
    </w:p>
    <w:p w:rsidR="0038370F" w:rsidRDefault="0038370F" w:rsidP="002C40B2">
      <w:bookmarkStart w:id="389" w:name="_Toc432677808"/>
      <w:r>
        <w:rPr>
          <w:noProof/>
        </w:rPr>
        <w:drawing>
          <wp:inline distT="0" distB="0" distL="0" distR="0">
            <wp:extent cx="5753100" cy="2743200"/>
            <wp:effectExtent l="0" t="0" r="0" b="0"/>
            <wp:docPr id="255" name="Graf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4E6DF5" w:rsidRDefault="0038370F" w:rsidP="002C40B2">
      <w:pPr>
        <w:rPr>
          <w:rStyle w:val="Zdraznnjemn"/>
        </w:rPr>
      </w:pPr>
      <w:r w:rsidRPr="00AE54D1">
        <w:rPr>
          <w:rStyle w:val="Zdraznnjemn"/>
        </w:rPr>
        <w:t>Zdroj: MŽP – data od Autorizované obalové společnosti EKOKOM a.s., 2015</w:t>
      </w:r>
      <w:bookmarkEnd w:id="389"/>
    </w:p>
    <w:p w:rsidR="0038370F" w:rsidRPr="004E6DF5" w:rsidRDefault="0038370F" w:rsidP="002C40B2">
      <w:pPr>
        <w:rPr>
          <w:i/>
          <w:iCs/>
          <w:sz w:val="20"/>
        </w:rPr>
      </w:pPr>
      <w:r>
        <w:t>Z hlediska nakládání s odpady bylo v</w:t>
      </w:r>
      <w:r w:rsidRPr="009769DB">
        <w:t xml:space="preserve"> Karlovarském kraji v roce 2013 </w:t>
      </w:r>
      <w:r>
        <w:t xml:space="preserve">z celkově </w:t>
      </w:r>
      <w:r w:rsidRPr="009769DB">
        <w:t>vyprodukov</w:t>
      </w:r>
      <w:r w:rsidR="00277262">
        <w:t>aného</w:t>
      </w:r>
      <w:r w:rsidRPr="009769DB">
        <w:t xml:space="preserve"> odpad</w:t>
      </w:r>
      <w:r>
        <w:t>u</w:t>
      </w:r>
      <w:r w:rsidRPr="009769DB">
        <w:t xml:space="preserve"> od všech původců</w:t>
      </w:r>
      <w:r>
        <w:t xml:space="preserve"> (celkem </w:t>
      </w:r>
      <w:r w:rsidRPr="009769DB">
        <w:t>580 tis. tun</w:t>
      </w:r>
      <w:r>
        <w:t>) využito 451 458 tis tun odpadů (79</w:t>
      </w:r>
      <w:r w:rsidRPr="009769DB">
        <w:t xml:space="preserve"> %</w:t>
      </w:r>
      <w:r>
        <w:t>), z toho bylo 451 458 tis. tun (</w:t>
      </w:r>
      <w:r w:rsidRPr="009769DB">
        <w:t>78 %</w:t>
      </w:r>
      <w:r>
        <w:t>)</w:t>
      </w:r>
      <w:r w:rsidRPr="009769DB">
        <w:t xml:space="preserve"> využito materiálově a </w:t>
      </w:r>
      <w:r>
        <w:t>6 541 tis. tun (</w:t>
      </w:r>
      <w:r w:rsidRPr="009769DB">
        <w:t>1%</w:t>
      </w:r>
      <w:r>
        <w:t>)</w:t>
      </w:r>
      <w:r w:rsidRPr="009769DB">
        <w:t xml:space="preserve"> energeticky. </w:t>
      </w:r>
      <w:r>
        <w:t>96 961 tis. tun (</w:t>
      </w:r>
      <w:r w:rsidRPr="009769DB">
        <w:t>17 %</w:t>
      </w:r>
      <w:r>
        <w:t>)</w:t>
      </w:r>
      <w:r w:rsidRPr="009769DB">
        <w:t xml:space="preserve"> všech odpadů bylo odstraněno skládkováním. </w:t>
      </w:r>
      <w:r>
        <w:t>Ž</w:t>
      </w:r>
      <w:r w:rsidRPr="006F4A90">
        <w:t xml:space="preserve">ádné odpady </w:t>
      </w:r>
      <w:r>
        <w:t xml:space="preserve">nebyly </w:t>
      </w:r>
      <w:r w:rsidRPr="006F4A90">
        <w:t>odstraňovány spalováním bez využití energie. (Databáze Karlovarského kraje ISOH, 2015)</w:t>
      </w:r>
    </w:p>
    <w:p w:rsidR="0038370F" w:rsidRPr="004E6DF5" w:rsidRDefault="0038370F" w:rsidP="002C40B2">
      <w:pPr>
        <w:pStyle w:val="Nadpis2"/>
      </w:pPr>
      <w:r w:rsidRPr="004E6DF5">
        <w:t>Ovzduší</w:t>
      </w:r>
    </w:p>
    <w:p w:rsidR="0038370F" w:rsidRPr="00E43295" w:rsidRDefault="0038370F" w:rsidP="002C40B2">
      <w:r>
        <w:t>Karlovarský kraj se dlouhodobě řadí mezi kraje s dobrou kvalitou ovzduší, což je dáno typem průmyslové výroby a charakterem osídlení. Znečištění ovzduší ovlivňují v kraji rovněž aktuální rozptylové podmínky (</w:t>
      </w:r>
      <w:r w:rsidRPr="004E6DF5">
        <w:t>Zpráva o životním prostředí v Karlovarském kraji 2014</w:t>
      </w:r>
      <w:r>
        <w:t>, s. 7).</w:t>
      </w:r>
    </w:p>
    <w:p w:rsidR="0038370F" w:rsidRDefault="0038370F" w:rsidP="002C40B2">
      <w:pPr>
        <w:rPr>
          <w:bCs/>
        </w:rPr>
      </w:pPr>
      <w:r w:rsidRPr="00B04217">
        <w:t xml:space="preserve">Pro vybrané znečišťující látky jsou legislativou stanoveny imisní limity </w:t>
      </w:r>
      <w:r>
        <w:t>v</w:t>
      </w:r>
      <w:r w:rsidRPr="00B04217">
        <w:t xml:space="preserve"> příl</w:t>
      </w:r>
      <w:r>
        <w:t>oze</w:t>
      </w:r>
      <w:r w:rsidRPr="00B04217">
        <w:t xml:space="preserve"> č. 1 zákona </w:t>
      </w:r>
      <w:r w:rsidR="00277262">
        <w:br/>
      </w:r>
      <w:r>
        <w:t xml:space="preserve">č. 201/2012 Sb., </w:t>
      </w:r>
      <w:r w:rsidRPr="00B04217">
        <w:t xml:space="preserve">o ochraně ovzduší. </w:t>
      </w:r>
      <w:r>
        <w:t>Monitoring a vyhodnocení z</w:t>
      </w:r>
      <w:r w:rsidRPr="00B04217">
        <w:t>nečištěn</w:t>
      </w:r>
      <w:r>
        <w:t>í</w:t>
      </w:r>
      <w:r w:rsidRPr="00B04217">
        <w:t xml:space="preserve"> oblastí provádí každoročně Ministerstvo životního prostředí</w:t>
      </w:r>
      <w:r>
        <w:t>.</w:t>
      </w:r>
      <w:r w:rsidRPr="00B04217">
        <w:t xml:space="preserve"> </w:t>
      </w:r>
      <w:r w:rsidRPr="0036415C">
        <w:rPr>
          <w:b/>
        </w:rPr>
        <w:t xml:space="preserve">Ze sledovaných </w:t>
      </w:r>
      <w:r>
        <w:rPr>
          <w:b/>
        </w:rPr>
        <w:t xml:space="preserve">regulovaných </w:t>
      </w:r>
      <w:r w:rsidRPr="0036415C">
        <w:rPr>
          <w:b/>
        </w:rPr>
        <w:t xml:space="preserve">znečišťujících látek jsou v Karlovarském kraji </w:t>
      </w:r>
      <w:r>
        <w:rPr>
          <w:b/>
          <w:bCs/>
        </w:rPr>
        <w:t xml:space="preserve">prioritními: </w:t>
      </w:r>
      <w:r w:rsidRPr="0036415C">
        <w:rPr>
          <w:b/>
          <w:bCs/>
        </w:rPr>
        <w:t>primární částice PM</w:t>
      </w:r>
      <w:r w:rsidRPr="0036415C">
        <w:rPr>
          <w:b/>
          <w:bCs/>
          <w:vertAlign w:val="subscript"/>
        </w:rPr>
        <w:t>10</w:t>
      </w:r>
      <w:r w:rsidRPr="0036415C">
        <w:rPr>
          <w:b/>
          <w:bCs/>
        </w:rPr>
        <w:t xml:space="preserve"> a PM</w:t>
      </w:r>
      <w:r w:rsidRPr="0036415C">
        <w:rPr>
          <w:b/>
          <w:bCs/>
          <w:vertAlign w:val="subscript"/>
        </w:rPr>
        <w:t xml:space="preserve">2.5, </w:t>
      </w:r>
      <w:r w:rsidRPr="0036415C">
        <w:rPr>
          <w:b/>
          <w:bCs/>
        </w:rPr>
        <w:t>benzo(a)pyren a troposférický ozon a jeho prekurzory</w:t>
      </w:r>
      <w:r w:rsidRPr="00317074">
        <w:rPr>
          <w:bCs/>
        </w:rPr>
        <w:t xml:space="preserve">. </w:t>
      </w:r>
      <w:r>
        <w:rPr>
          <w:bCs/>
        </w:rPr>
        <w:t>Oxid siřičitý, oxid dusičitý, oxid uhelnatý a těžké kovy nepředstavují v Karlovarském kraji problém. Jejich koncentrace se pohybují dlouhodobě pod stanovenými imisními limity.</w:t>
      </w:r>
    </w:p>
    <w:p w:rsidR="0038370F" w:rsidRPr="00105F22" w:rsidRDefault="0038370F" w:rsidP="002C40B2">
      <w:r w:rsidRPr="00105F22">
        <w:rPr>
          <w:bCs/>
        </w:rPr>
        <w:t xml:space="preserve">Z hlediska sektorů je, vzhledem k podílu na celkových emisích prioritních znečišťujících látek a k vysokému využitelnému potenciálu snížení emisí, nejvýznamnějším sektorem </w:t>
      </w:r>
      <w:r>
        <w:rPr>
          <w:bCs/>
        </w:rPr>
        <w:t>l</w:t>
      </w:r>
      <w:r w:rsidRPr="00105F22">
        <w:rPr>
          <w:bCs/>
        </w:rPr>
        <w:t xml:space="preserve">okální vytápění domácností. V případě troposférického ozonu je </w:t>
      </w:r>
      <w:r>
        <w:rPr>
          <w:bCs/>
        </w:rPr>
        <w:t xml:space="preserve">ještě </w:t>
      </w:r>
      <w:r w:rsidRPr="00105F22">
        <w:rPr>
          <w:bCs/>
        </w:rPr>
        <w:t>významn</w:t>
      </w:r>
      <w:r>
        <w:rPr>
          <w:bCs/>
        </w:rPr>
        <w:t>ým</w:t>
      </w:r>
      <w:r w:rsidRPr="00105F22">
        <w:rPr>
          <w:bCs/>
        </w:rPr>
        <w:t xml:space="preserve"> sektorem doprava. </w:t>
      </w:r>
    </w:p>
    <w:p w:rsidR="0038370F" w:rsidRDefault="0038370F" w:rsidP="002C40B2">
      <w:r w:rsidRPr="002E6FB4">
        <w:rPr>
          <w:b/>
          <w:bCs/>
        </w:rPr>
        <w:t>Primární částice PM</w:t>
      </w:r>
      <w:r w:rsidRPr="002E6FB4">
        <w:rPr>
          <w:b/>
          <w:bCs/>
          <w:vertAlign w:val="subscript"/>
        </w:rPr>
        <w:t>10</w:t>
      </w:r>
      <w:r w:rsidRPr="002E6FB4">
        <w:rPr>
          <w:b/>
          <w:bCs/>
        </w:rPr>
        <w:t xml:space="preserve"> a PM</w:t>
      </w:r>
      <w:r w:rsidR="004E6DF5">
        <w:rPr>
          <w:b/>
          <w:bCs/>
          <w:vertAlign w:val="subscript"/>
        </w:rPr>
        <w:t>2.5</w:t>
      </w:r>
      <w:r w:rsidR="004E6DF5">
        <w:rPr>
          <w:b/>
        </w:rPr>
        <w:t xml:space="preserve"> - </w:t>
      </w:r>
      <w:r w:rsidRPr="00D617E6">
        <w:t>představují největší problém z hlediska vlivu znečištění ovzduší na lidské zdraví.</w:t>
      </w:r>
      <w:r>
        <w:t xml:space="preserve"> V Karlovarském kraji byl překročen imisní limit u PM</w:t>
      </w:r>
      <w:r w:rsidRPr="00D617E6">
        <w:rPr>
          <w:b/>
          <w:bCs/>
          <w:vertAlign w:val="subscript"/>
        </w:rPr>
        <w:t>10</w:t>
      </w:r>
      <w:r>
        <w:t xml:space="preserve"> v roce 2011, přičemž v pětiletém klouzavém průměru pro stanovení oblasti se zhoršenou kvalitou ovzduší nebylo vyhodnoceno žádné území v Karlovarském kraji s vyšší než přípustnou koncentrací u obou druhů částic. N</w:t>
      </w:r>
      <w:r w:rsidRPr="00EC0F2B">
        <w:t>a koncentrac</w:t>
      </w:r>
      <w:r>
        <w:t xml:space="preserve">i </w:t>
      </w:r>
      <w:r>
        <w:lastRenderedPageBreak/>
        <w:t>škodlivých látek</w:t>
      </w:r>
      <w:r w:rsidRPr="00EC0F2B">
        <w:t xml:space="preserve"> </w:t>
      </w:r>
      <w:r>
        <w:t xml:space="preserve">mají </w:t>
      </w:r>
      <w:r w:rsidRPr="00EC0F2B">
        <w:t>významný</w:t>
      </w:r>
      <w:r>
        <w:t xml:space="preserve"> </w:t>
      </w:r>
      <w:r w:rsidRPr="00EC0F2B">
        <w:t>vliv</w:t>
      </w:r>
      <w:r>
        <w:t xml:space="preserve"> meteorologické podmínky a</w:t>
      </w:r>
      <w:r w:rsidRPr="00EC0F2B">
        <w:t xml:space="preserve"> umístění stanice</w:t>
      </w:r>
      <w:r>
        <w:t>,</w:t>
      </w:r>
      <w:r w:rsidRPr="00EC0F2B">
        <w:t xml:space="preserve"> zejména ve vztahu </w:t>
      </w:r>
      <w:r w:rsidR="004E6DF5">
        <w:br/>
      </w:r>
      <w:r w:rsidRPr="00EC0F2B">
        <w:t>k dopravě. Dopravně zatížené lokality dosahují</w:t>
      </w:r>
      <w:r>
        <w:t xml:space="preserve"> dlouhodobě vyšších koncentrací</w:t>
      </w:r>
      <w:r w:rsidRPr="00EC0F2B">
        <w:t xml:space="preserve"> než pozaďové lokality.</w:t>
      </w:r>
    </w:p>
    <w:p w:rsidR="0038370F" w:rsidRDefault="0038370F" w:rsidP="002C40B2">
      <w:r w:rsidRPr="00076669">
        <w:rPr>
          <w:b/>
        </w:rPr>
        <w:t>Benzo(a)pyren</w:t>
      </w:r>
      <w:r>
        <w:rPr>
          <w:b/>
        </w:rPr>
        <w:t xml:space="preserve"> - </w:t>
      </w:r>
      <w:r>
        <w:t>j</w:t>
      </w:r>
      <w:r w:rsidRPr="00DB2BAF">
        <w:t>eho</w:t>
      </w:r>
      <w:r>
        <w:t xml:space="preserve"> </w:t>
      </w:r>
      <w:r w:rsidRPr="00DB2BAF">
        <w:t>zdrojem je</w:t>
      </w:r>
      <w:r>
        <w:t xml:space="preserve"> jednak nedokonalé spalová</w:t>
      </w:r>
      <w:r w:rsidRPr="00DB2BAF">
        <w:t>ní fosilních paliv jak ve stacionárních (domácí</w:t>
      </w:r>
      <w:r>
        <w:t xml:space="preserve"> </w:t>
      </w:r>
      <w:r w:rsidRPr="00DB2BAF">
        <w:t>topeniště a spalování odpadu)</w:t>
      </w:r>
      <w:r>
        <w:t>,</w:t>
      </w:r>
      <w:r w:rsidRPr="00DB2BAF">
        <w:t xml:space="preserve"> tak i v mobilních zdr</w:t>
      </w:r>
      <w:r>
        <w:t xml:space="preserve">ojích (motory spalující naftu). </w:t>
      </w:r>
      <w:r w:rsidRPr="00DB2BAF">
        <w:t xml:space="preserve">V České republice </w:t>
      </w:r>
      <w:r>
        <w:t>jsou nevýznamnějšími zdroji</w:t>
      </w:r>
      <w:r w:rsidRPr="00DB2BAF">
        <w:t xml:space="preserve"> </w:t>
      </w:r>
      <w:r>
        <w:t xml:space="preserve">emisí Benzo(a)propyrenu </w:t>
      </w:r>
      <w:r w:rsidRPr="00DB2BAF">
        <w:t>domácí topeniště</w:t>
      </w:r>
      <w:r>
        <w:t xml:space="preserve"> (</w:t>
      </w:r>
      <w:r w:rsidRPr="00DB2BAF">
        <w:t>produkují více než 60 % z celkových emisí</w:t>
      </w:r>
      <w:r>
        <w:t>)</w:t>
      </w:r>
      <w:r w:rsidRPr="00DB2BAF">
        <w:t xml:space="preserve"> </w:t>
      </w:r>
      <w:r>
        <w:t>a m</w:t>
      </w:r>
      <w:r w:rsidRPr="00DB2BAF">
        <w:t>obilní zdroje (zejména naftové</w:t>
      </w:r>
      <w:r>
        <w:t xml:space="preserve"> motory).</w:t>
      </w:r>
    </w:p>
    <w:p w:rsidR="0038370F" w:rsidRDefault="0038370F" w:rsidP="002C40B2">
      <w:r>
        <w:t xml:space="preserve">V Karlovarském kraji se měří pouze na lokalitě Sokolov. Území s tzv. zhoršenou kvalitou ovzduší za pětileté období 2007 – 2011 bylo identifikováno pouze v oblasti Karlových Var a Otovic. </w:t>
      </w:r>
    </w:p>
    <w:p w:rsidR="0038370F" w:rsidRDefault="0038370F" w:rsidP="002C40B2">
      <w:r w:rsidRPr="00076669">
        <w:rPr>
          <w:b/>
          <w:bCs/>
        </w:rPr>
        <w:t>Troposférický (přízemní) ozon</w:t>
      </w:r>
      <w:r>
        <w:rPr>
          <w:b/>
          <w:bCs/>
        </w:rPr>
        <w:t xml:space="preserve"> - </w:t>
      </w:r>
      <w:r w:rsidRPr="00076669">
        <w:t>je celoevropský</w:t>
      </w:r>
      <w:r>
        <w:t>m</w:t>
      </w:r>
      <w:r w:rsidRPr="00076669">
        <w:t xml:space="preserve"> problém</w:t>
      </w:r>
      <w:r>
        <w:t>em</w:t>
      </w:r>
      <w:r w:rsidRPr="00076669">
        <w:t>, jelikož nemá vlastní významný</w:t>
      </w:r>
      <w:r>
        <w:t xml:space="preserve"> </w:t>
      </w:r>
      <w:r w:rsidRPr="00076669">
        <w:t>emisní zdroj. Nejvyšších koncentrací je dosahováno na pozaďových lokalitách</w:t>
      </w:r>
      <w:r>
        <w:t>, k</w:t>
      </w:r>
      <w:r w:rsidRPr="00076669">
        <w:t>ulminace</w:t>
      </w:r>
      <w:r>
        <w:t xml:space="preserve"> </w:t>
      </w:r>
      <w:r w:rsidRPr="00076669">
        <w:t>koncentrací (na rozdíl od všech ostatních škodlivin) nastává v létě, zejména při dostatku</w:t>
      </w:r>
      <w:r>
        <w:t xml:space="preserve"> </w:t>
      </w:r>
      <w:r w:rsidRPr="00076669">
        <w:t>slunečního záření a vyšších teplotách.</w:t>
      </w:r>
    </w:p>
    <w:p w:rsidR="00A073D8" w:rsidRDefault="0038370F" w:rsidP="002C40B2">
      <w:r>
        <w:t>S kvalitou ovzduší úzce souvisí pojem znečišťování ovzduší. Jak je patrné z </w:t>
      </w:r>
      <w:r w:rsidR="004F2330">
        <w:fldChar w:fldCharType="begin"/>
      </w:r>
      <w:r w:rsidR="004F2330">
        <w:instrText xml:space="preserve"> REF _Ref469052587 \h  \* MERGEFORMAT </w:instrText>
      </w:r>
      <w:r w:rsidR="004F2330">
        <w:fldChar w:fldCharType="separate"/>
      </w:r>
      <w:r w:rsidR="003E6BE0">
        <w:t>o</w:t>
      </w:r>
      <w:r w:rsidR="00CB29BD">
        <w:t>brázk</w:t>
      </w:r>
      <w:r w:rsidR="003E6BE0">
        <w:t>u</w:t>
      </w:r>
      <w:r w:rsidR="00CB29BD">
        <w:t xml:space="preserve"> </w:t>
      </w:r>
      <w:r w:rsidR="00CB29BD">
        <w:rPr>
          <w:noProof/>
        </w:rPr>
        <w:t>16</w:t>
      </w:r>
      <w:r w:rsidR="00CB29BD">
        <w:t>.4</w:t>
      </w:r>
      <w:r w:rsidR="004F2330">
        <w:fldChar w:fldCharType="end"/>
      </w:r>
      <w:r>
        <w:t xml:space="preserve">, </w:t>
      </w:r>
      <w:r w:rsidRPr="0067789E">
        <w:t xml:space="preserve">nejhorší situace ovzduší </w:t>
      </w:r>
      <w:r>
        <w:t xml:space="preserve">je </w:t>
      </w:r>
      <w:r w:rsidRPr="0067789E">
        <w:t xml:space="preserve">v městské části Chebu, Sokolova, Karlových Varů, Chodova, Vřesové a Ostrova. Oblast Krušných hor </w:t>
      </w:r>
      <w:r>
        <w:t>a</w:t>
      </w:r>
      <w:r w:rsidRPr="0067789E">
        <w:t> Slavkovského lesa dosahuje nejlepších hod</w:t>
      </w:r>
      <w:r>
        <w:t>not. Celkově však lze hodnotit e</w:t>
      </w:r>
      <w:r w:rsidRPr="0067789E">
        <w:t>misní situaci v kraji jako velmi dobrou.</w:t>
      </w:r>
      <w:r w:rsidR="00A073D8" w:rsidRPr="00A073D8">
        <w:t xml:space="preserve"> </w:t>
      </w:r>
    </w:p>
    <w:p w:rsidR="0038370F" w:rsidRPr="0067789E" w:rsidRDefault="00A073D8" w:rsidP="002C40B2">
      <w:r>
        <w:t>Zá</w:t>
      </w:r>
      <w:r w:rsidRPr="00907E83">
        <w:t>kladním podkladem</w:t>
      </w:r>
      <w:r>
        <w:t xml:space="preserve"> pro h</w:t>
      </w:r>
      <w:r w:rsidRPr="00907E83">
        <w:t>odnocení úrovně znečišťování ovzduší je tzv</w:t>
      </w:r>
      <w:r w:rsidRPr="009E53DF">
        <w:t>. emisní inventura. Výsledky</w:t>
      </w:r>
      <w:r w:rsidRPr="00907E83">
        <w:t xml:space="preserve"> emisn</w:t>
      </w:r>
      <w:r>
        <w:t>ích inventur jsou pre</w:t>
      </w:r>
      <w:r w:rsidRPr="00907E83">
        <w:t>zent</w:t>
      </w:r>
      <w:r>
        <w:t>ovány v podobě emisních bilancí. V </w:t>
      </w:r>
      <w:r w:rsidR="004F2330">
        <w:fldChar w:fldCharType="begin"/>
      </w:r>
      <w:r w:rsidR="004F2330">
        <w:instrText xml:space="preserve"> REF _Ref469052674 \h  \* MERGEFORMAT </w:instrText>
      </w:r>
      <w:r w:rsidR="004F2330">
        <w:fldChar w:fldCharType="separate"/>
      </w:r>
      <w:r w:rsidR="00536ECC">
        <w:t>g</w:t>
      </w:r>
      <w:r w:rsidR="00CB29BD" w:rsidRPr="00277262">
        <w:t>raf</w:t>
      </w:r>
      <w:r w:rsidR="00536ECC">
        <w:t>u</w:t>
      </w:r>
      <w:r w:rsidR="00CB29BD" w:rsidRPr="00277262">
        <w:t xml:space="preserve"> </w:t>
      </w:r>
      <w:r w:rsidR="00CB29BD">
        <w:rPr>
          <w:noProof/>
        </w:rPr>
        <w:t>16</w:t>
      </w:r>
      <w:r w:rsidR="00CB29BD">
        <w:t>.2</w:t>
      </w:r>
      <w:r w:rsidR="004F2330">
        <w:fldChar w:fldCharType="end"/>
      </w:r>
      <w:r>
        <w:t xml:space="preserve"> nalezneme porovnání emisí hlavních znečišťujících látek v jednotlivých krajích. </w:t>
      </w:r>
    </w:p>
    <w:p w:rsidR="0038370F" w:rsidRPr="008E7BB0" w:rsidRDefault="00050F78" w:rsidP="000B3B9C">
      <w:pPr>
        <w:pStyle w:val="Titulek"/>
      </w:pPr>
      <w:bookmarkStart w:id="390" w:name="_Ref469052587"/>
      <w:r>
        <w:drawing>
          <wp:anchor distT="0" distB="0" distL="114300" distR="114300" simplePos="0" relativeHeight="251672576" behindDoc="0" locked="0" layoutInCell="1" allowOverlap="1">
            <wp:simplePos x="0" y="0"/>
            <wp:positionH relativeFrom="margin">
              <wp:posOffset>52070</wp:posOffset>
            </wp:positionH>
            <wp:positionV relativeFrom="paragraph">
              <wp:posOffset>330200</wp:posOffset>
            </wp:positionV>
            <wp:extent cx="4951730" cy="3467100"/>
            <wp:effectExtent l="0" t="0" r="1270" b="0"/>
            <wp:wrapTopAndBottom/>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951730" cy="3467100"/>
                    </a:xfrm>
                    <a:prstGeom prst="rect">
                      <a:avLst/>
                    </a:prstGeom>
                    <a:noFill/>
                  </pic:spPr>
                </pic:pic>
              </a:graphicData>
            </a:graphic>
          </wp:anchor>
        </w:drawing>
      </w:r>
      <w:bookmarkStart w:id="391" w:name="_Toc488234402"/>
      <w:r w:rsidR="0038370F">
        <w:t xml:space="preserve">Obrázek </w:t>
      </w:r>
      <w:r w:rsidR="008965FE">
        <w:fldChar w:fldCharType="begin"/>
      </w:r>
      <w:r w:rsidR="00564668">
        <w:instrText xml:space="preserve"> STYLEREF 1 \s </w:instrText>
      </w:r>
      <w:r w:rsidR="008965FE">
        <w:fldChar w:fldCharType="separate"/>
      </w:r>
      <w:r w:rsidR="00CB29BD">
        <w:t>16</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4</w:t>
      </w:r>
      <w:r w:rsidR="008965FE">
        <w:fldChar w:fldCharType="end"/>
      </w:r>
      <w:bookmarkEnd w:id="390"/>
      <w:r w:rsidR="0038370F">
        <w:t xml:space="preserve">: </w:t>
      </w:r>
      <w:r w:rsidR="0038370F" w:rsidRPr="008E7BB0">
        <w:t>Kumulativní index znečištění ovzduší za rok 2009 – 2013</w:t>
      </w:r>
      <w:bookmarkEnd w:id="391"/>
    </w:p>
    <w:p w:rsidR="0038370F" w:rsidRDefault="00C51C1A" w:rsidP="002C40B2">
      <w:pPr>
        <w:rPr>
          <w:rStyle w:val="Zdraznnjemn"/>
        </w:rPr>
      </w:pPr>
      <w:r w:rsidRPr="009E53DF">
        <w:rPr>
          <w:rStyle w:val="Zdraznnjemn"/>
        </w:rPr>
        <w:t xml:space="preserve">Zdroj: ÚAP </w:t>
      </w:r>
      <w:r w:rsidR="0038370F" w:rsidRPr="009E53DF">
        <w:rPr>
          <w:rStyle w:val="Zdraznnjemn"/>
        </w:rPr>
        <w:t>2015</w:t>
      </w:r>
    </w:p>
    <w:p w:rsidR="0038370F" w:rsidRPr="00277262" w:rsidRDefault="00050F78" w:rsidP="000B3B9C">
      <w:pPr>
        <w:pStyle w:val="Titulek"/>
      </w:pPr>
      <w:bookmarkStart w:id="392" w:name="_Ref469052674"/>
      <w:r w:rsidRPr="00277262">
        <w:lastRenderedPageBreak/>
        <w:drawing>
          <wp:anchor distT="0" distB="0" distL="114300" distR="114300" simplePos="0" relativeHeight="251679744" behindDoc="0" locked="0" layoutInCell="1" allowOverlap="1">
            <wp:simplePos x="0" y="0"/>
            <wp:positionH relativeFrom="margin">
              <wp:posOffset>9525</wp:posOffset>
            </wp:positionH>
            <wp:positionV relativeFrom="paragraph">
              <wp:posOffset>398780</wp:posOffset>
            </wp:positionV>
            <wp:extent cx="5759450" cy="3057525"/>
            <wp:effectExtent l="19050" t="0" r="12700" b="0"/>
            <wp:wrapTopAndBottom/>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anchor>
        </w:drawing>
      </w:r>
      <w:bookmarkStart w:id="393" w:name="_Toc488234386"/>
      <w:r w:rsidR="0038370F" w:rsidRPr="00277262">
        <w:t xml:space="preserve">Graf </w:t>
      </w:r>
      <w:r w:rsidR="008965FE">
        <w:fldChar w:fldCharType="begin"/>
      </w:r>
      <w:r w:rsidR="00FD378B">
        <w:instrText xml:space="preserve"> STYLEREF 1 \s </w:instrText>
      </w:r>
      <w:r w:rsidR="008965FE">
        <w:fldChar w:fldCharType="separate"/>
      </w:r>
      <w:r w:rsidR="00CB29BD">
        <w:t>16</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bookmarkEnd w:id="392"/>
      <w:r w:rsidR="002F684C" w:rsidRPr="002F684C">
        <w:t>: Měrné emise hlavních znečišťujících látek podle krajů v roce 2013 (v t/km2</w:t>
      </w:r>
      <w:r w:rsidR="0038370F" w:rsidRPr="00277262">
        <w:t>)</w:t>
      </w:r>
      <w:bookmarkEnd w:id="393"/>
    </w:p>
    <w:p w:rsidR="009E424D" w:rsidRDefault="0038370F">
      <w:pPr>
        <w:tabs>
          <w:tab w:val="left" w:pos="6330"/>
        </w:tabs>
        <w:spacing w:before="360"/>
        <w:rPr>
          <w:rStyle w:val="Zdraznnjemn"/>
          <w:rFonts w:eastAsia="Calibri"/>
          <w:b/>
          <w:bCs/>
          <w:iCs w:val="0"/>
          <w:noProof/>
          <w:szCs w:val="20"/>
        </w:rPr>
      </w:pPr>
      <w:r w:rsidRPr="00277262">
        <w:rPr>
          <w:rStyle w:val="Zdraznnjemn"/>
        </w:rPr>
        <w:t xml:space="preserve">Zdroj: </w:t>
      </w:r>
      <w:r w:rsidR="009E53DF" w:rsidRPr="00277262">
        <w:rPr>
          <w:rStyle w:val="Zdraznnjemn"/>
        </w:rPr>
        <w:t>ČSÚ -</w:t>
      </w:r>
      <w:r w:rsidRPr="00277262">
        <w:rPr>
          <w:rStyle w:val="Zdraznnjemn"/>
        </w:rPr>
        <w:t xml:space="preserve"> Statistická ročenka České republiky 2015, Životní prostředí</w:t>
      </w:r>
    </w:p>
    <w:p w:rsidR="0038370F" w:rsidRPr="007E3AB5" w:rsidRDefault="0038370F" w:rsidP="002C40B2">
      <w:pPr>
        <w:tabs>
          <w:tab w:val="left" w:pos="6330"/>
        </w:tabs>
        <w:spacing w:before="120"/>
        <w:rPr>
          <w:rFonts w:asciiTheme="minorHAnsi" w:hAnsiTheme="minorHAnsi"/>
          <w:i/>
          <w:iCs/>
          <w:sz w:val="20"/>
        </w:rPr>
      </w:pPr>
      <w:r w:rsidRPr="00A073D8">
        <w:rPr>
          <w:b/>
        </w:rPr>
        <w:t>Z dat je patrné, že Karlovarský kraj patří mezi kraje s nejmenší emisní bilanci hlavních znečišťujících látek</w:t>
      </w:r>
      <w:r>
        <w:t>, které jsou zpracovány pomocí registru emisí a zdrojů znečišťování ovzduší (tzv. REZZO</w:t>
      </w:r>
      <w:r>
        <w:rPr>
          <w:rStyle w:val="Znakapoznpodarou"/>
        </w:rPr>
        <w:footnoteReference w:id="31"/>
      </w:r>
      <w:r>
        <w:t>).</w:t>
      </w:r>
    </w:p>
    <w:p w:rsidR="0038370F" w:rsidRPr="0067789E" w:rsidRDefault="0038370F" w:rsidP="002C40B2">
      <w:r>
        <w:t>V Karlovarském kraji bylo v</w:t>
      </w:r>
      <w:r w:rsidRPr="0067789E">
        <w:t xml:space="preserve"> roce 2015 evidováno 69 velkých zdrojů znečišťování ovzduší (REZZO 1). Mezi nejvýznamnější bodové zdroje znečišťování ovzduší patří: Sokolovská uhelná, právní nástupce, </w:t>
      </w:r>
      <w:r>
        <w:br/>
      </w:r>
      <w:r w:rsidRPr="0067789E">
        <w:t>a.</w:t>
      </w:r>
      <w:r>
        <w:t xml:space="preserve"> </w:t>
      </w:r>
      <w:r w:rsidRPr="0067789E">
        <w:t>s., Palivový kombinát Vřesová; Elektrárna Tisová; Ostrovská teplárenská, a.</w:t>
      </w:r>
      <w:r>
        <w:t xml:space="preserve"> </w:t>
      </w:r>
      <w:r w:rsidRPr="0067789E">
        <w:t>s.; Hexion, a.</w:t>
      </w:r>
      <w:r>
        <w:t xml:space="preserve"> </w:t>
      </w:r>
      <w:r w:rsidRPr="0067789E">
        <w:t>s. a Lias Vintířov, lehký stavební materiál k.</w:t>
      </w:r>
      <w:r>
        <w:t xml:space="preserve"> </w:t>
      </w:r>
      <w:r w:rsidRPr="0067789E">
        <w:t>s. Nejvýznamnějšími liniovými zdroji znečišťování ovzduší jsou silnice I. třídy R/6 a I/13 mezi Ostrovem a Chebem včetně průtahu Karlovými Vary, silnice I/21 v úseku Cheb</w:t>
      </w:r>
      <w:r>
        <w:t xml:space="preserve"> </w:t>
      </w:r>
      <w:r w:rsidRPr="0067789E">
        <w:t>-</w:t>
      </w:r>
      <w:r>
        <w:t xml:space="preserve"> </w:t>
      </w:r>
      <w:r w:rsidRPr="0067789E">
        <w:t>Mariánské Lázně a Cheb</w:t>
      </w:r>
      <w:r>
        <w:t xml:space="preserve"> </w:t>
      </w:r>
      <w:r w:rsidRPr="0067789E">
        <w:t>-</w:t>
      </w:r>
      <w:r>
        <w:t xml:space="preserve"> </w:t>
      </w:r>
      <w:r w:rsidRPr="0067789E">
        <w:t>Františkovy</w:t>
      </w:r>
      <w:r>
        <w:t xml:space="preserve"> </w:t>
      </w:r>
      <w:r w:rsidRPr="0067789E">
        <w:t>Lázně, silnice I/6 Karlovy Vary směr Praha, silnice I/20 Doubí směr Plzeň a jejich dopravou nejzatíženější úseky.</w:t>
      </w:r>
    </w:p>
    <w:p w:rsidR="0038370F" w:rsidRDefault="0038370F" w:rsidP="002C40B2">
      <w:r>
        <w:t>T</w:t>
      </w:r>
      <w:r w:rsidRPr="004C7504">
        <w:t>rend ve vývoji emisí</w:t>
      </w:r>
      <w:r>
        <w:t xml:space="preserve"> v Karlovarském kraji </w:t>
      </w:r>
      <w:r w:rsidRPr="004C7504">
        <w:t>za období</w:t>
      </w:r>
      <w:r>
        <w:t xml:space="preserve"> </w:t>
      </w:r>
      <w:r w:rsidRPr="004C7504">
        <w:t>let 1990</w:t>
      </w:r>
      <w:r>
        <w:t xml:space="preserve"> </w:t>
      </w:r>
      <w:r w:rsidRPr="004C7504">
        <w:t>–</w:t>
      </w:r>
      <w:r>
        <w:t xml:space="preserve"> </w:t>
      </w:r>
      <w:r w:rsidRPr="004C7504">
        <w:t xml:space="preserve">2013 lze charakterizovat </w:t>
      </w:r>
      <w:r>
        <w:t>v</w:t>
      </w:r>
      <w:r w:rsidRPr="004C7504">
        <w:t>ýrazným sníž</w:t>
      </w:r>
      <w:r>
        <w:t xml:space="preserve">ením produkce emisí </w:t>
      </w:r>
      <w:r w:rsidRPr="004C7504">
        <w:t>ze stacionárních zdrojů vli</w:t>
      </w:r>
      <w:r>
        <w:t>vem zavedení systému řízení kvality ovzduší</w:t>
      </w:r>
      <w:r w:rsidRPr="004C7504">
        <w:t xml:space="preserve">. </w:t>
      </w:r>
      <w:r>
        <w:t xml:space="preserve">Problémy </w:t>
      </w:r>
      <w:r w:rsidRPr="004C7504">
        <w:t>v oblasti dodržování parametrů</w:t>
      </w:r>
      <w:r>
        <w:t xml:space="preserve"> </w:t>
      </w:r>
      <w:r w:rsidRPr="004C7504">
        <w:t>kvality ovzduší</w:t>
      </w:r>
      <w:r>
        <w:t xml:space="preserve"> však na</w:t>
      </w:r>
      <w:r w:rsidRPr="004C7504">
        <w:t>dále přetrvávají</w:t>
      </w:r>
      <w:r>
        <w:t>, a proto se pozornost v posled</w:t>
      </w:r>
      <w:r w:rsidRPr="004C7504">
        <w:t xml:space="preserve">ních letech soustřeďuje na </w:t>
      </w:r>
      <w:r w:rsidRPr="0046763F">
        <w:t xml:space="preserve">fugitivní emise </w:t>
      </w:r>
      <w:r>
        <w:t>tuhých znečišťujících látek</w:t>
      </w:r>
      <w:r w:rsidRPr="0046763F">
        <w:t xml:space="preserve"> ze stavební a zemědělské</w:t>
      </w:r>
      <w:r>
        <w:t xml:space="preserve"> </w:t>
      </w:r>
      <w:r w:rsidRPr="0046763F">
        <w:t>činnosti, emise amoniaku z chovů hospodářských</w:t>
      </w:r>
      <w:r>
        <w:t xml:space="preserve"> zvířat</w:t>
      </w:r>
      <w:r w:rsidRPr="004C7504">
        <w:t xml:space="preserve"> </w:t>
      </w:r>
      <w:r>
        <w:t xml:space="preserve">a malé stacionární </w:t>
      </w:r>
      <w:r w:rsidRPr="004C7504">
        <w:t xml:space="preserve">zdroje </w:t>
      </w:r>
      <w:r>
        <w:t>znečištění</w:t>
      </w:r>
      <w:r w:rsidRPr="004C7504">
        <w:t>, pro jejichž regulaci zatím</w:t>
      </w:r>
      <w:r>
        <w:t xml:space="preserve"> </w:t>
      </w:r>
      <w:r w:rsidRPr="004C7504">
        <w:t>nebyla účinná opatření zavedena.</w:t>
      </w:r>
    </w:p>
    <w:p w:rsidR="0038370F" w:rsidRPr="007E3AB5" w:rsidRDefault="0038370F" w:rsidP="002C40B2">
      <w:pPr>
        <w:pStyle w:val="Nadpis2"/>
      </w:pPr>
      <w:r w:rsidRPr="007E3AB5">
        <w:t>Obnovitelné zdroje energie (OZE)</w:t>
      </w:r>
    </w:p>
    <w:p w:rsidR="0038370F" w:rsidRDefault="0038370F" w:rsidP="002C40B2">
      <w:r>
        <w:t xml:space="preserve">V současné době na území celé ČR dochází k výraznému rozvoji využívání technologií obnovitelných zdrojů energie. Souvisí to především se stálým zvyšováním cen klasických zdrojů (uhlí, zemní plyn, </w:t>
      </w:r>
      <w:r>
        <w:br/>
        <w:t xml:space="preserve">elektrická energie). Počet instalací těchto zařízení (tepelná čerpadla, kotle na biomasu, solární </w:t>
      </w:r>
      <w:r>
        <w:lastRenderedPageBreak/>
        <w:t xml:space="preserve">kolektory, fotovoltaické elektrárny, větrné elektrárny a malé vodní elektrárny) se doposud nacházel na velmi nízké úrovni a v současnosti se zvyšuje pravděpodobně exponenciálně. Je však velmi obtížné stanovit přesný počet instalací, protože neexistují centrální registry a údaje z různých zdrojů se rozcházejí. </w:t>
      </w:r>
    </w:p>
    <w:p w:rsidR="0038370F" w:rsidRPr="00674231" w:rsidRDefault="0038370F" w:rsidP="002C40B2">
      <w:r>
        <w:t>Využití obnovitelných zdrojů energie v Karlovarském kraji je prezentováno využitím větrné energie, vodní energie, řadou instalací zařízení využívajících solární energii (solární kolektory), geotermální energii (tepelná čerpadla) a biomasu.</w:t>
      </w:r>
      <w:r w:rsidDel="006F536B">
        <w:t xml:space="preserve"> </w:t>
      </w:r>
      <w:r>
        <w:t>P</w:t>
      </w:r>
      <w:r w:rsidRPr="00674231">
        <w:t>ro výrobu elektřiny</w:t>
      </w:r>
      <w:r>
        <w:t xml:space="preserve"> z obnovitelných zdrojů nemá </w:t>
      </w:r>
      <w:r w:rsidRPr="00674231">
        <w:t xml:space="preserve">Karlovarský kraj </w:t>
      </w:r>
      <w:r>
        <w:t>příliš</w:t>
      </w:r>
      <w:r w:rsidRPr="00674231">
        <w:t xml:space="preserve"> </w:t>
      </w:r>
      <w:r>
        <w:t>v</w:t>
      </w:r>
      <w:r w:rsidRPr="00674231">
        <w:t>hodné přírodní podmínky</w:t>
      </w:r>
      <w:r>
        <w:t>.</w:t>
      </w:r>
      <w:r w:rsidRPr="00674231">
        <w:t xml:space="preserve"> </w:t>
      </w:r>
      <w:r>
        <w:t>P</w:t>
      </w:r>
      <w:r w:rsidRPr="00674231">
        <w:t xml:space="preserve">ro ekonomicky únosný provoz větrných elektráren není </w:t>
      </w:r>
      <w:r>
        <w:t xml:space="preserve">část území </w:t>
      </w:r>
      <w:r w:rsidRPr="00674231">
        <w:t>využitelná z důvodu ochrany přírody a krajiny, osídlení a nep</w:t>
      </w:r>
      <w:r>
        <w:t>říznivých klimatických podmínek</w:t>
      </w:r>
      <w:r w:rsidRPr="00674231">
        <w:t xml:space="preserve">. Poloha kraje v horních částech říčních toků snižuje </w:t>
      </w:r>
      <w:r>
        <w:t>možnosti</w:t>
      </w:r>
      <w:r w:rsidRPr="00674231">
        <w:t xml:space="preserve"> využití vody. </w:t>
      </w:r>
      <w:r>
        <w:t xml:space="preserve">Ani pro solární energii není potenciál v kraji příliš vysoký, protože je zde jeden z nejmenších svitů v ČR dopadajících na toto území. </w:t>
      </w:r>
      <w:r w:rsidRPr="00674231">
        <w:t xml:space="preserve">Dosud mizivé je využití geotermálního potenciálu území, který </w:t>
      </w:r>
      <w:r>
        <w:t xml:space="preserve">naopak </w:t>
      </w:r>
      <w:r w:rsidRPr="00674231">
        <w:t xml:space="preserve">patří k nejvyšším v ČR. </w:t>
      </w:r>
    </w:p>
    <w:p w:rsidR="0038370F" w:rsidRDefault="0038370F" w:rsidP="000B3B9C">
      <w:pPr>
        <w:pStyle w:val="Titulek"/>
      </w:pPr>
      <w:bookmarkStart w:id="394" w:name="_Toc488233513"/>
      <w:r>
        <w:t xml:space="preserve">Tabulka </w:t>
      </w:r>
      <w:r w:rsidR="008965FE">
        <w:fldChar w:fldCharType="begin"/>
      </w:r>
      <w:r w:rsidR="00B33DFE">
        <w:instrText xml:space="preserve"> STYLEREF 1 \s </w:instrText>
      </w:r>
      <w:r w:rsidR="008965FE">
        <w:fldChar w:fldCharType="separate"/>
      </w:r>
      <w:r w:rsidR="00CB29BD">
        <w:t>16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r>
        <w:t>: Výroba elektrické energie v Karlovarském kraji v roce 2014</w:t>
      </w:r>
      <w:bookmarkEnd w:id="394"/>
    </w:p>
    <w:tbl>
      <w:tblPr>
        <w:tblW w:w="4962" w:type="pct"/>
        <w:tblInd w:w="70" w:type="dxa"/>
        <w:tblCellMar>
          <w:left w:w="70" w:type="dxa"/>
          <w:right w:w="70" w:type="dxa"/>
        </w:tblCellMar>
        <w:tblLook w:val="04A0" w:firstRow="1" w:lastRow="0" w:firstColumn="1" w:lastColumn="0" w:noHBand="0" w:noVBand="1"/>
      </w:tblPr>
      <w:tblGrid>
        <w:gridCol w:w="1508"/>
        <w:gridCol w:w="1161"/>
        <w:gridCol w:w="660"/>
        <w:gridCol w:w="1121"/>
        <w:gridCol w:w="656"/>
        <w:gridCol w:w="1477"/>
        <w:gridCol w:w="664"/>
        <w:gridCol w:w="1069"/>
        <w:gridCol w:w="826"/>
      </w:tblGrid>
      <w:tr w:rsidR="0038370F" w:rsidRPr="007366F3" w:rsidTr="00050F78">
        <w:trPr>
          <w:trHeight w:val="390"/>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70F" w:rsidRPr="0036415C" w:rsidRDefault="0038370F" w:rsidP="002C40B2">
            <w:pPr>
              <w:spacing w:after="0"/>
              <w:jc w:val="center"/>
              <w:rPr>
                <w:rFonts w:asciiTheme="minorHAnsi" w:hAnsiTheme="minorHAnsi" w:cs="Times New Roman"/>
                <w:sz w:val="20"/>
                <w:szCs w:val="20"/>
              </w:rPr>
            </w:pPr>
          </w:p>
        </w:tc>
        <w:tc>
          <w:tcPr>
            <w:tcW w:w="3134" w:type="pct"/>
            <w:gridSpan w:val="6"/>
            <w:tcBorders>
              <w:top w:val="single" w:sz="4" w:space="0" w:color="auto"/>
              <w:left w:val="nil"/>
              <w:bottom w:val="single" w:sz="4" w:space="0" w:color="auto"/>
              <w:right w:val="single" w:sz="4" w:space="0" w:color="auto"/>
            </w:tcBorders>
            <w:shd w:val="clear" w:color="auto" w:fill="auto"/>
            <w:vAlign w:val="center"/>
            <w:hideMark/>
          </w:tcPr>
          <w:p w:rsidR="0038370F" w:rsidRPr="0036415C" w:rsidRDefault="0038370F" w:rsidP="002C40B2">
            <w:pPr>
              <w:spacing w:after="0"/>
              <w:jc w:val="center"/>
              <w:rPr>
                <w:rFonts w:asciiTheme="minorHAnsi" w:hAnsiTheme="minorHAnsi" w:cs="Arial"/>
                <w:b/>
                <w:sz w:val="20"/>
                <w:szCs w:val="20"/>
              </w:rPr>
            </w:pPr>
            <w:r w:rsidRPr="0036415C">
              <w:rPr>
                <w:rFonts w:asciiTheme="minorHAnsi" w:hAnsiTheme="minorHAnsi" w:cs="Arial"/>
                <w:b/>
                <w:sz w:val="20"/>
                <w:szCs w:val="20"/>
              </w:rPr>
              <w:t>Výroba elek</w:t>
            </w:r>
            <w:r>
              <w:rPr>
                <w:rFonts w:asciiTheme="minorHAnsi" w:hAnsiTheme="minorHAnsi" w:cs="Arial"/>
                <w:b/>
                <w:sz w:val="20"/>
                <w:szCs w:val="20"/>
              </w:rPr>
              <w:t xml:space="preserve">třiny z obnovitelných zdrojů (v </w:t>
            </w:r>
            <w:r w:rsidRPr="0036415C">
              <w:rPr>
                <w:rFonts w:asciiTheme="minorHAnsi" w:hAnsiTheme="minorHAnsi" w:cs="Arial"/>
                <w:b/>
                <w:sz w:val="20"/>
                <w:szCs w:val="20"/>
              </w:rPr>
              <w:t xml:space="preserve">GWh) </w:t>
            </w:r>
          </w:p>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b/>
                <w:sz w:val="20"/>
                <w:szCs w:val="20"/>
              </w:rPr>
              <w:t>a podíl na výrobě elektřiny (v %)</w:t>
            </w:r>
            <w:r w:rsidRPr="0036415C">
              <w:rPr>
                <w:rFonts w:asciiTheme="minorHAnsi" w:hAnsiTheme="minorHAnsi" w:cs="Arial"/>
                <w:sz w:val="20"/>
                <w:szCs w:val="20"/>
              </w:rPr>
              <w:t xml:space="preserve"> </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050F78" w:rsidRDefault="0038370F" w:rsidP="002C40B2">
            <w:pPr>
              <w:spacing w:after="0"/>
              <w:jc w:val="center"/>
              <w:rPr>
                <w:rFonts w:asciiTheme="minorHAnsi" w:hAnsiTheme="minorHAnsi" w:cs="Arial"/>
                <w:sz w:val="20"/>
                <w:szCs w:val="20"/>
              </w:rPr>
            </w:pPr>
            <w:r w:rsidRPr="00050F78">
              <w:rPr>
                <w:rFonts w:asciiTheme="minorHAnsi" w:hAnsiTheme="minorHAnsi" w:cs="Arial"/>
                <w:sz w:val="20"/>
                <w:szCs w:val="20"/>
              </w:rPr>
              <w:t>Celková výroba elektřiny (GWh)</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050F78" w:rsidRDefault="0038370F" w:rsidP="002C40B2">
            <w:pPr>
              <w:spacing w:after="0"/>
              <w:jc w:val="center"/>
              <w:rPr>
                <w:rFonts w:asciiTheme="minorHAnsi" w:hAnsiTheme="minorHAnsi" w:cs="Arial"/>
                <w:sz w:val="20"/>
                <w:szCs w:val="20"/>
              </w:rPr>
            </w:pPr>
            <w:r w:rsidRPr="00050F78">
              <w:rPr>
                <w:rFonts w:asciiTheme="minorHAnsi" w:hAnsiTheme="minorHAnsi" w:cs="Arial"/>
                <w:sz w:val="20"/>
                <w:szCs w:val="20"/>
              </w:rPr>
              <w:t>Z toho</w:t>
            </w:r>
            <w:r w:rsidRPr="00050F78">
              <w:rPr>
                <w:rFonts w:asciiTheme="minorHAnsi" w:hAnsiTheme="minorHAnsi" w:cs="Arial"/>
                <w:sz w:val="20"/>
                <w:szCs w:val="20"/>
              </w:rPr>
              <w:br/>
              <w:t xml:space="preserve"> v kraji (%) </w:t>
            </w:r>
          </w:p>
        </w:tc>
      </w:tr>
      <w:tr w:rsidR="0038370F" w:rsidRPr="007366F3" w:rsidTr="00050F78">
        <w:trPr>
          <w:trHeight w:val="510"/>
        </w:trPr>
        <w:tc>
          <w:tcPr>
            <w:tcW w:w="826" w:type="pct"/>
            <w:vMerge/>
            <w:tcBorders>
              <w:top w:val="single" w:sz="4" w:space="0" w:color="auto"/>
              <w:left w:val="single" w:sz="4" w:space="0" w:color="auto"/>
              <w:bottom w:val="single" w:sz="4" w:space="0" w:color="auto"/>
              <w:right w:val="single" w:sz="4" w:space="0" w:color="auto"/>
            </w:tcBorders>
            <w:vAlign w:val="center"/>
            <w:hideMark/>
          </w:tcPr>
          <w:p w:rsidR="0038370F" w:rsidRPr="0036415C" w:rsidRDefault="0038370F" w:rsidP="002C40B2">
            <w:pPr>
              <w:spacing w:after="0"/>
              <w:jc w:val="left"/>
              <w:rPr>
                <w:rFonts w:asciiTheme="minorHAnsi" w:hAnsiTheme="minorHAnsi" w:cs="Times New Roman"/>
                <w:sz w:val="20"/>
                <w:szCs w:val="20"/>
              </w:rPr>
            </w:pPr>
          </w:p>
        </w:tc>
        <w:tc>
          <w:tcPr>
            <w:tcW w:w="998" w:type="pct"/>
            <w:gridSpan w:val="2"/>
            <w:tcBorders>
              <w:top w:val="single" w:sz="4" w:space="0" w:color="auto"/>
              <w:left w:val="nil"/>
              <w:bottom w:val="single" w:sz="4" w:space="0" w:color="auto"/>
              <w:right w:val="single" w:sz="4" w:space="0" w:color="auto"/>
            </w:tcBorders>
            <w:shd w:val="clear" w:color="auto" w:fill="auto"/>
            <w:vAlign w:val="center"/>
            <w:hideMark/>
          </w:tcPr>
          <w:p w:rsidR="0038370F" w:rsidRPr="00050F78" w:rsidRDefault="0038370F" w:rsidP="002C40B2">
            <w:pPr>
              <w:spacing w:after="0"/>
              <w:jc w:val="center"/>
              <w:rPr>
                <w:rFonts w:asciiTheme="minorHAnsi" w:hAnsiTheme="minorHAnsi" w:cs="Arial"/>
                <w:b/>
                <w:sz w:val="20"/>
                <w:szCs w:val="20"/>
              </w:rPr>
            </w:pPr>
            <w:r w:rsidRPr="00050F78">
              <w:rPr>
                <w:rFonts w:asciiTheme="minorHAnsi" w:hAnsiTheme="minorHAnsi" w:cs="Arial"/>
                <w:b/>
                <w:sz w:val="20"/>
                <w:szCs w:val="20"/>
              </w:rPr>
              <w:t>vodní elektrárny vč. přečerpávacích</w:t>
            </w:r>
          </w:p>
        </w:tc>
        <w:tc>
          <w:tcPr>
            <w:tcW w:w="974" w:type="pct"/>
            <w:gridSpan w:val="2"/>
            <w:tcBorders>
              <w:top w:val="single" w:sz="4" w:space="0" w:color="auto"/>
              <w:left w:val="nil"/>
              <w:bottom w:val="single" w:sz="4" w:space="0" w:color="auto"/>
              <w:right w:val="single" w:sz="4" w:space="0" w:color="auto"/>
            </w:tcBorders>
            <w:shd w:val="clear" w:color="auto" w:fill="auto"/>
            <w:noWrap/>
            <w:vAlign w:val="center"/>
            <w:hideMark/>
          </w:tcPr>
          <w:p w:rsidR="0038370F" w:rsidRPr="00050F78" w:rsidRDefault="0038370F" w:rsidP="002C40B2">
            <w:pPr>
              <w:spacing w:after="0"/>
              <w:jc w:val="center"/>
              <w:rPr>
                <w:rFonts w:asciiTheme="minorHAnsi" w:hAnsiTheme="minorHAnsi" w:cs="Arial"/>
                <w:b/>
                <w:sz w:val="20"/>
                <w:szCs w:val="20"/>
              </w:rPr>
            </w:pPr>
            <w:r w:rsidRPr="00050F78">
              <w:rPr>
                <w:rFonts w:asciiTheme="minorHAnsi" w:hAnsiTheme="minorHAnsi" w:cs="Arial"/>
                <w:b/>
                <w:sz w:val="20"/>
                <w:szCs w:val="20"/>
              </w:rPr>
              <w:t>větrné elektrárny</w:t>
            </w:r>
          </w:p>
        </w:tc>
        <w:tc>
          <w:tcPr>
            <w:tcW w:w="1163" w:type="pct"/>
            <w:gridSpan w:val="2"/>
            <w:tcBorders>
              <w:top w:val="single" w:sz="4" w:space="0" w:color="auto"/>
              <w:left w:val="nil"/>
              <w:bottom w:val="single" w:sz="4" w:space="0" w:color="auto"/>
              <w:right w:val="single" w:sz="4" w:space="0" w:color="auto"/>
            </w:tcBorders>
            <w:shd w:val="clear" w:color="auto" w:fill="auto"/>
            <w:noWrap/>
            <w:vAlign w:val="center"/>
            <w:hideMark/>
          </w:tcPr>
          <w:p w:rsidR="0038370F" w:rsidRPr="00050F78" w:rsidRDefault="0038370F" w:rsidP="002C40B2">
            <w:pPr>
              <w:spacing w:after="0"/>
              <w:jc w:val="center"/>
              <w:rPr>
                <w:rFonts w:asciiTheme="minorHAnsi" w:hAnsiTheme="minorHAnsi" w:cs="Arial"/>
                <w:b/>
                <w:sz w:val="20"/>
                <w:szCs w:val="20"/>
              </w:rPr>
            </w:pPr>
            <w:r w:rsidRPr="00050F78">
              <w:rPr>
                <w:rFonts w:asciiTheme="minorHAnsi" w:hAnsiTheme="minorHAnsi" w:cs="Arial"/>
                <w:b/>
                <w:sz w:val="20"/>
                <w:szCs w:val="20"/>
              </w:rPr>
              <w:t>fotovoltaické elektrárny</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38370F" w:rsidRPr="0036415C" w:rsidRDefault="0038370F" w:rsidP="002C40B2">
            <w:pPr>
              <w:spacing w:after="0"/>
              <w:jc w:val="left"/>
              <w:rPr>
                <w:rFonts w:asciiTheme="minorHAnsi" w:hAnsiTheme="minorHAnsi" w:cs="Arial"/>
                <w:sz w:val="20"/>
                <w:szCs w:val="20"/>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38370F" w:rsidRPr="0036415C" w:rsidRDefault="0038370F" w:rsidP="002C40B2">
            <w:pPr>
              <w:spacing w:after="0"/>
              <w:jc w:val="left"/>
              <w:rPr>
                <w:rFonts w:asciiTheme="minorHAnsi" w:hAnsiTheme="minorHAnsi" w:cs="Arial"/>
                <w:sz w:val="20"/>
                <w:szCs w:val="20"/>
              </w:rPr>
            </w:pPr>
          </w:p>
        </w:tc>
      </w:tr>
      <w:tr w:rsidR="0038370F" w:rsidRPr="007366F3" w:rsidTr="00050F78">
        <w:trPr>
          <w:trHeight w:val="255"/>
        </w:trPr>
        <w:tc>
          <w:tcPr>
            <w:tcW w:w="826" w:type="pct"/>
            <w:tcBorders>
              <w:top w:val="nil"/>
              <w:left w:val="single" w:sz="4" w:space="0" w:color="auto"/>
              <w:bottom w:val="single" w:sz="4" w:space="0" w:color="auto"/>
              <w:right w:val="single" w:sz="4" w:space="0" w:color="auto"/>
            </w:tcBorders>
            <w:shd w:val="clear" w:color="auto" w:fill="auto"/>
            <w:hideMark/>
          </w:tcPr>
          <w:p w:rsidR="0038370F" w:rsidRPr="0036415C" w:rsidRDefault="0038370F" w:rsidP="002C40B2">
            <w:pPr>
              <w:spacing w:after="0"/>
              <w:jc w:val="left"/>
              <w:rPr>
                <w:rFonts w:asciiTheme="minorHAnsi" w:hAnsiTheme="minorHAnsi" w:cs="Arial"/>
                <w:sz w:val="20"/>
                <w:szCs w:val="20"/>
              </w:rPr>
            </w:pPr>
            <w:r w:rsidRPr="0036415C">
              <w:rPr>
                <w:rFonts w:asciiTheme="minorHAnsi" w:hAnsiTheme="minorHAnsi" w:cs="Arial"/>
                <w:sz w:val="20"/>
                <w:szCs w:val="20"/>
              </w:rPr>
              <w:t>ČR</w:t>
            </w:r>
          </w:p>
        </w:tc>
        <w:tc>
          <w:tcPr>
            <w:tcW w:w="636"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2 960,7 </w:t>
            </w:r>
          </w:p>
        </w:tc>
        <w:tc>
          <w:tcPr>
            <w:tcW w:w="362"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3,4 </w:t>
            </w:r>
          </w:p>
        </w:tc>
        <w:tc>
          <w:tcPr>
            <w:tcW w:w="614"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476,5 </w:t>
            </w:r>
          </w:p>
        </w:tc>
        <w:tc>
          <w:tcPr>
            <w:tcW w:w="360"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0,6 </w:t>
            </w:r>
          </w:p>
        </w:tc>
        <w:tc>
          <w:tcPr>
            <w:tcW w:w="802"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2 122,9 </w:t>
            </w:r>
          </w:p>
        </w:tc>
        <w:tc>
          <w:tcPr>
            <w:tcW w:w="361"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2,5 </w:t>
            </w:r>
          </w:p>
        </w:tc>
        <w:tc>
          <w:tcPr>
            <w:tcW w:w="586"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86 003,4 </w:t>
            </w:r>
          </w:p>
        </w:tc>
        <w:tc>
          <w:tcPr>
            <w:tcW w:w="453"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100,0 </w:t>
            </w:r>
          </w:p>
        </w:tc>
      </w:tr>
      <w:tr w:rsidR="0038370F" w:rsidRPr="007366F3" w:rsidTr="00050F78">
        <w:trPr>
          <w:trHeight w:val="255"/>
        </w:trPr>
        <w:tc>
          <w:tcPr>
            <w:tcW w:w="826" w:type="pct"/>
            <w:tcBorders>
              <w:top w:val="nil"/>
              <w:left w:val="single" w:sz="4" w:space="0" w:color="auto"/>
              <w:bottom w:val="single" w:sz="4" w:space="0" w:color="auto"/>
              <w:right w:val="single" w:sz="4" w:space="0" w:color="auto"/>
            </w:tcBorders>
            <w:shd w:val="clear" w:color="auto" w:fill="auto"/>
            <w:hideMark/>
          </w:tcPr>
          <w:p w:rsidR="0038370F" w:rsidRPr="0036415C" w:rsidRDefault="0038370F" w:rsidP="002C40B2">
            <w:pPr>
              <w:spacing w:after="0"/>
              <w:jc w:val="left"/>
              <w:rPr>
                <w:rFonts w:asciiTheme="minorHAnsi" w:hAnsiTheme="minorHAnsi" w:cs="Arial"/>
                <w:sz w:val="20"/>
                <w:szCs w:val="20"/>
              </w:rPr>
            </w:pPr>
            <w:r w:rsidRPr="0036415C">
              <w:rPr>
                <w:rFonts w:asciiTheme="minorHAnsi" w:hAnsiTheme="minorHAnsi" w:cs="Arial"/>
                <w:sz w:val="20"/>
                <w:szCs w:val="20"/>
              </w:rPr>
              <w:t>Karlovarský kraj</w:t>
            </w:r>
          </w:p>
        </w:tc>
        <w:tc>
          <w:tcPr>
            <w:tcW w:w="636"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21,3 </w:t>
            </w:r>
          </w:p>
        </w:tc>
        <w:tc>
          <w:tcPr>
            <w:tcW w:w="362"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0,4 </w:t>
            </w:r>
          </w:p>
        </w:tc>
        <w:tc>
          <w:tcPr>
            <w:tcW w:w="614"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88,7 </w:t>
            </w:r>
          </w:p>
        </w:tc>
        <w:tc>
          <w:tcPr>
            <w:tcW w:w="360"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1,7 </w:t>
            </w:r>
          </w:p>
        </w:tc>
        <w:tc>
          <w:tcPr>
            <w:tcW w:w="802"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12,0 </w:t>
            </w:r>
          </w:p>
        </w:tc>
        <w:tc>
          <w:tcPr>
            <w:tcW w:w="361"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0,2 </w:t>
            </w:r>
          </w:p>
        </w:tc>
        <w:tc>
          <w:tcPr>
            <w:tcW w:w="586"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5 091,8 </w:t>
            </w:r>
          </w:p>
        </w:tc>
        <w:tc>
          <w:tcPr>
            <w:tcW w:w="453" w:type="pct"/>
            <w:tcBorders>
              <w:top w:val="nil"/>
              <w:left w:val="nil"/>
              <w:bottom w:val="single" w:sz="4" w:space="0" w:color="auto"/>
              <w:right w:val="single" w:sz="4" w:space="0" w:color="auto"/>
            </w:tcBorders>
            <w:shd w:val="clear" w:color="auto" w:fill="auto"/>
            <w:noWrap/>
            <w:hideMark/>
          </w:tcPr>
          <w:p w:rsidR="0038370F" w:rsidRPr="0036415C" w:rsidRDefault="0038370F" w:rsidP="002C40B2">
            <w:pPr>
              <w:spacing w:after="0"/>
              <w:jc w:val="center"/>
              <w:rPr>
                <w:rFonts w:asciiTheme="minorHAnsi" w:hAnsiTheme="minorHAnsi" w:cs="Arial"/>
                <w:sz w:val="20"/>
                <w:szCs w:val="20"/>
              </w:rPr>
            </w:pPr>
            <w:r w:rsidRPr="0036415C">
              <w:rPr>
                <w:rFonts w:asciiTheme="minorHAnsi" w:hAnsiTheme="minorHAnsi" w:cs="Arial"/>
                <w:sz w:val="20"/>
                <w:szCs w:val="20"/>
              </w:rPr>
              <w:t xml:space="preserve">5,9 </w:t>
            </w:r>
          </w:p>
        </w:tc>
      </w:tr>
    </w:tbl>
    <w:p w:rsidR="0038370F" w:rsidRPr="00A073D8" w:rsidRDefault="0038370F" w:rsidP="002C40B2">
      <w:pPr>
        <w:pStyle w:val="Zdrojdat"/>
        <w:spacing w:before="120" w:line="276" w:lineRule="auto"/>
        <w:rPr>
          <w:rStyle w:val="Zdraznnjemn"/>
          <w:i/>
        </w:rPr>
      </w:pPr>
      <w:r w:rsidRPr="00A073D8">
        <w:rPr>
          <w:rStyle w:val="Zdraznnjemn"/>
          <w:i/>
        </w:rPr>
        <w:t>Zdroj: ČSÚ</w:t>
      </w:r>
      <w:r w:rsidR="00A073D8">
        <w:rPr>
          <w:rStyle w:val="Zdraznnjemn"/>
          <w:i/>
        </w:rPr>
        <w:t xml:space="preserve"> - </w:t>
      </w:r>
      <w:r w:rsidRPr="00A073D8">
        <w:rPr>
          <w:rStyle w:val="Zdraznnjemn"/>
          <w:i/>
        </w:rPr>
        <w:t>Statistická ročenka Karlovarského kraje – 2015, Energetika</w:t>
      </w:r>
    </w:p>
    <w:p w:rsidR="0038370F" w:rsidRDefault="0038370F" w:rsidP="002C40B2">
      <w:r w:rsidRPr="0036415C">
        <w:t>Jak je patrné z</w:t>
      </w:r>
      <w:r w:rsidR="007E3AB5">
        <w:t> </w:t>
      </w:r>
      <w:r w:rsidRPr="0036415C">
        <w:t>tabulky</w:t>
      </w:r>
      <w:r w:rsidR="007E3AB5">
        <w:t xml:space="preserve"> výše</w:t>
      </w:r>
      <w:r w:rsidRPr="0036415C">
        <w:t xml:space="preserve">, </w:t>
      </w:r>
      <w:r>
        <w:t xml:space="preserve">bylo v roce 2014 </w:t>
      </w:r>
      <w:r w:rsidRPr="0036415C">
        <w:t xml:space="preserve">v Karlovarském kraji </w:t>
      </w:r>
      <w:r>
        <w:t>vyrobeno celkem 5 091,8 GWh elektřiny, což představuje</w:t>
      </w:r>
      <w:r w:rsidRPr="0036415C">
        <w:t xml:space="preserve"> necelých 6% </w:t>
      </w:r>
      <w:r>
        <w:t xml:space="preserve">celkové </w:t>
      </w:r>
      <w:r w:rsidRPr="0036415C">
        <w:t>produkce </w:t>
      </w:r>
      <w:r>
        <w:t xml:space="preserve">elektrické energie </w:t>
      </w:r>
      <w:r w:rsidRPr="0036415C">
        <w:t>ČR. Z</w:t>
      </w:r>
      <w:r>
        <w:t xml:space="preserve"> toho z </w:t>
      </w:r>
      <w:r w:rsidRPr="0036415C">
        <w:t>obnovitelných zdrojů</w:t>
      </w:r>
      <w:r>
        <w:t xml:space="preserve"> bylo</w:t>
      </w:r>
      <w:r w:rsidRPr="0036415C">
        <w:t xml:space="preserve"> nejvíce elektřiny vyrobeno větrnými elektrárnami</w:t>
      </w:r>
      <w:r>
        <w:t xml:space="preserve"> (1,7%)</w:t>
      </w:r>
      <w:r w:rsidRPr="0036415C">
        <w:t xml:space="preserve">, pak vodními </w:t>
      </w:r>
      <w:r>
        <w:t xml:space="preserve">(0,4%) </w:t>
      </w:r>
      <w:r w:rsidRPr="0036415C">
        <w:t>a nakonec fotovotaickými elektrárnami</w:t>
      </w:r>
      <w:r>
        <w:t xml:space="preserve"> (0,2%)</w:t>
      </w:r>
      <w:r w:rsidRPr="0036415C">
        <w:t xml:space="preserve">. </w:t>
      </w:r>
    </w:p>
    <w:p w:rsidR="0038370F" w:rsidRDefault="0038370F" w:rsidP="00277262">
      <w:r w:rsidRPr="001F0484">
        <w:rPr>
          <w:b/>
          <w:bCs/>
          <w:iCs/>
        </w:rPr>
        <w:t xml:space="preserve">Větrná energie </w:t>
      </w:r>
      <w:r w:rsidR="00277262">
        <w:rPr>
          <w:bCs/>
          <w:iCs/>
        </w:rPr>
        <w:t>-</w:t>
      </w:r>
      <w:r w:rsidR="002F684C" w:rsidRPr="002F684C">
        <w:rPr>
          <w:bCs/>
          <w:iCs/>
        </w:rPr>
        <w:t xml:space="preserve"> </w:t>
      </w:r>
      <w:r w:rsidRPr="0036415C">
        <w:rPr>
          <w:bCs/>
          <w:iCs/>
        </w:rPr>
        <w:t>v</w:t>
      </w:r>
      <w:r>
        <w:rPr>
          <w:bCs/>
          <w:iCs/>
        </w:rPr>
        <w:t xml:space="preserve">ětrné </w:t>
      </w:r>
      <w:r>
        <w:t>elektrárny (VTE) jsou instalovány především v krušnohorské oblasti. V</w:t>
      </w:r>
      <w:r w:rsidRPr="004F3547">
        <w:t xml:space="preserve"> kraji </w:t>
      </w:r>
      <w:r>
        <w:t xml:space="preserve">se nachází </w:t>
      </w:r>
      <w:r w:rsidRPr="004F3547">
        <w:t xml:space="preserve">celkem </w:t>
      </w:r>
      <w:r w:rsidRPr="0036415C">
        <w:t>26</w:t>
      </w:r>
      <w:r w:rsidRPr="002667B0">
        <w:t xml:space="preserve"> V</w:t>
      </w:r>
      <w:r>
        <w:t>T</w:t>
      </w:r>
      <w:r w:rsidRPr="002667B0">
        <w:t>E</w:t>
      </w:r>
      <w:r w:rsidRPr="007D3426">
        <w:t xml:space="preserve"> </w:t>
      </w:r>
      <w:r w:rsidRPr="004F3547">
        <w:t xml:space="preserve">. </w:t>
      </w:r>
      <w:r>
        <w:t>Vět</w:t>
      </w:r>
      <w:r w:rsidR="00277262">
        <w:t>r</w:t>
      </w:r>
      <w:r>
        <w:t xml:space="preserve">nými elektrárnami bylo v roce 2014 vyprodukováno 88,7 GWh elektrické energie. </w:t>
      </w:r>
    </w:p>
    <w:p w:rsidR="0038370F" w:rsidRDefault="0038370F" w:rsidP="002C40B2">
      <w:r w:rsidRPr="007463C5">
        <w:rPr>
          <w:b/>
          <w:bCs/>
          <w:iCs/>
        </w:rPr>
        <w:t>Vodní energie</w:t>
      </w:r>
      <w:r>
        <w:rPr>
          <w:b/>
          <w:bCs/>
          <w:iCs/>
        </w:rPr>
        <w:t xml:space="preserve"> </w:t>
      </w:r>
      <w:r w:rsidR="00277262">
        <w:rPr>
          <w:bCs/>
          <w:iCs/>
        </w:rPr>
        <w:t>-</w:t>
      </w:r>
      <w:r w:rsidR="002F684C" w:rsidRPr="002F684C">
        <w:rPr>
          <w:bCs/>
          <w:iCs/>
        </w:rPr>
        <w:t xml:space="preserve"> </w:t>
      </w:r>
      <w:r w:rsidRPr="00277262">
        <w:t>v</w:t>
      </w:r>
      <w:r>
        <w:t xml:space="preserve"> kraji jsou malé vodní elektrárny (MVE) využívány na řekách a vodotečích. Podle dostupných zdrojů se na území kraje nachází </w:t>
      </w:r>
      <w:r w:rsidRPr="001A7F25">
        <w:t>okolo 55</w:t>
      </w:r>
      <w:r>
        <w:t xml:space="preserve"> </w:t>
      </w:r>
      <w:r w:rsidRPr="004F3547">
        <w:t xml:space="preserve">vodních elektráren </w:t>
      </w:r>
      <w:r>
        <w:t>(n</w:t>
      </w:r>
      <w:r w:rsidRPr="004F3547">
        <w:t>apř</w:t>
      </w:r>
      <w:r>
        <w:t>.</w:t>
      </w:r>
      <w:r w:rsidRPr="004F3547">
        <w:t xml:space="preserve"> </w:t>
      </w:r>
      <w:r>
        <w:t xml:space="preserve">na </w:t>
      </w:r>
      <w:r w:rsidRPr="004F3547">
        <w:t>vodní nádrž</w:t>
      </w:r>
      <w:r>
        <w:t>i</w:t>
      </w:r>
      <w:r w:rsidRPr="004F3547">
        <w:t xml:space="preserve"> Jesenice</w:t>
      </w:r>
      <w:r>
        <w:t>,</w:t>
      </w:r>
      <w:r w:rsidRPr="004F3547">
        <w:t xml:space="preserve"> Skalka</w:t>
      </w:r>
      <w:r>
        <w:t xml:space="preserve">, Horka, Stanovice, Žlutice a Březová). </w:t>
      </w:r>
      <w:r w:rsidRPr="004F3547">
        <w:t>V roce 201</w:t>
      </w:r>
      <w:r>
        <w:t>4</w:t>
      </w:r>
      <w:r w:rsidRPr="004F3547">
        <w:t xml:space="preserve"> vyrobily </w:t>
      </w:r>
      <w:r>
        <w:t>vodní elektrárny</w:t>
      </w:r>
      <w:r w:rsidRPr="004F3547">
        <w:t xml:space="preserve"> </w:t>
      </w:r>
      <w:r w:rsidR="00277262">
        <w:br/>
      </w:r>
      <w:r>
        <w:t>21,3</w:t>
      </w:r>
      <w:r w:rsidRPr="004F3547">
        <w:t xml:space="preserve"> GWh elektřiny</w:t>
      </w:r>
      <w:r>
        <w:t>.</w:t>
      </w:r>
    </w:p>
    <w:p w:rsidR="0038370F" w:rsidRDefault="0038370F" w:rsidP="002C40B2">
      <w:r w:rsidRPr="003A0F0F">
        <w:rPr>
          <w:b/>
        </w:rPr>
        <w:t>Sluneční energie</w:t>
      </w:r>
      <w:r>
        <w:t xml:space="preserve"> - je určena především pro ohřev teplé vody (fototermika) a jako fotovoltaické elektrárny (FVE). Vzhledem k úpravě stavebního zákona není nikde vedena evidence těchto kolektorů a záleží na příslušném stavebním úřadu, zdali chce ohlášení. V kraji neexistuje žádný centrální registr těchto zařízení. Pokud se týká FVE je výkon elektrické energie dán cenovým výměrem E</w:t>
      </w:r>
      <w:r w:rsidR="00BD65CA">
        <w:t>nergetického regulačního úřadu</w:t>
      </w:r>
      <w:r>
        <w:t xml:space="preserve">. V posledních letech se fotovoltaické panely využívaly i v menším osazení na rodinné domky, kde slouží k ohřevu </w:t>
      </w:r>
      <w:r w:rsidR="00BD65CA">
        <w:t>teplé užitkové vody</w:t>
      </w:r>
      <w:r>
        <w:t>, média v topných soustavách a někde i k přihřívání vody v malých bazénech. Větší instalace solárních systémů jsou k vidění například v Karlových Varech, Chebu a velké zkušenosti se solárními kolektory mají také v obcích Potůčky, Boží Dar, Žlutice. V roce 2014 vyrobily</w:t>
      </w:r>
      <w:r w:rsidRPr="004F3547">
        <w:t xml:space="preserve"> </w:t>
      </w:r>
      <w:r>
        <w:t>fotovoltaické elektrárny 12</w:t>
      </w:r>
      <w:r w:rsidRPr="004F3547">
        <w:t xml:space="preserve"> GWh</w:t>
      </w:r>
      <w:r>
        <w:t xml:space="preserve"> elektřiny</w:t>
      </w:r>
      <w:r w:rsidRPr="004F3547">
        <w:t>.</w:t>
      </w:r>
    </w:p>
    <w:p w:rsidR="0038370F" w:rsidRPr="00E72F68" w:rsidRDefault="0038370F" w:rsidP="002C40B2">
      <w:r w:rsidRPr="00E72F68">
        <w:rPr>
          <w:b/>
        </w:rPr>
        <w:lastRenderedPageBreak/>
        <w:t xml:space="preserve">Biomasa </w:t>
      </w:r>
      <w:r w:rsidR="002F684C" w:rsidRPr="002F684C">
        <w:t>–</w:t>
      </w:r>
      <w:r>
        <w:rPr>
          <w:b/>
        </w:rPr>
        <w:t xml:space="preserve"> </w:t>
      </w:r>
      <w:r w:rsidRPr="00E72F68">
        <w:t xml:space="preserve">bioenergetika (energie z biomasy) představuje snadnou a přirozenou možnost akumulace energie skladováním paliva. Podle stávajících údajů je pro spotřebitele oproti jiným zdrojům vytápění finančně výhodnější domovní kotelna, bloková kotelna nebo </w:t>
      </w:r>
      <w:r w:rsidR="00BD65CA">
        <w:t>centrální zdroj tepla</w:t>
      </w:r>
      <w:r w:rsidR="00BD65CA" w:rsidRPr="00E72F68">
        <w:t xml:space="preserve"> </w:t>
      </w:r>
      <w:r w:rsidRPr="00E72F68">
        <w:t>využívající jako palivo biomasu, tj. kusové dřevo nebo dřevní hmotu (kůra, štěpka či piliny) zpracovanou do formy pelet (granulí získaných vysokotlakým lisováním dřevního odpadu). Registr občanského sdružení KV – BIO uvádí v atlasu instalací OZE zdroje na biomasu využívané většinou pro vytápění dřevařských závodů, dílen a k provozu sušáren dřeva. Významný zdroj na spalování biomasy se nachází ve městě Žlutice. Energetické využívání biomasy je do budoucna v kraji klíčové a je zde k dispozici několik technických řešení – především dřevo, částečně pěstované energetické plodiny a nepochybně také komunální odpad. Pěstování energetických plodin má navíc dvě přidané hodnoty - možnost využívání ladem ležící zemědělské půdy a vznik nových zemědělských aktivit s využitím stávajících zařízení a technologií.</w:t>
      </w:r>
    </w:p>
    <w:p w:rsidR="0038370F" w:rsidRPr="00E72F68" w:rsidRDefault="0038370F" w:rsidP="002C40B2">
      <w:r w:rsidRPr="00E72F68">
        <w:t xml:space="preserve">V Karlovarském kraji je podle dostupných informací 5 zdrojů, které využívají energii </w:t>
      </w:r>
      <w:r w:rsidRPr="00E72F68">
        <w:rPr>
          <w:b/>
        </w:rPr>
        <w:t>bioplyn</w:t>
      </w:r>
      <w:r w:rsidR="002F684C" w:rsidRPr="002F684C">
        <w:rPr>
          <w:b/>
        </w:rPr>
        <w:t>u</w:t>
      </w:r>
      <w:r w:rsidRPr="00E72F68">
        <w:t xml:space="preserve">. Všechny tyto zdroje jsou provozovány při čistírnách odpadních vod ve velkých městech, kde využívají tepelné energie uvolňované spalováním bioplynu vzniklého při anaerobní stabilizaci čistírenského kalu. Teplo se v ČOV využívá pro vlastní funkci kalového hospodářství nutnou k vyvíjení bioplynu a pro vytápění areálů ČOV. </w:t>
      </w:r>
    </w:p>
    <w:p w:rsidR="0038370F" w:rsidRPr="00E72F68" w:rsidRDefault="0038370F" w:rsidP="002C40B2">
      <w:r w:rsidRPr="00CA2D6F">
        <w:rPr>
          <w:b/>
          <w:bCs/>
          <w:iCs/>
        </w:rPr>
        <w:t>Geotermální energie</w:t>
      </w:r>
      <w:r>
        <w:rPr>
          <w:b/>
          <w:bCs/>
          <w:iCs/>
        </w:rPr>
        <w:t xml:space="preserve"> </w:t>
      </w:r>
      <w:r w:rsidR="002F684C" w:rsidRPr="002F684C">
        <w:rPr>
          <w:bCs/>
          <w:iCs/>
        </w:rPr>
        <w:t>-</w:t>
      </w:r>
      <w:r>
        <w:t xml:space="preserve"> </w:t>
      </w:r>
      <w:r w:rsidRPr="00BD50FD">
        <w:t xml:space="preserve">z geologického hlediska jsou pánevní oblasti </w:t>
      </w:r>
      <w:r w:rsidR="00EF3DB3">
        <w:t>KK</w:t>
      </w:r>
      <w:r w:rsidRPr="00BD50FD">
        <w:t xml:space="preserve"> a oblasti s příznivějším geotermickým stupněm vhodným místem pro využití </w:t>
      </w:r>
      <w:r w:rsidRPr="00E72F68">
        <w:t>této energie, pokud to umožňují například podmínky ochrany přírodních léčivých zdrojů lázeňských míst apod.</w:t>
      </w:r>
    </w:p>
    <w:p w:rsidR="0038370F" w:rsidRDefault="0038370F" w:rsidP="002C40B2">
      <w:r w:rsidRPr="00E72F68">
        <w:rPr>
          <w:b/>
          <w:bCs/>
          <w:iCs/>
        </w:rPr>
        <w:t>Tepelná čerpadla</w:t>
      </w:r>
      <w:r>
        <w:rPr>
          <w:b/>
          <w:bCs/>
          <w:i/>
          <w:iCs/>
        </w:rPr>
        <w:t xml:space="preserve"> </w:t>
      </w:r>
      <w:r>
        <w:t xml:space="preserve">- vzhledem k úpravě stavebního zákona není nikde vedena evidence těchto čerpadel, v kraji chybí centrální registr. </w:t>
      </w:r>
    </w:p>
    <w:p w:rsidR="0038370F" w:rsidRDefault="0038370F" w:rsidP="002C40B2">
      <w:r>
        <w:rPr>
          <w:b/>
          <w:bCs/>
          <w:iCs/>
        </w:rPr>
        <w:t xml:space="preserve">Kogenerace </w:t>
      </w:r>
      <w:r>
        <w:t xml:space="preserve">– je metoda, při které dochází při výrobě tepelné energie zároveň i k výrobě elektrické energie. Tato metoda se využívá v nemocnicích, v nepřetržitých provozech, jako doplňkový zdroj </w:t>
      </w:r>
      <w:r>
        <w:br/>
        <w:t xml:space="preserve">v kotelnách apod. </w:t>
      </w:r>
    </w:p>
    <w:p w:rsidR="0038370F" w:rsidRDefault="0038370F" w:rsidP="002C40B2">
      <w:pPr>
        <w:spacing w:before="200"/>
        <w:rPr>
          <w:bCs/>
          <w:iCs/>
        </w:rPr>
      </w:pPr>
      <w:r w:rsidRPr="00E72F68">
        <w:rPr>
          <w:b/>
          <w:bCs/>
          <w:iCs/>
        </w:rPr>
        <w:t> V podmínkách, které kraj pro využívání OZE nabízí, jsou</w:t>
      </w:r>
      <w:r w:rsidRPr="001D3905">
        <w:rPr>
          <w:bCs/>
          <w:iCs/>
        </w:rPr>
        <w:t xml:space="preserve"> </w:t>
      </w:r>
      <w:r w:rsidRPr="001D3905">
        <w:rPr>
          <w:b/>
          <w:bCs/>
          <w:iCs/>
        </w:rPr>
        <w:t>reálnými zdroji biomasa,</w:t>
      </w:r>
      <w:r>
        <w:rPr>
          <w:b/>
          <w:bCs/>
          <w:iCs/>
        </w:rPr>
        <w:t xml:space="preserve"> </w:t>
      </w:r>
      <w:r w:rsidRPr="001D3905">
        <w:rPr>
          <w:b/>
          <w:bCs/>
          <w:iCs/>
        </w:rPr>
        <w:t>v</w:t>
      </w:r>
      <w:r>
        <w:rPr>
          <w:b/>
          <w:bCs/>
          <w:iCs/>
        </w:rPr>
        <w:t>ě</w:t>
      </w:r>
      <w:r w:rsidRPr="001D3905">
        <w:rPr>
          <w:b/>
          <w:bCs/>
          <w:iCs/>
        </w:rPr>
        <w:t>tr</w:t>
      </w:r>
      <w:r>
        <w:rPr>
          <w:b/>
          <w:bCs/>
          <w:iCs/>
        </w:rPr>
        <w:t>ná</w:t>
      </w:r>
      <w:r w:rsidRPr="001D3905">
        <w:rPr>
          <w:b/>
          <w:bCs/>
          <w:iCs/>
        </w:rPr>
        <w:t xml:space="preserve"> a okrajově i vod</w:t>
      </w:r>
      <w:r>
        <w:rPr>
          <w:b/>
          <w:bCs/>
          <w:iCs/>
        </w:rPr>
        <w:t>ní energie.</w:t>
      </w:r>
    </w:p>
    <w:p w:rsidR="0038370F" w:rsidRPr="007E3AB5" w:rsidRDefault="0038370F" w:rsidP="002C40B2">
      <w:pPr>
        <w:pStyle w:val="Nadpis2"/>
      </w:pPr>
      <w:r w:rsidRPr="007E3AB5">
        <w:t>Ochrana přírody a krajiny</w:t>
      </w:r>
    </w:p>
    <w:p w:rsidR="0038370F" w:rsidRDefault="0038370F" w:rsidP="00C4611F">
      <w:r w:rsidRPr="0067789E">
        <w:t xml:space="preserve">Karlovarský kraj je charakteristický vysokou kvalitou přírodního prostředí na </w:t>
      </w:r>
      <w:r>
        <w:t>většině svého území, která kontrastuje s opačnou charakteristikou danou</w:t>
      </w:r>
      <w:r w:rsidRPr="0067789E">
        <w:t xml:space="preserve"> intenzivní urbanizací pánevních oblastí </w:t>
      </w:r>
      <w:r w:rsidR="00C4611F">
        <w:br/>
      </w:r>
      <w:r w:rsidRPr="0067789E">
        <w:t>a důsledky povrchové</w:t>
      </w:r>
      <w:r>
        <w:t xml:space="preserve"> těžby hnědého uhlí a kaolínu. S</w:t>
      </w:r>
      <w:r w:rsidRPr="0067789E">
        <w:t> postupným ukončováním těžb</w:t>
      </w:r>
      <w:r w:rsidR="00C4611F">
        <w:t>y</w:t>
      </w:r>
      <w:r w:rsidRPr="0067789E">
        <w:t xml:space="preserve"> a rekultivacemi </w:t>
      </w:r>
      <w:r>
        <w:t xml:space="preserve">se životní prostředí v kraji </w:t>
      </w:r>
      <w:r w:rsidRPr="0067789E">
        <w:t xml:space="preserve">pozitivně proměňuje. </w:t>
      </w:r>
    </w:p>
    <w:p w:rsidR="0038370F" w:rsidRDefault="0038370F" w:rsidP="00C4611F">
      <w:r>
        <w:t xml:space="preserve">V Karlovarském kraji se nachází množství zvláště chráněných území, která </w:t>
      </w:r>
      <w:r w:rsidRPr="0067789E">
        <w:t xml:space="preserve">zaujímají celkem 19,9 % </w:t>
      </w:r>
      <w:r>
        <w:t xml:space="preserve">jeho </w:t>
      </w:r>
      <w:r w:rsidRPr="0067789E">
        <w:t>rozlohy. Vzhledem k celorepublikovému průměru (15,3 %) lze situaci na území Karlovarského kraje označit jako nadprůměrnou</w:t>
      </w:r>
      <w:r>
        <w:t xml:space="preserve">. Převážnou část zvláště chráněných území tvoří CHKO Slavkovský les, dále je na </w:t>
      </w:r>
      <w:r w:rsidRPr="0067789E">
        <w:t xml:space="preserve">území </w:t>
      </w:r>
      <w:r>
        <w:t>kraje evidováno 72</w:t>
      </w:r>
      <w:r w:rsidRPr="0067789E">
        <w:t xml:space="preserve"> maloplošných zvláště chráněných území – z toho 7 národních přírodních památek, 5 národních přír</w:t>
      </w:r>
      <w:r>
        <w:t>odních rezervací, 30</w:t>
      </w:r>
      <w:r w:rsidRPr="0067789E">
        <w:t xml:space="preserve"> přírodních památek a 30 přírodních rezervací</w:t>
      </w:r>
      <w:r>
        <w:t xml:space="preserve"> (</w:t>
      </w:r>
      <w:r w:rsidRPr="007E3AB5">
        <w:t xml:space="preserve">Zpráva o životním prostředí v Karlovarském kraji </w:t>
      </w:r>
      <w:r>
        <w:rPr>
          <w:i/>
        </w:rPr>
        <w:t>2014</w:t>
      </w:r>
      <w:r>
        <w:t>, s. 11)</w:t>
      </w:r>
      <w:r w:rsidRPr="0067789E">
        <w:t xml:space="preserve">. </w:t>
      </w:r>
    </w:p>
    <w:p w:rsidR="0038370F" w:rsidRDefault="0038370F" w:rsidP="00C4611F">
      <w:r w:rsidRPr="0067789E">
        <w:lastRenderedPageBreak/>
        <w:t>Lokality soustavy NATURA 2000 zaujímají v Karlovarském kraji více než 20 % území (republikový průměr 14,1 %), což řadí kraj na třetí místo mezi kraji ČR (za Zlínský a Jihočeský</w:t>
      </w:r>
      <w:r>
        <w:t xml:space="preserve"> kraj). V</w:t>
      </w:r>
      <w:r w:rsidRPr="0067789E">
        <w:t xml:space="preserve"> kraji je vymezeno celkem 53 evropsky významných</w:t>
      </w:r>
      <w:r>
        <w:t xml:space="preserve"> lokalit o celkové rozloze 59 35</w:t>
      </w:r>
      <w:r w:rsidRPr="0067789E">
        <w:t xml:space="preserve">7 ha – převážná většina je vymezena uvnitř již existujících </w:t>
      </w:r>
      <w:r>
        <w:t>zvláště chráněných území (</w:t>
      </w:r>
      <w:r w:rsidRPr="007E3AB5">
        <w:t>Zpráva o životním prostředí v Karlovarském kraji 2014, s.</w:t>
      </w:r>
      <w:r>
        <w:t xml:space="preserve"> 12).</w:t>
      </w:r>
    </w:p>
    <w:p w:rsidR="0038370F" w:rsidRPr="007E3AB5" w:rsidRDefault="0038370F" w:rsidP="002C40B2">
      <w:pPr>
        <w:pStyle w:val="Nadpis2"/>
      </w:pPr>
      <w:r w:rsidRPr="007E3AB5">
        <w:t xml:space="preserve">Investice do životního prostředí </w:t>
      </w:r>
    </w:p>
    <w:p w:rsidR="0038370F" w:rsidRPr="007E3AB5" w:rsidRDefault="0038370F" w:rsidP="00C4611F">
      <w:r w:rsidRPr="007E3AB5">
        <w:t>Investice do ochrany životního prostředí jsou mezi kraji nerovnoměrně rozloženy, což je dáno různorodým rozložením environmentálních problémů v ČR.</w:t>
      </w:r>
    </w:p>
    <w:p w:rsidR="0038370F" w:rsidRPr="002C0472" w:rsidRDefault="0038370F" w:rsidP="000B3B9C">
      <w:pPr>
        <w:pStyle w:val="Titulek"/>
      </w:pPr>
      <w:bookmarkStart w:id="395" w:name="_Toc321406068"/>
      <w:bookmarkStart w:id="396" w:name="_Ref310523374"/>
      <w:bookmarkStart w:id="397" w:name="_Toc488233514"/>
      <w:r>
        <w:t xml:space="preserve">Tabulka </w:t>
      </w:r>
      <w:r w:rsidR="008965FE">
        <w:fldChar w:fldCharType="begin"/>
      </w:r>
      <w:r w:rsidR="00B33DFE">
        <w:instrText xml:space="preserve"> STYLEREF 1 \s </w:instrText>
      </w:r>
      <w:r w:rsidR="008965FE">
        <w:fldChar w:fldCharType="separate"/>
      </w:r>
      <w:r w:rsidR="00CB29BD">
        <w:t>16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4</w:t>
      </w:r>
      <w:r w:rsidR="004F2330">
        <w:fldChar w:fldCharType="end"/>
      </w:r>
      <w:r>
        <w:t xml:space="preserve">: </w:t>
      </w:r>
      <w:r w:rsidRPr="002C0472">
        <w:t>Investice na ochranu životního prostředí podle krajů</w:t>
      </w:r>
      <w:bookmarkEnd w:id="395"/>
      <w:bookmarkEnd w:id="396"/>
      <w:r>
        <w:t xml:space="preserve"> v letec</w:t>
      </w:r>
      <w:r w:rsidR="007E3AB5">
        <w:t>h</w:t>
      </w:r>
      <w:r>
        <w:t xml:space="preserve"> </w:t>
      </w:r>
      <w:r w:rsidRPr="002C0472">
        <w:t>2010 – 2015 (v</w:t>
      </w:r>
      <w:r>
        <w:t xml:space="preserve"> </w:t>
      </w:r>
      <w:r w:rsidRPr="002C0472">
        <w:t>%)</w:t>
      </w:r>
      <w:bookmarkEnd w:id="397"/>
    </w:p>
    <w:tbl>
      <w:tblPr>
        <w:tblW w:w="4962" w:type="pct"/>
        <w:tblInd w:w="70" w:type="dxa"/>
        <w:tblCellMar>
          <w:left w:w="70" w:type="dxa"/>
          <w:right w:w="70" w:type="dxa"/>
        </w:tblCellMar>
        <w:tblLook w:val="04A0" w:firstRow="1" w:lastRow="0" w:firstColumn="1" w:lastColumn="0" w:noHBand="0" w:noVBand="1"/>
      </w:tblPr>
      <w:tblGrid>
        <w:gridCol w:w="1892"/>
        <w:gridCol w:w="1209"/>
        <w:gridCol w:w="1209"/>
        <w:gridCol w:w="1209"/>
        <w:gridCol w:w="1209"/>
        <w:gridCol w:w="1209"/>
        <w:gridCol w:w="1205"/>
      </w:tblGrid>
      <w:tr w:rsidR="0038370F" w:rsidRPr="00C41E9C" w:rsidTr="00050F78">
        <w:trPr>
          <w:trHeight w:val="255"/>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370F" w:rsidRPr="00E72F68" w:rsidRDefault="00C4611F" w:rsidP="00C4611F">
            <w:pPr>
              <w:spacing w:after="0"/>
              <w:jc w:val="left"/>
              <w:rPr>
                <w:rFonts w:asciiTheme="minorHAnsi" w:hAnsiTheme="minorHAnsi" w:cs="Times New Roman"/>
                <w:b/>
                <w:iCs/>
                <w:sz w:val="20"/>
                <w:szCs w:val="20"/>
              </w:rPr>
            </w:pPr>
            <w:r>
              <w:rPr>
                <w:rFonts w:asciiTheme="minorHAnsi" w:hAnsiTheme="minorHAnsi" w:cs="Times New Roman"/>
                <w:b/>
                <w:iCs/>
                <w:sz w:val="20"/>
                <w:szCs w:val="20"/>
              </w:rPr>
              <w:t>ČR, k</w:t>
            </w:r>
            <w:r w:rsidR="0038370F" w:rsidRPr="00E72F68">
              <w:rPr>
                <w:rFonts w:asciiTheme="minorHAnsi" w:hAnsiTheme="minorHAnsi" w:cs="Times New Roman"/>
                <w:b/>
                <w:iCs/>
                <w:sz w:val="20"/>
                <w:szCs w:val="20"/>
              </w:rPr>
              <w:t>raj/rok </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38370F" w:rsidRPr="0036415C" w:rsidRDefault="0038370F" w:rsidP="002C40B2">
            <w:pPr>
              <w:spacing w:after="0"/>
              <w:jc w:val="center"/>
              <w:rPr>
                <w:rFonts w:asciiTheme="minorHAnsi" w:hAnsiTheme="minorHAnsi" w:cs="Times New Roman"/>
                <w:b/>
                <w:bCs/>
                <w:sz w:val="20"/>
                <w:szCs w:val="20"/>
              </w:rPr>
            </w:pPr>
            <w:r w:rsidRPr="0036415C">
              <w:rPr>
                <w:rFonts w:asciiTheme="minorHAnsi" w:hAnsiTheme="minorHAnsi" w:cs="Times New Roman"/>
                <w:b/>
                <w:bCs/>
                <w:sz w:val="20"/>
                <w:szCs w:val="20"/>
              </w:rPr>
              <w:t>2010</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38370F" w:rsidRPr="0036415C" w:rsidRDefault="0038370F" w:rsidP="002C40B2">
            <w:pPr>
              <w:spacing w:after="0"/>
              <w:jc w:val="center"/>
              <w:rPr>
                <w:rFonts w:asciiTheme="minorHAnsi" w:hAnsiTheme="minorHAnsi" w:cs="Times New Roman"/>
                <w:b/>
                <w:bCs/>
                <w:sz w:val="20"/>
                <w:szCs w:val="20"/>
              </w:rPr>
            </w:pPr>
            <w:r w:rsidRPr="0036415C">
              <w:rPr>
                <w:rFonts w:asciiTheme="minorHAnsi" w:hAnsiTheme="minorHAnsi" w:cs="Times New Roman"/>
                <w:b/>
                <w:bCs/>
                <w:sz w:val="20"/>
                <w:szCs w:val="20"/>
              </w:rPr>
              <w:t>2011</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38370F" w:rsidRPr="0036415C" w:rsidRDefault="0038370F" w:rsidP="002C40B2">
            <w:pPr>
              <w:spacing w:after="0"/>
              <w:jc w:val="center"/>
              <w:rPr>
                <w:rFonts w:asciiTheme="minorHAnsi" w:hAnsiTheme="minorHAnsi" w:cs="Times New Roman"/>
                <w:b/>
                <w:bCs/>
                <w:sz w:val="20"/>
                <w:szCs w:val="20"/>
              </w:rPr>
            </w:pPr>
            <w:r w:rsidRPr="0036415C">
              <w:rPr>
                <w:rFonts w:asciiTheme="minorHAnsi" w:hAnsiTheme="minorHAnsi" w:cs="Times New Roman"/>
                <w:b/>
                <w:bCs/>
                <w:sz w:val="20"/>
                <w:szCs w:val="20"/>
              </w:rPr>
              <w:t>2012</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38370F" w:rsidRPr="0036415C" w:rsidRDefault="0038370F" w:rsidP="002C40B2">
            <w:pPr>
              <w:spacing w:after="0"/>
              <w:jc w:val="center"/>
              <w:rPr>
                <w:rFonts w:asciiTheme="minorHAnsi" w:hAnsiTheme="minorHAnsi" w:cs="Times New Roman"/>
                <w:b/>
                <w:bCs/>
                <w:sz w:val="20"/>
                <w:szCs w:val="20"/>
              </w:rPr>
            </w:pPr>
            <w:r w:rsidRPr="0036415C">
              <w:rPr>
                <w:rFonts w:asciiTheme="minorHAnsi" w:hAnsiTheme="minorHAnsi" w:cs="Times New Roman"/>
                <w:b/>
                <w:bCs/>
                <w:sz w:val="20"/>
                <w:szCs w:val="20"/>
              </w:rPr>
              <w:t>2013</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38370F" w:rsidRPr="0036415C" w:rsidRDefault="0038370F" w:rsidP="002C40B2">
            <w:pPr>
              <w:spacing w:after="0"/>
              <w:jc w:val="center"/>
              <w:rPr>
                <w:rFonts w:asciiTheme="minorHAnsi" w:hAnsiTheme="minorHAnsi" w:cs="Times New Roman"/>
                <w:b/>
                <w:bCs/>
                <w:sz w:val="20"/>
                <w:szCs w:val="20"/>
              </w:rPr>
            </w:pPr>
            <w:r w:rsidRPr="0036415C">
              <w:rPr>
                <w:rFonts w:asciiTheme="minorHAnsi" w:hAnsiTheme="minorHAnsi" w:cs="Times New Roman"/>
                <w:b/>
                <w:bCs/>
                <w:sz w:val="20"/>
                <w:szCs w:val="20"/>
              </w:rPr>
              <w:t>2014</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rsidR="0038370F" w:rsidRPr="0036415C" w:rsidRDefault="0038370F" w:rsidP="002C40B2">
            <w:pPr>
              <w:spacing w:after="0"/>
              <w:jc w:val="center"/>
              <w:rPr>
                <w:rFonts w:asciiTheme="minorHAnsi" w:hAnsiTheme="minorHAnsi" w:cs="Times New Roman"/>
                <w:b/>
                <w:bCs/>
                <w:sz w:val="20"/>
                <w:szCs w:val="20"/>
              </w:rPr>
            </w:pPr>
            <w:r w:rsidRPr="0036415C">
              <w:rPr>
                <w:rFonts w:asciiTheme="minorHAnsi" w:hAnsiTheme="minorHAnsi" w:cs="Times New Roman"/>
                <w:b/>
                <w:bCs/>
                <w:sz w:val="20"/>
                <w:szCs w:val="20"/>
              </w:rPr>
              <w:t>2015</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Hl. m. Praha</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12,0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8,0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7,1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7,1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4,6</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3,7</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 xml:space="preserve">Středočeský </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12,5</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14,0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12,9</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10,7</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 xml:space="preserve">Jihočeský </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5,4</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5,6</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5,0</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 xml:space="preserve">Plzeňský </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6,2</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4,9</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7,9</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3,0</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03279D" w:rsidRDefault="0038370F" w:rsidP="002C40B2">
            <w:pPr>
              <w:spacing w:after="0"/>
              <w:jc w:val="left"/>
              <w:rPr>
                <w:rFonts w:asciiTheme="minorHAnsi" w:hAnsiTheme="minorHAnsi" w:cs="Times New Roman"/>
                <w:b/>
                <w:sz w:val="20"/>
                <w:szCs w:val="20"/>
              </w:rPr>
            </w:pPr>
            <w:r w:rsidRPr="0003279D">
              <w:rPr>
                <w:rFonts w:asciiTheme="minorHAnsi" w:hAnsiTheme="minorHAnsi" w:cs="Times New Roman"/>
                <w:b/>
                <w:sz w:val="20"/>
                <w:szCs w:val="20"/>
              </w:rPr>
              <w:t xml:space="preserve">Karlovarský </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03279D" w:rsidRDefault="0038370F" w:rsidP="002C40B2">
            <w:pPr>
              <w:spacing w:after="0"/>
              <w:jc w:val="center"/>
              <w:rPr>
                <w:rFonts w:asciiTheme="minorHAnsi" w:hAnsiTheme="minorHAnsi" w:cs="Times New Roman"/>
                <w:b/>
                <w:sz w:val="20"/>
                <w:szCs w:val="20"/>
              </w:rPr>
            </w:pPr>
            <w:r w:rsidRPr="0003279D">
              <w:rPr>
                <w:rFonts w:asciiTheme="minorHAnsi" w:hAnsiTheme="minorHAnsi" w:cs="Times New Roman"/>
                <w:b/>
                <w:sz w:val="20"/>
                <w:szCs w:val="20"/>
              </w:rPr>
              <w:t>1,9</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03279D" w:rsidRDefault="0038370F" w:rsidP="002C40B2">
            <w:pPr>
              <w:spacing w:after="0"/>
              <w:jc w:val="center"/>
              <w:rPr>
                <w:rFonts w:asciiTheme="minorHAnsi" w:hAnsiTheme="minorHAnsi" w:cs="Times New Roman"/>
                <w:b/>
                <w:sz w:val="20"/>
                <w:szCs w:val="20"/>
              </w:rPr>
            </w:pPr>
            <w:r w:rsidRPr="0003279D">
              <w:rPr>
                <w:rFonts w:asciiTheme="minorHAnsi" w:hAnsiTheme="minorHAnsi" w:cs="Times New Roman"/>
                <w:b/>
                <w:sz w:val="20"/>
                <w:szCs w:val="20"/>
              </w:rPr>
              <w:t>2,8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03279D" w:rsidRDefault="0038370F" w:rsidP="002C40B2">
            <w:pPr>
              <w:spacing w:after="0"/>
              <w:jc w:val="center"/>
              <w:rPr>
                <w:rFonts w:asciiTheme="minorHAnsi" w:hAnsiTheme="minorHAnsi" w:cs="Times New Roman"/>
                <w:b/>
                <w:sz w:val="20"/>
                <w:szCs w:val="20"/>
              </w:rPr>
            </w:pPr>
            <w:r w:rsidRPr="0003279D">
              <w:rPr>
                <w:rFonts w:asciiTheme="minorHAnsi" w:hAnsiTheme="minorHAnsi" w:cs="Times New Roman"/>
                <w:b/>
                <w:sz w:val="20"/>
                <w:szCs w:val="20"/>
              </w:rPr>
              <w:t>2,0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03279D" w:rsidRDefault="0038370F" w:rsidP="002C40B2">
            <w:pPr>
              <w:spacing w:after="0"/>
              <w:jc w:val="center"/>
              <w:rPr>
                <w:rFonts w:asciiTheme="minorHAnsi" w:hAnsiTheme="minorHAnsi" w:cs="Times New Roman"/>
                <w:b/>
                <w:sz w:val="20"/>
                <w:szCs w:val="20"/>
              </w:rPr>
            </w:pPr>
            <w:r w:rsidRPr="0003279D">
              <w:rPr>
                <w:rFonts w:asciiTheme="minorHAnsi" w:hAnsiTheme="minorHAnsi" w:cs="Times New Roman"/>
                <w:b/>
                <w:sz w:val="20"/>
                <w:szCs w:val="20"/>
              </w:rPr>
              <w:t>1,7</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03279D" w:rsidRDefault="0038370F" w:rsidP="002C40B2">
            <w:pPr>
              <w:spacing w:after="0"/>
              <w:jc w:val="center"/>
              <w:rPr>
                <w:rFonts w:asciiTheme="minorHAnsi" w:hAnsiTheme="minorHAnsi" w:cs="Times New Roman"/>
                <w:b/>
                <w:sz w:val="20"/>
                <w:szCs w:val="20"/>
              </w:rPr>
            </w:pPr>
            <w:r w:rsidRPr="0003279D">
              <w:rPr>
                <w:rFonts w:asciiTheme="minorHAnsi" w:hAnsiTheme="minorHAnsi" w:cs="Times New Roman"/>
                <w:b/>
                <w:sz w:val="20"/>
                <w:szCs w:val="20"/>
              </w:rPr>
              <w:t>3,0</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03279D" w:rsidRDefault="0038370F" w:rsidP="002C40B2">
            <w:pPr>
              <w:spacing w:after="0"/>
              <w:jc w:val="center"/>
              <w:rPr>
                <w:rFonts w:asciiTheme="minorHAnsi" w:hAnsiTheme="minorHAnsi" w:cs="Times New Roman"/>
                <w:b/>
                <w:sz w:val="20"/>
                <w:szCs w:val="20"/>
              </w:rPr>
            </w:pPr>
            <w:r w:rsidRPr="0003279D">
              <w:rPr>
                <w:rFonts w:asciiTheme="minorHAnsi" w:hAnsiTheme="minorHAnsi" w:cs="Times New Roman"/>
                <w:b/>
                <w:sz w:val="20"/>
                <w:szCs w:val="20"/>
              </w:rPr>
              <w:t>2,1</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Ústecký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9,4</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8,6</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12,8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8,7</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10,6</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Liberecký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3,5</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1,5</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1,4</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Královéhradecký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3,4</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4,4</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5,2</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3,2</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3,1</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Pardubický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5,9</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6,4</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6,0</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10,3</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Vysočina</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3,4</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5,2</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5,3</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9,0</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8,7</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Jihomoravský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13,8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7,5</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11,8</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9,4</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9,9</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15,5</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Olomoucký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3,9</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3,7</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4,5</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4,9</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6,1</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Zlínský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5,2</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4,6</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4,5</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6,5</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3,8</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Moravskoslezský</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12,6</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20,1</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14,0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16,6</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18,3</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16,7</w:t>
            </w:r>
          </w:p>
        </w:tc>
      </w:tr>
      <w:tr w:rsidR="0038370F" w:rsidRPr="00C41E9C" w:rsidTr="00050F78">
        <w:trPr>
          <w:trHeight w:val="255"/>
        </w:trPr>
        <w:tc>
          <w:tcPr>
            <w:tcW w:w="1035" w:type="pct"/>
            <w:tcBorders>
              <w:top w:val="nil"/>
              <w:left w:val="single" w:sz="4" w:space="0" w:color="auto"/>
              <w:bottom w:val="single" w:sz="4" w:space="0" w:color="auto"/>
              <w:right w:val="single" w:sz="4" w:space="0" w:color="auto"/>
            </w:tcBorders>
            <w:shd w:val="clear" w:color="auto" w:fill="auto"/>
            <w:vAlign w:val="bottom"/>
            <w:hideMark/>
          </w:tcPr>
          <w:p w:rsidR="0038370F" w:rsidRPr="0036415C" w:rsidRDefault="0038370F" w:rsidP="002C40B2">
            <w:pPr>
              <w:spacing w:after="0"/>
              <w:jc w:val="left"/>
              <w:rPr>
                <w:rFonts w:asciiTheme="minorHAnsi" w:hAnsiTheme="minorHAnsi" w:cs="Times New Roman"/>
                <w:sz w:val="20"/>
                <w:szCs w:val="20"/>
              </w:rPr>
            </w:pPr>
            <w:r w:rsidRPr="0036415C">
              <w:rPr>
                <w:rFonts w:asciiTheme="minorHAnsi" w:hAnsiTheme="minorHAnsi" w:cs="Times New Roman"/>
                <w:sz w:val="20"/>
                <w:szCs w:val="20"/>
              </w:rPr>
              <w:t>ČR</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100,0</w:t>
            </w:r>
          </w:p>
        </w:tc>
        <w:tc>
          <w:tcPr>
            <w:tcW w:w="661"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100,0</w:t>
            </w:r>
          </w:p>
        </w:tc>
        <w:tc>
          <w:tcPr>
            <w:tcW w:w="659" w:type="pct"/>
            <w:tcBorders>
              <w:top w:val="nil"/>
              <w:left w:val="nil"/>
              <w:bottom w:val="single" w:sz="4" w:space="0" w:color="auto"/>
              <w:right w:val="single" w:sz="4" w:space="0" w:color="auto"/>
            </w:tcBorders>
            <w:shd w:val="clear" w:color="auto" w:fill="auto"/>
            <w:noWrap/>
            <w:vAlign w:val="bottom"/>
            <w:hideMark/>
          </w:tcPr>
          <w:p w:rsidR="0038370F" w:rsidRPr="0036415C" w:rsidRDefault="0038370F" w:rsidP="002C40B2">
            <w:pPr>
              <w:spacing w:after="0"/>
              <w:jc w:val="center"/>
              <w:rPr>
                <w:rFonts w:asciiTheme="minorHAnsi" w:hAnsiTheme="minorHAnsi" w:cs="Times New Roman"/>
                <w:sz w:val="20"/>
                <w:szCs w:val="20"/>
              </w:rPr>
            </w:pPr>
            <w:r w:rsidRPr="0036415C">
              <w:rPr>
                <w:rFonts w:asciiTheme="minorHAnsi" w:hAnsiTheme="minorHAnsi" w:cs="Times New Roman"/>
                <w:sz w:val="20"/>
                <w:szCs w:val="20"/>
              </w:rPr>
              <w:t>100,0</w:t>
            </w:r>
          </w:p>
        </w:tc>
      </w:tr>
    </w:tbl>
    <w:p w:rsidR="0038370F" w:rsidRPr="007E3AB5" w:rsidRDefault="0038370F" w:rsidP="002C40B2">
      <w:pPr>
        <w:pStyle w:val="Zdrojdat"/>
        <w:spacing w:before="120" w:line="276" w:lineRule="auto"/>
        <w:rPr>
          <w:rStyle w:val="Zdraznnjemn"/>
          <w:i/>
        </w:rPr>
      </w:pPr>
      <w:r w:rsidRPr="007E3AB5">
        <w:rPr>
          <w:rStyle w:val="Zdraznnjemn"/>
          <w:i/>
        </w:rPr>
        <w:t>Zdroj: ČSÚ</w:t>
      </w:r>
      <w:r w:rsidR="007E3AB5">
        <w:rPr>
          <w:rStyle w:val="Zdraznnjemn"/>
          <w:i/>
        </w:rPr>
        <w:t xml:space="preserve"> - </w:t>
      </w:r>
      <w:r w:rsidRPr="007E3AB5">
        <w:rPr>
          <w:rStyle w:val="Zdraznnjemn"/>
          <w:i/>
        </w:rPr>
        <w:t xml:space="preserve">Výdaje na ochranu životního prostředí - 2015, vlastní výpočty </w:t>
      </w:r>
    </w:p>
    <w:p w:rsidR="0038370F" w:rsidRDefault="0038370F" w:rsidP="00C4611F">
      <w:r w:rsidRPr="00AE46CF">
        <w:t xml:space="preserve">Podíl Karlovarského kraje na celkových investicích do ochrany ŽP </w:t>
      </w:r>
      <w:r>
        <w:t xml:space="preserve">v ČR dlouhodobě </w:t>
      </w:r>
      <w:r w:rsidRPr="00AE46CF">
        <w:t>osciluje kolem hodnoty 2 %</w:t>
      </w:r>
      <w:r>
        <w:t xml:space="preserve"> a v roce 2015 tak zaujal předposlední místo mezi regiony (viz </w:t>
      </w:r>
      <w:r w:rsidR="004F2330">
        <w:fldChar w:fldCharType="begin"/>
      </w:r>
      <w:r w:rsidR="004F2330">
        <w:instrText xml:space="preserve"> REF _Ref310516414 \h  \* MERGEFORMAT </w:instrText>
      </w:r>
      <w:r w:rsidR="004F2330">
        <w:fldChar w:fldCharType="separate"/>
      </w:r>
      <w:r w:rsidR="00EB0944">
        <w:t>t</w:t>
      </w:r>
      <w:r w:rsidR="00CB29BD" w:rsidRPr="00AE46CF">
        <w:t xml:space="preserve">abulka </w:t>
      </w:r>
      <w:r w:rsidR="00CB29BD">
        <w:rPr>
          <w:noProof/>
        </w:rPr>
        <w:t>16</w:t>
      </w:r>
      <w:r w:rsidR="00CB29BD">
        <w:t>.5</w:t>
      </w:r>
      <w:r w:rsidR="004F2330">
        <w:fldChar w:fldCharType="end"/>
      </w:r>
      <w:r>
        <w:t>). I</w:t>
      </w:r>
      <w:r w:rsidRPr="00AE46CF">
        <w:t xml:space="preserve">nvestice do ochrany životního prostředí </w:t>
      </w:r>
      <w:r>
        <w:t xml:space="preserve">se </w:t>
      </w:r>
      <w:r w:rsidRPr="00AE46CF">
        <w:t>více soustřeďují do krajů Moravskoslezského</w:t>
      </w:r>
      <w:r>
        <w:t xml:space="preserve"> a Středočeského</w:t>
      </w:r>
      <w:r w:rsidRPr="00AE46CF">
        <w:t xml:space="preserve">. </w:t>
      </w:r>
    </w:p>
    <w:p w:rsidR="00C4611F" w:rsidRDefault="0038370F" w:rsidP="00C4611F">
      <w:r w:rsidRPr="002C0472">
        <w:t>Zatímco v</w:t>
      </w:r>
      <w:r>
        <w:t xml:space="preserve"> Karlovarském kraji </w:t>
      </w:r>
      <w:r w:rsidRPr="002C0472">
        <w:t>směřovalo nejvíce investic</w:t>
      </w:r>
      <w:r>
        <w:t xml:space="preserve"> v roce 2010 na ochranu ovzduší a klimatu </w:t>
      </w:r>
      <w:r>
        <w:br/>
        <w:t xml:space="preserve">(45 %), snížil se jejich podíl v roce 2015 na necelých 20 %, kdy kraj více investoval do nakládání s odpadními vodami (54,3 %) a do nakládání s odpady (22,2 %) (viz </w:t>
      </w:r>
      <w:r w:rsidR="004F2330">
        <w:fldChar w:fldCharType="begin"/>
      </w:r>
      <w:r w:rsidR="004F2330">
        <w:instrText xml:space="preserve"> REF _Ref310516414 \h  \* MERGEFORMAT </w:instrText>
      </w:r>
      <w:r w:rsidR="004F2330">
        <w:fldChar w:fldCharType="separate"/>
      </w:r>
      <w:r w:rsidR="00EB0944">
        <w:t>t</w:t>
      </w:r>
      <w:r w:rsidR="00CB29BD" w:rsidRPr="00AE46CF">
        <w:t xml:space="preserve">abulka </w:t>
      </w:r>
      <w:r w:rsidR="00CB29BD">
        <w:rPr>
          <w:noProof/>
        </w:rPr>
        <w:t>16</w:t>
      </w:r>
      <w:r w:rsidR="00CB29BD">
        <w:t>.5</w:t>
      </w:r>
      <w:r w:rsidR="004F2330">
        <w:fldChar w:fldCharType="end"/>
      </w:r>
      <w:r>
        <w:t xml:space="preserve">). Na národní úrovni se za sledované období nejvíce investovalo do oblasti nakládání s odpadními vodami (téměř 38%) a na druhém místě do ochrany ovzduší a klimatu (téměř 33 %). </w:t>
      </w:r>
    </w:p>
    <w:p w:rsidR="00C4611F" w:rsidRDefault="00C4611F">
      <w:pPr>
        <w:spacing w:after="160" w:line="259" w:lineRule="auto"/>
        <w:jc w:val="left"/>
      </w:pPr>
      <w:r>
        <w:br w:type="page"/>
      </w:r>
    </w:p>
    <w:p w:rsidR="0038370F" w:rsidRDefault="0038370F" w:rsidP="000B3B9C">
      <w:pPr>
        <w:pStyle w:val="Titulek"/>
      </w:pPr>
      <w:bookmarkStart w:id="398" w:name="_Ref310516414"/>
      <w:bookmarkStart w:id="399" w:name="_Ref310523377"/>
      <w:bookmarkStart w:id="400" w:name="_Toc321406070"/>
      <w:r w:rsidRPr="00AE46CF">
        <w:lastRenderedPageBreak/>
        <w:t xml:space="preserve">Tabulka </w:t>
      </w:r>
      <w:r w:rsidR="008965FE">
        <w:fldChar w:fldCharType="begin"/>
      </w:r>
      <w:r w:rsidR="00B33DFE">
        <w:instrText xml:space="preserve"> STYLEREF 1 \s </w:instrText>
      </w:r>
      <w:r w:rsidR="008965FE">
        <w:fldChar w:fldCharType="separate"/>
      </w:r>
      <w:r w:rsidR="00CB29BD">
        <w:t>16</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5</w:t>
      </w:r>
      <w:r w:rsidR="004F2330">
        <w:fldChar w:fldCharType="end"/>
      </w:r>
      <w:bookmarkEnd w:id="398"/>
      <w:r w:rsidRPr="00AE46CF">
        <w:t xml:space="preserve">: Investice na ochranu </w:t>
      </w:r>
      <w:r>
        <w:t xml:space="preserve">ŽP </w:t>
      </w:r>
      <w:r w:rsidRPr="00AE46CF">
        <w:t>podle jednotlivých oblastí ochrany</w:t>
      </w:r>
      <w:bookmarkEnd w:id="399"/>
      <w:bookmarkEnd w:id="400"/>
      <w:r w:rsidR="007E3AB5">
        <w:t xml:space="preserve"> v letech</w:t>
      </w:r>
      <w:r>
        <w:t xml:space="preserve"> 2010 – 2015 (v %)</w:t>
      </w:r>
    </w:p>
    <w:tbl>
      <w:tblPr>
        <w:tblW w:w="4962" w:type="pct"/>
        <w:tblInd w:w="70" w:type="dxa"/>
        <w:tblCellMar>
          <w:left w:w="70" w:type="dxa"/>
          <w:right w:w="70" w:type="dxa"/>
        </w:tblCellMar>
        <w:tblLook w:val="04A0" w:firstRow="1" w:lastRow="0" w:firstColumn="1" w:lastColumn="0" w:noHBand="0" w:noVBand="1"/>
      </w:tblPr>
      <w:tblGrid>
        <w:gridCol w:w="2890"/>
        <w:gridCol w:w="1042"/>
        <w:gridCol w:w="1042"/>
        <w:gridCol w:w="1042"/>
        <w:gridCol w:w="1042"/>
        <w:gridCol w:w="1042"/>
        <w:gridCol w:w="1042"/>
      </w:tblGrid>
      <w:tr w:rsidR="0038370F" w:rsidRPr="00B24BE6" w:rsidTr="00050F78">
        <w:trPr>
          <w:trHeight w:val="255"/>
        </w:trPr>
        <w:tc>
          <w:tcPr>
            <w:tcW w:w="1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370F" w:rsidRPr="00E72F68" w:rsidRDefault="0038370F" w:rsidP="002C40B2">
            <w:pPr>
              <w:spacing w:after="0"/>
              <w:jc w:val="left"/>
              <w:rPr>
                <w:rFonts w:asciiTheme="minorHAnsi" w:hAnsiTheme="minorHAnsi" w:cs="Times New Roman"/>
                <w:b/>
                <w:iCs/>
                <w:sz w:val="20"/>
                <w:szCs w:val="20"/>
              </w:rPr>
            </w:pPr>
            <w:r w:rsidRPr="00E72F68">
              <w:rPr>
                <w:rFonts w:asciiTheme="minorHAnsi" w:hAnsiTheme="minorHAnsi" w:cs="Times New Roman"/>
                <w:b/>
                <w:iCs/>
                <w:sz w:val="20"/>
                <w:szCs w:val="20"/>
              </w:rPr>
              <w:t>Rok</w:t>
            </w:r>
          </w:p>
        </w:tc>
        <w:tc>
          <w:tcPr>
            <w:tcW w:w="570" w:type="pct"/>
            <w:tcBorders>
              <w:top w:val="single" w:sz="4" w:space="0" w:color="auto"/>
              <w:left w:val="nil"/>
              <w:bottom w:val="single" w:sz="4" w:space="0" w:color="auto"/>
              <w:right w:val="single" w:sz="4" w:space="0" w:color="auto"/>
            </w:tcBorders>
            <w:shd w:val="clear" w:color="auto" w:fill="auto"/>
            <w:vAlign w:val="bottom"/>
            <w:hideMark/>
          </w:tcPr>
          <w:p w:rsidR="0038370F" w:rsidRPr="00E72F68" w:rsidRDefault="0038370F" w:rsidP="002C40B2">
            <w:pPr>
              <w:spacing w:after="0"/>
              <w:jc w:val="center"/>
              <w:rPr>
                <w:rFonts w:asciiTheme="minorHAnsi" w:hAnsiTheme="minorHAnsi" w:cs="Times New Roman"/>
                <w:b/>
                <w:iCs/>
                <w:sz w:val="20"/>
                <w:szCs w:val="20"/>
              </w:rPr>
            </w:pPr>
            <w:r w:rsidRPr="00E72F68">
              <w:rPr>
                <w:rFonts w:asciiTheme="minorHAnsi" w:hAnsiTheme="minorHAnsi" w:cs="Times New Roman"/>
                <w:b/>
                <w:iCs/>
                <w:sz w:val="20"/>
                <w:szCs w:val="20"/>
              </w:rPr>
              <w:t>2010</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b/>
                <w:iCs/>
                <w:sz w:val="20"/>
                <w:szCs w:val="20"/>
              </w:rPr>
            </w:pPr>
            <w:r w:rsidRPr="00E72F68">
              <w:rPr>
                <w:rFonts w:asciiTheme="minorHAnsi" w:hAnsiTheme="minorHAnsi" w:cs="Times New Roman"/>
                <w:b/>
                <w:iCs/>
                <w:sz w:val="20"/>
                <w:szCs w:val="20"/>
              </w:rPr>
              <w:t>2011</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b/>
                <w:iCs/>
                <w:sz w:val="20"/>
                <w:szCs w:val="20"/>
              </w:rPr>
            </w:pPr>
            <w:r w:rsidRPr="00E72F68">
              <w:rPr>
                <w:rFonts w:asciiTheme="minorHAnsi" w:hAnsiTheme="minorHAnsi" w:cs="Times New Roman"/>
                <w:b/>
                <w:iCs/>
                <w:sz w:val="20"/>
                <w:szCs w:val="20"/>
              </w:rPr>
              <w:t>2012</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b/>
                <w:iCs/>
                <w:sz w:val="20"/>
                <w:szCs w:val="20"/>
              </w:rPr>
            </w:pPr>
            <w:r w:rsidRPr="00E72F68">
              <w:rPr>
                <w:rFonts w:asciiTheme="minorHAnsi" w:hAnsiTheme="minorHAnsi" w:cs="Times New Roman"/>
                <w:b/>
                <w:iCs/>
                <w:sz w:val="20"/>
                <w:szCs w:val="20"/>
              </w:rPr>
              <w:t>2013</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b/>
                <w:iCs/>
                <w:sz w:val="20"/>
                <w:szCs w:val="20"/>
              </w:rPr>
            </w:pPr>
            <w:r w:rsidRPr="00E72F68">
              <w:rPr>
                <w:rFonts w:asciiTheme="minorHAnsi" w:hAnsiTheme="minorHAnsi" w:cs="Times New Roman"/>
                <w:b/>
                <w:iCs/>
                <w:sz w:val="20"/>
                <w:szCs w:val="20"/>
              </w:rPr>
              <w:t>2014</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b/>
                <w:iCs/>
                <w:sz w:val="20"/>
                <w:szCs w:val="20"/>
              </w:rPr>
            </w:pPr>
            <w:r w:rsidRPr="00E72F68">
              <w:rPr>
                <w:rFonts w:asciiTheme="minorHAnsi" w:hAnsiTheme="minorHAnsi" w:cs="Times New Roman"/>
                <w:b/>
                <w:iCs/>
                <w:sz w:val="20"/>
                <w:szCs w:val="20"/>
              </w:rPr>
              <w:t>2015</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vAlign w:val="center"/>
            <w:hideMark/>
          </w:tcPr>
          <w:p w:rsidR="0038370F" w:rsidRPr="00E72F68" w:rsidRDefault="0038370F" w:rsidP="00C4611F">
            <w:pPr>
              <w:spacing w:after="0"/>
              <w:jc w:val="left"/>
              <w:rPr>
                <w:rFonts w:asciiTheme="minorHAnsi" w:hAnsiTheme="minorHAnsi" w:cs="Times New Roman"/>
                <w:iCs/>
                <w:sz w:val="20"/>
                <w:szCs w:val="20"/>
              </w:rPr>
            </w:pPr>
            <w:r w:rsidRPr="00E72F68">
              <w:rPr>
                <w:rFonts w:asciiTheme="minorHAnsi" w:hAnsiTheme="minorHAnsi" w:cs="Times New Roman"/>
                <w:b/>
                <w:iCs/>
                <w:sz w:val="20"/>
                <w:szCs w:val="20"/>
              </w:rPr>
              <w:t>Karlovarský kraj celkem</w:t>
            </w:r>
            <w:r w:rsidRPr="00E72F68">
              <w:rPr>
                <w:rFonts w:asciiTheme="minorHAnsi" w:hAnsiTheme="minorHAnsi" w:cs="Times New Roman"/>
                <w:iCs/>
                <w:sz w:val="20"/>
                <w:szCs w:val="20"/>
              </w:rPr>
              <w:t xml:space="preserve"> (v tis.Kč)</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374 201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745 635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546 949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459 229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452 485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811 221</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ochrana ovzduší a klimatu</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45,0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19,3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10,0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17,6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35,2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19,9 </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nakládání s odpadními vodami</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37,1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65,6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79,6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62,7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46,7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54,3 </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nakládání s odpady</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10,5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4,1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3,0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15,7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10,8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22,2 </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ostatní</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7,5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11,0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7,3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4,0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7,3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4,0 </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vAlign w:val="center"/>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b/>
                <w:iCs/>
                <w:sz w:val="20"/>
                <w:szCs w:val="20"/>
              </w:rPr>
              <w:t>ČR celkem</w:t>
            </w:r>
            <w:r w:rsidRPr="00E72F68">
              <w:rPr>
                <w:rFonts w:asciiTheme="minorHAnsi" w:hAnsiTheme="minorHAnsi" w:cs="Times New Roman"/>
                <w:iCs/>
                <w:sz w:val="20"/>
                <w:szCs w:val="20"/>
              </w:rPr>
              <w:t xml:space="preserve"> (v tis.Kč)</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22 646 763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24 814 074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25 617 059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27 074 371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31 390 275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40 109 604</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ochrana ovzduší a klimatu</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15,7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19,4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16,3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23,7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30,3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32,7 </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nakládání s odpadními vodami</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39,9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38,9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46,2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34,7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36,2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37,9 </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nakládání s odpady</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16,2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14,6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12,3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17,2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15,8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14,1 </w:t>
            </w:r>
          </w:p>
        </w:tc>
      </w:tr>
      <w:tr w:rsidR="0038370F" w:rsidRPr="00B24BE6" w:rsidTr="00050F78">
        <w:trPr>
          <w:trHeight w:val="255"/>
        </w:trPr>
        <w:tc>
          <w:tcPr>
            <w:tcW w:w="1581" w:type="pct"/>
            <w:tcBorders>
              <w:top w:val="nil"/>
              <w:left w:val="single" w:sz="4" w:space="0" w:color="auto"/>
              <w:bottom w:val="single" w:sz="4" w:space="0" w:color="auto"/>
              <w:right w:val="single" w:sz="4" w:space="0" w:color="auto"/>
            </w:tcBorders>
            <w:shd w:val="clear" w:color="auto" w:fill="auto"/>
            <w:noWrap/>
            <w:vAlign w:val="bottom"/>
            <w:hideMark/>
          </w:tcPr>
          <w:p w:rsidR="0038370F" w:rsidRPr="00E72F68" w:rsidRDefault="0038370F" w:rsidP="002C40B2">
            <w:pPr>
              <w:spacing w:after="0"/>
              <w:jc w:val="left"/>
              <w:rPr>
                <w:rFonts w:asciiTheme="minorHAnsi" w:hAnsiTheme="minorHAnsi" w:cs="Times New Roman"/>
                <w:iCs/>
                <w:sz w:val="20"/>
                <w:szCs w:val="20"/>
              </w:rPr>
            </w:pPr>
            <w:r w:rsidRPr="00E72F68">
              <w:rPr>
                <w:rFonts w:asciiTheme="minorHAnsi" w:hAnsiTheme="minorHAnsi" w:cs="Times New Roman"/>
                <w:iCs/>
                <w:sz w:val="20"/>
                <w:szCs w:val="20"/>
              </w:rPr>
              <w:t>ostatní</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28,2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27,1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25,2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24,4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17,7 </w:t>
            </w:r>
          </w:p>
        </w:tc>
        <w:tc>
          <w:tcPr>
            <w:tcW w:w="570" w:type="pct"/>
            <w:tcBorders>
              <w:top w:val="nil"/>
              <w:left w:val="nil"/>
              <w:bottom w:val="single" w:sz="4" w:space="0" w:color="auto"/>
              <w:right w:val="single" w:sz="4" w:space="0" w:color="auto"/>
            </w:tcBorders>
            <w:shd w:val="clear" w:color="auto" w:fill="auto"/>
            <w:noWrap/>
            <w:vAlign w:val="bottom"/>
            <w:hideMark/>
          </w:tcPr>
          <w:p w:rsidR="0038370F" w:rsidRPr="00E72F68" w:rsidRDefault="0038370F" w:rsidP="002C40B2">
            <w:pPr>
              <w:spacing w:after="0"/>
              <w:jc w:val="center"/>
              <w:rPr>
                <w:rFonts w:asciiTheme="minorHAnsi" w:hAnsiTheme="minorHAnsi" w:cs="Times New Roman"/>
                <w:iCs/>
                <w:sz w:val="20"/>
                <w:szCs w:val="20"/>
              </w:rPr>
            </w:pPr>
            <w:r w:rsidRPr="00E72F68">
              <w:rPr>
                <w:rFonts w:asciiTheme="minorHAnsi" w:hAnsiTheme="minorHAnsi" w:cs="Times New Roman"/>
                <w:iCs/>
                <w:sz w:val="20"/>
                <w:szCs w:val="20"/>
              </w:rPr>
              <w:t xml:space="preserve">15,4 </w:t>
            </w:r>
          </w:p>
        </w:tc>
      </w:tr>
    </w:tbl>
    <w:p w:rsidR="0038370F" w:rsidRPr="007E3AB5" w:rsidRDefault="0038370F" w:rsidP="002C40B2">
      <w:pPr>
        <w:pStyle w:val="Zdrojdat"/>
        <w:spacing w:before="120" w:line="276" w:lineRule="auto"/>
        <w:rPr>
          <w:rStyle w:val="Zdraznnjemn"/>
          <w:i/>
        </w:rPr>
      </w:pPr>
      <w:r w:rsidRPr="007E3AB5">
        <w:rPr>
          <w:rStyle w:val="Zdraznnjemn"/>
          <w:i/>
        </w:rPr>
        <w:t>Zdroj: ČSÚ, Výdaje na ochranu životního prostředí – 2015, Statistické ročenky Karlovarského kraje 2011 – 2015</w:t>
      </w:r>
    </w:p>
    <w:p w:rsidR="0038370F" w:rsidRPr="007E3AB5" w:rsidRDefault="0038370F" w:rsidP="002C40B2">
      <w:pPr>
        <w:pStyle w:val="Nadpis2"/>
      </w:pPr>
      <w:r w:rsidRPr="007E3AB5">
        <w:t>Klíčové výzvy/problémy</w:t>
      </w:r>
    </w:p>
    <w:p w:rsidR="0038370F" w:rsidRDefault="0038370F" w:rsidP="002C40B2">
      <w:pPr>
        <w:rPr>
          <w:b/>
        </w:rPr>
      </w:pPr>
      <w:r w:rsidRPr="00C41E9C">
        <w:rPr>
          <w:b/>
        </w:rPr>
        <w:t>Zdroje vody, ochrana před povodněmi a suchem</w:t>
      </w:r>
      <w:r>
        <w:rPr>
          <w:b/>
        </w:rPr>
        <w:t xml:space="preserve"> </w:t>
      </w:r>
    </w:p>
    <w:p w:rsidR="0038370F" w:rsidRPr="00F23FDD" w:rsidRDefault="0038370F" w:rsidP="002C40B2">
      <w:r w:rsidRPr="00F23FDD">
        <w:t>V Karlovarském kraji</w:t>
      </w:r>
      <w:r w:rsidRPr="0036415C">
        <w:t xml:space="preserve"> byla zpracována</w:t>
      </w:r>
      <w:r w:rsidRPr="00F23FDD">
        <w:t xml:space="preserve"> </w:t>
      </w:r>
      <w:r w:rsidR="002F684C" w:rsidRPr="002F684C">
        <w:rPr>
          <w:i/>
        </w:rPr>
        <w:t>Výhledová studie potřeb a zdrojů vody v Karlovarském kraji</w:t>
      </w:r>
      <w:r w:rsidRPr="00F23FDD">
        <w:t xml:space="preserve">, kde byla vyhodnocena potřeba nadlepšit průtoky některých toků a zřídit vodní nádrže. Dále je aktualizována </w:t>
      </w:r>
      <w:r w:rsidRPr="005E17EB">
        <w:rPr>
          <w:i/>
        </w:rPr>
        <w:t>Strategie ochrany před povodněmi Karlovarského kraje</w:t>
      </w:r>
      <w:r w:rsidRPr="00F23FDD">
        <w:t xml:space="preserve">, ve které je navržena řada doporučení a opatření v záplavových územích na vodních tocích. Rovněž byla identifikována potřeba připravit a prosadit aplikaci </w:t>
      </w:r>
      <w:r w:rsidRPr="005E17EB">
        <w:rPr>
          <w:i/>
        </w:rPr>
        <w:t>Strategie boje proti suchu v České republice</w:t>
      </w:r>
      <w:r w:rsidRPr="00F23FDD">
        <w:t xml:space="preserve"> na krajské úrovni a v této souvislosti </w:t>
      </w:r>
      <w:r w:rsidRPr="0036415C">
        <w:t xml:space="preserve">připravit či podporovat následující opatření a kroky: </w:t>
      </w:r>
    </w:p>
    <w:p w:rsidR="0038370F" w:rsidRPr="00C41E9C" w:rsidRDefault="0038370F" w:rsidP="002C40B2">
      <w:pPr>
        <w:pStyle w:val="Odstavecseseznamem"/>
        <w:numPr>
          <w:ilvl w:val="0"/>
          <w:numId w:val="18"/>
        </w:numPr>
      </w:pPr>
      <w:r>
        <w:t>p</w:t>
      </w:r>
      <w:r w:rsidRPr="006D0E04">
        <w:t>odporovat drobné projekty vlastníků pozemků vedoucí k prokazatelnému zadržení zejména povrchové a dešťové vody v</w:t>
      </w:r>
      <w:r>
        <w:t> </w:t>
      </w:r>
      <w:r w:rsidRPr="00C41E9C">
        <w:t>krajině,</w:t>
      </w:r>
    </w:p>
    <w:p w:rsidR="0038370F" w:rsidRPr="0036415C" w:rsidRDefault="0038370F" w:rsidP="002C40B2">
      <w:pPr>
        <w:pStyle w:val="Odstavecseseznamem"/>
        <w:numPr>
          <w:ilvl w:val="0"/>
          <w:numId w:val="18"/>
        </w:numPr>
      </w:pPr>
      <w:r>
        <w:t>p</w:t>
      </w:r>
      <w:r w:rsidRPr="0036415C">
        <w:t xml:space="preserve">odporovat rozvoj místních vodovodů a propojení páteřní sítě vodovodů v Karlovarském kraji s cílem zajistit zabezpečenost zásobování obyvatelstva pitnou vodou i v případě výrazně negativních klimatických trendů. </w:t>
      </w:r>
    </w:p>
    <w:p w:rsidR="0038370F" w:rsidRPr="00607374" w:rsidRDefault="0038370F" w:rsidP="002C40B2">
      <w:pPr>
        <w:rPr>
          <w:b/>
          <w:i/>
        </w:rPr>
      </w:pPr>
      <w:r w:rsidRPr="00607374">
        <w:rPr>
          <w:b/>
          <w:i/>
        </w:rPr>
        <w:t>Příčin</w:t>
      </w:r>
      <w:r>
        <w:rPr>
          <w:b/>
          <w:i/>
        </w:rPr>
        <w:t>y</w:t>
      </w:r>
    </w:p>
    <w:p w:rsidR="0038370F" w:rsidRPr="0036415C" w:rsidRDefault="0038370F" w:rsidP="002C40B2">
      <w:r w:rsidRPr="00C41E9C">
        <w:t>Díky klimatickým změnám je třeba se připravit na extrémní vlivy počasí (povodně, extrémní sucha, střídání teplot atp.) a s tím související dlouhodobé snižování podzemních vod a sucha. V kraji je na některých tocích nedostatečná protipovodňová ochrana</w:t>
      </w:r>
      <w:r w:rsidRPr="00607374">
        <w:t xml:space="preserve">, je třeba nadlepšit průtok toků, pro některé lokality není zajištěn dostatečný rezervní zdroj vody. </w:t>
      </w:r>
    </w:p>
    <w:p w:rsidR="0038370F" w:rsidRPr="0036415C" w:rsidRDefault="0038370F" w:rsidP="002C40B2">
      <w:r w:rsidRPr="00607374">
        <w:rPr>
          <w:b/>
          <w:i/>
        </w:rPr>
        <w:t>Důsledky</w:t>
      </w:r>
    </w:p>
    <w:p w:rsidR="0038370F" w:rsidRPr="0036415C" w:rsidRDefault="0038370F" w:rsidP="002C40B2">
      <w:r w:rsidRPr="00C41E9C">
        <w:t xml:space="preserve">Riziko povodní či sucha, nezachování minimálního průtoku v toku v období sucha, nedostatek vody. </w:t>
      </w:r>
    </w:p>
    <w:p w:rsidR="0038370F" w:rsidRPr="00607374" w:rsidRDefault="0038370F" w:rsidP="002C40B2">
      <w:pPr>
        <w:rPr>
          <w:b/>
        </w:rPr>
      </w:pPr>
      <w:r w:rsidRPr="00607374">
        <w:rPr>
          <w:b/>
        </w:rPr>
        <w:t xml:space="preserve">Rekultivace a staré ekologické zátěže </w:t>
      </w:r>
    </w:p>
    <w:p w:rsidR="0038370F" w:rsidRPr="0036415C" w:rsidRDefault="0038370F" w:rsidP="002C40B2">
      <w:r w:rsidRPr="00C41E9C">
        <w:t xml:space="preserve">V Karlovarském kraji stále přetrvává potřeba rekultivace krajiny po těžební činnosti. </w:t>
      </w:r>
      <w:r w:rsidRPr="0036415C">
        <w:t xml:space="preserve">Na území Karlovarského kraje bylo do </w:t>
      </w:r>
      <w:r w:rsidRPr="0036415C">
        <w:rPr>
          <w:i/>
        </w:rPr>
        <w:t>Systému evidence kontaminovaných míst</w:t>
      </w:r>
      <w:r w:rsidRPr="0036415C">
        <w:t xml:space="preserve"> zapsáno 163 lokalit, </w:t>
      </w:r>
      <w:r w:rsidRPr="00C41E9C">
        <w:t>u kterých je třeba provést opatření.</w:t>
      </w:r>
    </w:p>
    <w:p w:rsidR="0038370F" w:rsidRPr="00607374" w:rsidRDefault="0038370F" w:rsidP="002C40B2">
      <w:pPr>
        <w:rPr>
          <w:b/>
          <w:i/>
        </w:rPr>
      </w:pPr>
      <w:r>
        <w:rPr>
          <w:b/>
          <w:i/>
        </w:rPr>
        <w:lastRenderedPageBreak/>
        <w:t>Příčiny</w:t>
      </w:r>
    </w:p>
    <w:p w:rsidR="0038370F" w:rsidRPr="0036415C" w:rsidRDefault="0038370F" w:rsidP="002C40B2">
      <w:r w:rsidRPr="00C41E9C">
        <w:t xml:space="preserve">Území jsou poznamenána těžební a průmyslovou </w:t>
      </w:r>
      <w:r w:rsidRPr="0036415C">
        <w:t>činnost</w:t>
      </w:r>
      <w:r w:rsidRPr="00C41E9C">
        <w:t>í</w:t>
      </w:r>
      <w:r w:rsidRPr="0036415C">
        <w:t xml:space="preserve"> v kraji.</w:t>
      </w:r>
    </w:p>
    <w:p w:rsidR="0038370F" w:rsidRPr="00607374" w:rsidRDefault="0038370F" w:rsidP="002C40B2">
      <w:pPr>
        <w:rPr>
          <w:b/>
          <w:i/>
        </w:rPr>
      </w:pPr>
      <w:r>
        <w:rPr>
          <w:b/>
          <w:i/>
        </w:rPr>
        <w:t>Důsledky</w:t>
      </w:r>
    </w:p>
    <w:p w:rsidR="0038370F" w:rsidRPr="00C41E9C" w:rsidRDefault="0038370F" w:rsidP="002C40B2">
      <w:r w:rsidRPr="00C41E9C">
        <w:t xml:space="preserve">Vznik lokalit s ekologickou zátěží vyžadující nápravná opatření. </w:t>
      </w:r>
      <w:r>
        <w:t>Snížení atraktivity území pro obyvatele, i z hlediska rozvoje cestovního ruchu.</w:t>
      </w:r>
    </w:p>
    <w:p w:rsidR="0038370F" w:rsidRPr="00897296" w:rsidRDefault="0038370F" w:rsidP="002C40B2">
      <w:pPr>
        <w:rPr>
          <w:b/>
        </w:rPr>
      </w:pPr>
      <w:r w:rsidRPr="00897296">
        <w:rPr>
          <w:b/>
        </w:rPr>
        <w:t xml:space="preserve">Produkce a druhotné využívání odpadu </w:t>
      </w:r>
    </w:p>
    <w:p w:rsidR="0038370F" w:rsidRPr="0036415C" w:rsidRDefault="0038370F" w:rsidP="002C40B2">
      <w:r w:rsidRPr="0036415C">
        <w:t xml:space="preserve">I přes to, že </w:t>
      </w:r>
      <w:r>
        <w:t xml:space="preserve">je krajem </w:t>
      </w:r>
      <w:r w:rsidRPr="0036415C">
        <w:t>v odpadovém hospodářství realizována řada aktivit, je třeba nakládání s odpady ještě více zefektivnit a zlepšit např. těmito kroky:</w:t>
      </w:r>
    </w:p>
    <w:p w:rsidR="0038370F" w:rsidRPr="0036415C" w:rsidRDefault="0038370F" w:rsidP="002C40B2">
      <w:pPr>
        <w:pStyle w:val="Odstavecseseznamem"/>
        <w:numPr>
          <w:ilvl w:val="0"/>
          <w:numId w:val="19"/>
        </w:numPr>
      </w:pPr>
      <w:r>
        <w:t>n</w:t>
      </w:r>
      <w:r w:rsidRPr="0036415C">
        <w:t>avýšení</w:t>
      </w:r>
      <w:r>
        <w:t>m</w:t>
      </w:r>
      <w:r w:rsidRPr="0036415C">
        <w:t xml:space="preserve"> kapacit stávajících zařízení ke zpracování vytříděných komunálních plastů, papíru </w:t>
      </w:r>
      <w:r w:rsidRPr="00696510">
        <w:t>a kompozitních obalů či výstavbou</w:t>
      </w:r>
      <w:r w:rsidRPr="0036415C">
        <w:t xml:space="preserve"> nových zařízení ke zpracování těchto odpadů</w:t>
      </w:r>
      <w:r w:rsidRPr="00696510">
        <w:t>,</w:t>
      </w:r>
    </w:p>
    <w:p w:rsidR="0038370F" w:rsidRPr="0036415C" w:rsidRDefault="0038370F" w:rsidP="002C40B2">
      <w:pPr>
        <w:pStyle w:val="Odstavecseseznamem"/>
        <w:numPr>
          <w:ilvl w:val="0"/>
          <w:numId w:val="19"/>
        </w:numPr>
      </w:pPr>
      <w:r>
        <w:t>z</w:t>
      </w:r>
      <w:r w:rsidRPr="0036415C">
        <w:t>řízení</w:t>
      </w:r>
      <w:r>
        <w:t>m</w:t>
      </w:r>
      <w:r w:rsidRPr="0036415C">
        <w:t xml:space="preserve"> nových kompostáren nebo jiných zařízení k materiálovému využití biologicky rozložitelného odpadu</w:t>
      </w:r>
      <w:r w:rsidRPr="00696510">
        <w:t>,</w:t>
      </w:r>
    </w:p>
    <w:p w:rsidR="0038370F" w:rsidRPr="0036415C" w:rsidRDefault="0038370F" w:rsidP="002C40B2">
      <w:pPr>
        <w:pStyle w:val="Odstavecseseznamem"/>
        <w:numPr>
          <w:ilvl w:val="0"/>
          <w:numId w:val="19"/>
        </w:numPr>
      </w:pPr>
      <w:r w:rsidRPr="00696510">
        <w:t>výstavbou</w:t>
      </w:r>
      <w:r w:rsidRPr="0036415C">
        <w:t xml:space="preserve"> zařízení na úpravu a energetické využití směsného komunálního odpadu nebo zařízení na přímé využití směsného komunálního odpadu</w:t>
      </w:r>
      <w:r w:rsidRPr="00696510">
        <w:t>,</w:t>
      </w:r>
    </w:p>
    <w:p w:rsidR="0038370F" w:rsidRPr="0036415C" w:rsidRDefault="0038370F" w:rsidP="002C40B2">
      <w:pPr>
        <w:pStyle w:val="Odstavecseseznamem"/>
        <w:numPr>
          <w:ilvl w:val="0"/>
          <w:numId w:val="19"/>
        </w:numPr>
      </w:pPr>
      <w:r w:rsidRPr="00696510">
        <w:t>rekonstrukcí</w:t>
      </w:r>
      <w:r w:rsidRPr="0036415C">
        <w:t xml:space="preserve"> zařízení pro spoluspalování směsného komunálního odpadu (zlepšení jejich energetické účinnosti)</w:t>
      </w:r>
      <w:r w:rsidRPr="00696510">
        <w:t>,</w:t>
      </w:r>
    </w:p>
    <w:p w:rsidR="0038370F" w:rsidRPr="0036415C" w:rsidRDefault="0038370F" w:rsidP="002C40B2">
      <w:pPr>
        <w:pStyle w:val="Odstavecseseznamem"/>
        <w:numPr>
          <w:ilvl w:val="0"/>
          <w:numId w:val="19"/>
        </w:numPr>
      </w:pPr>
      <w:r>
        <w:t>v</w:t>
      </w:r>
      <w:r w:rsidRPr="00696510">
        <w:t>ýstavbou</w:t>
      </w:r>
      <w:r w:rsidRPr="0036415C">
        <w:t xml:space="preserve"> a doplnění</w:t>
      </w:r>
      <w:r>
        <w:t>m</w:t>
      </w:r>
      <w:r w:rsidRPr="0036415C">
        <w:t xml:space="preserve"> překládacích stanic pro směsný komunální odpad př</w:t>
      </w:r>
      <w:r w:rsidRPr="00696510">
        <w:t>ed jejich energetickým využitím,</w:t>
      </w:r>
    </w:p>
    <w:p w:rsidR="0038370F" w:rsidRPr="0036415C" w:rsidRDefault="0038370F" w:rsidP="002C40B2">
      <w:pPr>
        <w:pStyle w:val="Odstavecseseznamem"/>
        <w:numPr>
          <w:ilvl w:val="0"/>
          <w:numId w:val="19"/>
        </w:numPr>
      </w:pPr>
      <w:r>
        <w:t>b</w:t>
      </w:r>
      <w:r w:rsidRPr="0036415C">
        <w:t>udování</w:t>
      </w:r>
      <w:r>
        <w:t>m</w:t>
      </w:r>
      <w:r w:rsidRPr="0036415C">
        <w:t xml:space="preserve"> a zkapacitňování</w:t>
      </w:r>
      <w:r>
        <w:t>m</w:t>
      </w:r>
      <w:r w:rsidRPr="0036415C">
        <w:t xml:space="preserve"> systémů pro sběr a svoz separovaných komunálních odpadů (papír, plasty, sklo, nápojové kartony, kovy a bioodpady včetně gastroodpadů) na území celého Karlovarského kraje</w:t>
      </w:r>
      <w:r w:rsidRPr="00696510">
        <w:t>,</w:t>
      </w:r>
    </w:p>
    <w:p w:rsidR="0038370F" w:rsidRPr="0036415C" w:rsidRDefault="0038370F" w:rsidP="002C40B2">
      <w:pPr>
        <w:pStyle w:val="Odstavecseseznamem"/>
        <w:numPr>
          <w:ilvl w:val="0"/>
          <w:numId w:val="19"/>
        </w:numPr>
      </w:pPr>
      <w:r>
        <w:t>d</w:t>
      </w:r>
      <w:r w:rsidRPr="0036415C">
        <w:t>obudování</w:t>
      </w:r>
      <w:r>
        <w:t>m</w:t>
      </w:r>
      <w:r w:rsidRPr="0036415C">
        <w:t xml:space="preserve"> nejméně 9 sběrných dvorů - v obcích nad 2 tis. obyvatel anebo ve městech, která mají méně než 1 sběrný dvůr na 10 tis. obyvatel. Podporováno by mělo být také budování sběrných dvorů či sběrných míst v menších obcích/městech. </w:t>
      </w:r>
    </w:p>
    <w:p w:rsidR="0038370F" w:rsidRPr="00696510" w:rsidRDefault="0038370F" w:rsidP="002C40B2">
      <w:pPr>
        <w:rPr>
          <w:b/>
          <w:i/>
        </w:rPr>
      </w:pPr>
      <w:r>
        <w:rPr>
          <w:b/>
          <w:i/>
        </w:rPr>
        <w:t>Příčiny</w:t>
      </w:r>
    </w:p>
    <w:p w:rsidR="0038370F" w:rsidRPr="00607374" w:rsidRDefault="0038370F" w:rsidP="002C40B2">
      <w:r w:rsidRPr="00C41E9C">
        <w:t>Velká část odpadu není druhotně zpracována z důvodu povahy odpadu nebo nedostupnosti či nedostatku kapacit zařízení na jejich zpracování. V kraji není v provozu žádná spal</w:t>
      </w:r>
      <w:r w:rsidRPr="00607374">
        <w:t>ovna ani bioplynová stanice a dle údajů uvedených v energetické koncepci kraje se ani o výstavbě tohoto zařízení do budoucna neuvažuje.</w:t>
      </w:r>
    </w:p>
    <w:p w:rsidR="0038370F" w:rsidRPr="00696510" w:rsidRDefault="0038370F" w:rsidP="002C40B2">
      <w:pPr>
        <w:rPr>
          <w:b/>
          <w:i/>
        </w:rPr>
      </w:pPr>
      <w:r>
        <w:rPr>
          <w:b/>
          <w:i/>
        </w:rPr>
        <w:t>Důsledky</w:t>
      </w:r>
    </w:p>
    <w:p w:rsidR="00C4611F" w:rsidRDefault="0038370F" w:rsidP="002C40B2">
      <w:r w:rsidRPr="00C41E9C">
        <w:t>Pokud nedochází ke skutečné recyklaci či jinému druhotnému využití odpadu a tedy k jeho přeměně z odpadu na použitelnou surovinu, nedochází k řešení podstaty problému</w:t>
      </w:r>
      <w:r w:rsidRPr="00607374">
        <w:t xml:space="preserve"> s odpady. Biologicky rozložitelné odpady jsou objemově a hmotnostně významnou skupinou odpadů, která v případě uložení na skládky ohrožuje složky životního prostředí skleníkovými plyny a škodlivými průsaky. </w:t>
      </w:r>
      <w:r w:rsidRPr="00696510">
        <w:t xml:space="preserve">Tímto způsobem pak v krajním případě </w:t>
      </w:r>
      <w:r w:rsidRPr="006144F3">
        <w:t xml:space="preserve">mohou vznikat ekologické zátěže, jejichž řešení bude v budoucnu finančně i organizačně mnohem nákladnější. Ve svém důsledku pak utrpí </w:t>
      </w:r>
      <w:r>
        <w:t xml:space="preserve">i </w:t>
      </w:r>
      <w:r w:rsidRPr="006144F3">
        <w:t>celkové image kraje.</w:t>
      </w:r>
    </w:p>
    <w:p w:rsidR="00C4611F" w:rsidRDefault="00C4611F">
      <w:pPr>
        <w:spacing w:after="160" w:line="259" w:lineRule="auto"/>
        <w:jc w:val="left"/>
      </w:pPr>
      <w:r>
        <w:br w:type="page"/>
      </w:r>
    </w:p>
    <w:p w:rsidR="0038370F" w:rsidRPr="006144F3" w:rsidRDefault="0038370F" w:rsidP="002C40B2">
      <w:pPr>
        <w:rPr>
          <w:b/>
        </w:rPr>
      </w:pPr>
      <w:r w:rsidRPr="006144F3">
        <w:rPr>
          <w:b/>
        </w:rPr>
        <w:lastRenderedPageBreak/>
        <w:t>Emise škodlivých látek do ovzduší</w:t>
      </w:r>
    </w:p>
    <w:p w:rsidR="0038370F" w:rsidRPr="00607374" w:rsidRDefault="0038370F" w:rsidP="002C40B2">
      <w:r w:rsidRPr="0036415C">
        <w:t xml:space="preserve">Pro zavedení možných opatření, kterými by bylo možné snížit znečišťování ovzduší, byly identifikovány kategorie zdrojů, </w:t>
      </w:r>
      <w:r w:rsidRPr="00C41E9C">
        <w:t>které mají stále výrazný podíl na současné kvalitě ovzduší:</w:t>
      </w:r>
    </w:p>
    <w:p w:rsidR="0038370F" w:rsidRPr="006144F3" w:rsidRDefault="0038370F" w:rsidP="002C40B2">
      <w:pPr>
        <w:pStyle w:val="Odstavecseseznamem"/>
        <w:numPr>
          <w:ilvl w:val="0"/>
          <w:numId w:val="20"/>
        </w:numPr>
      </w:pPr>
      <w:r w:rsidRPr="00607374">
        <w:t>s</w:t>
      </w:r>
      <w:r w:rsidRPr="00696510">
        <w:t>palování pevných paliv v domácích topeništích (v</w:t>
      </w:r>
      <w:r w:rsidRPr="006144F3">
        <w:t>ytápění domácností nejvýznamněji přispívá k imisnímu zatížení v chladné části roku a v období nepříznivých rozptylových podmínek),</w:t>
      </w:r>
    </w:p>
    <w:p w:rsidR="0038370F" w:rsidRPr="006144F3" w:rsidRDefault="0038370F" w:rsidP="002C40B2">
      <w:pPr>
        <w:pStyle w:val="Odstavecseseznamem"/>
        <w:numPr>
          <w:ilvl w:val="0"/>
          <w:numId w:val="20"/>
        </w:numPr>
      </w:pPr>
      <w:r w:rsidRPr="006144F3">
        <w:t>mobilní zdroje (doprava),</w:t>
      </w:r>
    </w:p>
    <w:p w:rsidR="0038370F" w:rsidRPr="00C41E9C" w:rsidRDefault="0038370F" w:rsidP="002C40B2">
      <w:pPr>
        <w:pStyle w:val="Odstavecseseznamem"/>
        <w:numPr>
          <w:ilvl w:val="0"/>
          <w:numId w:val="20"/>
        </w:numPr>
      </w:pPr>
      <w:r w:rsidRPr="00C41E9C">
        <w:t xml:space="preserve">bodové stacionární zdroje, </w:t>
      </w:r>
    </w:p>
    <w:p w:rsidR="0038370F" w:rsidRPr="00C41E9C" w:rsidRDefault="0038370F" w:rsidP="002C40B2">
      <w:pPr>
        <w:pStyle w:val="Odstavecseseznamem"/>
        <w:numPr>
          <w:ilvl w:val="0"/>
          <w:numId w:val="20"/>
        </w:numPr>
      </w:pPr>
      <w:r w:rsidRPr="00C41E9C">
        <w:t>stavební činnost, větrná eroze ze zemědělských a jiných nezpevněných pozemků (výsypky hnědouhelných dolů, nevyužívané průmyslové areály).</w:t>
      </w:r>
    </w:p>
    <w:p w:rsidR="0038370F" w:rsidRPr="006144F3" w:rsidRDefault="0038370F" w:rsidP="002C40B2">
      <w:pPr>
        <w:rPr>
          <w:b/>
          <w:i/>
        </w:rPr>
      </w:pPr>
      <w:r>
        <w:rPr>
          <w:b/>
          <w:i/>
        </w:rPr>
        <w:t>Příčiny</w:t>
      </w:r>
    </w:p>
    <w:p w:rsidR="0038370F" w:rsidRPr="0036415C" w:rsidRDefault="0038370F" w:rsidP="002C40B2">
      <w:r w:rsidRPr="0036415C">
        <w:t xml:space="preserve">Nebyla zavedena účinná opatření na </w:t>
      </w:r>
      <w:r w:rsidRPr="00C41E9C">
        <w:t>snížen</w:t>
      </w:r>
      <w:r w:rsidRPr="00607374">
        <w:t>í emisní činnosti z výše uvedených zdrojů.</w:t>
      </w:r>
    </w:p>
    <w:p w:rsidR="0038370F" w:rsidRPr="006144F3" w:rsidRDefault="0038370F" w:rsidP="002C40B2">
      <w:pPr>
        <w:rPr>
          <w:b/>
          <w:i/>
        </w:rPr>
      </w:pPr>
      <w:r>
        <w:rPr>
          <w:b/>
          <w:i/>
        </w:rPr>
        <w:t>Důsledky</w:t>
      </w:r>
    </w:p>
    <w:p w:rsidR="0038370F" w:rsidRPr="0036415C" w:rsidRDefault="0038370F" w:rsidP="002C40B2">
      <w:r w:rsidRPr="0036415C">
        <w:t xml:space="preserve">Snížená kvalita ovzduší. </w:t>
      </w:r>
    </w:p>
    <w:p w:rsidR="0038370F" w:rsidRPr="006144F3" w:rsidRDefault="0038370F" w:rsidP="002C40B2">
      <w:pPr>
        <w:rPr>
          <w:b/>
        </w:rPr>
      </w:pPr>
      <w:r w:rsidRPr="006144F3">
        <w:rPr>
          <w:b/>
        </w:rPr>
        <w:t xml:space="preserve">Nedostatečné využití potenciálu obnovitelných zdrojů v kraji pro výrobu energie </w:t>
      </w:r>
    </w:p>
    <w:p w:rsidR="0038370F" w:rsidRPr="0036415C" w:rsidRDefault="0038370F" w:rsidP="002C40B2">
      <w:r w:rsidRPr="00C41E9C">
        <w:t xml:space="preserve">Z dostupných podkladů vyplývá, že </w:t>
      </w:r>
      <w:r w:rsidRPr="00607374">
        <w:t>není naplno využit potenciál kraje</w:t>
      </w:r>
      <w:r w:rsidRPr="00696510">
        <w:t xml:space="preserve"> ve využití OZE.</w:t>
      </w:r>
    </w:p>
    <w:p w:rsidR="0038370F" w:rsidRPr="006144F3" w:rsidRDefault="0038370F" w:rsidP="002C40B2">
      <w:pPr>
        <w:rPr>
          <w:b/>
          <w:i/>
        </w:rPr>
      </w:pPr>
      <w:r>
        <w:rPr>
          <w:b/>
          <w:i/>
        </w:rPr>
        <w:t>Příčiny</w:t>
      </w:r>
    </w:p>
    <w:p w:rsidR="0038370F" w:rsidRPr="00C41E9C" w:rsidRDefault="0038370F" w:rsidP="002C40B2">
      <w:r w:rsidRPr="00C41E9C">
        <w:t xml:space="preserve">V Karlovarském kraji jsou obnovitelné zdroje využívány, ale neexistuje žádná koordinace v nasazování této techniky na úsporu paliv a energie. </w:t>
      </w:r>
    </w:p>
    <w:p w:rsidR="0038370F" w:rsidRPr="006144F3" w:rsidRDefault="0038370F" w:rsidP="002C40B2">
      <w:pPr>
        <w:rPr>
          <w:b/>
          <w:i/>
        </w:rPr>
      </w:pPr>
      <w:r w:rsidRPr="006144F3">
        <w:rPr>
          <w:b/>
          <w:i/>
        </w:rPr>
        <w:t>Důsledky</w:t>
      </w:r>
    </w:p>
    <w:p w:rsidR="0038370F" w:rsidRPr="0036415C" w:rsidRDefault="0038370F" w:rsidP="002C40B2">
      <w:r w:rsidRPr="00C41E9C">
        <w:t xml:space="preserve">Od obnovitelných zdrojů energie se očekává významný příspěvek do struktury celkové spotřeby primárních zdrojů a snížení environmentální zátěže. </w:t>
      </w:r>
      <w:r w:rsidRPr="0036415C">
        <w:t xml:space="preserve">V podmínkách kraje je reálné uvažovat </w:t>
      </w:r>
      <w:r w:rsidR="00EC6E1D">
        <w:br/>
      </w:r>
      <w:r w:rsidRPr="0036415C">
        <w:t xml:space="preserve">o využívání energie větru, vody a biomasy. První dva zdroje produkují neskladovatelnou elektřinu </w:t>
      </w:r>
      <w:r w:rsidR="00EC6E1D">
        <w:br/>
      </w:r>
      <w:r w:rsidRPr="0036415C">
        <w:t xml:space="preserve">a biomasa představuje zdroj – palivo, které je možné skladovat a využívat k výrobě elektrické energie i tepla podle aktuální potřeby. </w:t>
      </w:r>
      <w:r w:rsidRPr="00C41E9C">
        <w:t xml:space="preserve">Při plánování využívání OZE je však </w:t>
      </w:r>
      <w:r w:rsidRPr="00607374">
        <w:t>velmi důležité zabývat se správným nastavením vazeb mezi využíváním OZE, úsporami energie, plánováním velkých energetických společností, územními plány, komunálními projekty tak, aby využití OZE bylo optimální, pokud se týká poměru výkon/náklady</w:t>
      </w:r>
      <w:r w:rsidRPr="00696510">
        <w:t>.</w:t>
      </w:r>
    </w:p>
    <w:p w:rsidR="0038370F" w:rsidRPr="00D33E54" w:rsidRDefault="0038370F" w:rsidP="002C40B2">
      <w:pPr>
        <w:pStyle w:val="Nadpis3"/>
        <w:spacing w:line="276" w:lineRule="auto"/>
      </w:pPr>
      <w:r w:rsidRPr="00D33E54">
        <w:t>Literatura:</w:t>
      </w:r>
    </w:p>
    <w:p w:rsidR="002B2792" w:rsidRDefault="002B2792" w:rsidP="002C40B2">
      <w:r>
        <w:t xml:space="preserve">CENIA. </w:t>
      </w:r>
      <w:r w:rsidRPr="00351297">
        <w:rPr>
          <w:i/>
        </w:rPr>
        <w:t>Zpráva o životním prostředí v Karlovarském kraji 2014</w:t>
      </w:r>
      <w:r>
        <w:rPr>
          <w:i/>
        </w:rPr>
        <w:t xml:space="preserve"> </w:t>
      </w:r>
      <w:r w:rsidRPr="00D854CC">
        <w:rPr>
          <w:color w:val="000000"/>
        </w:rPr>
        <w:t>[online].</w:t>
      </w:r>
      <w:r>
        <w:t xml:space="preserve"> Praha, 2014. </w:t>
      </w:r>
      <w:r w:rsidRPr="00D854CC">
        <w:t>Dostupné z:</w:t>
      </w:r>
      <w:r>
        <w:t xml:space="preserve"> </w:t>
      </w:r>
      <w:hyperlink r:id="rId171" w:history="1">
        <w:r w:rsidRPr="00DC0265">
          <w:rPr>
            <w:rStyle w:val="Hypertextovodkaz"/>
          </w:rPr>
          <w:t>http://www1.cenia.cz/www/sites/default/files/Karlovarsky.pdf</w:t>
        </w:r>
      </w:hyperlink>
      <w:r>
        <w:t>.</w:t>
      </w:r>
    </w:p>
    <w:p w:rsidR="002B2792" w:rsidRDefault="002B2792" w:rsidP="002C40B2">
      <w:r>
        <w:t xml:space="preserve">ČSÚ. </w:t>
      </w:r>
      <w:r w:rsidRPr="00351297">
        <w:rPr>
          <w:i/>
        </w:rPr>
        <w:t xml:space="preserve">Produkce, využití a odstranění odpadů v ČR </w:t>
      </w:r>
      <w:r>
        <w:rPr>
          <w:i/>
        </w:rPr>
        <w:t>–</w:t>
      </w:r>
      <w:r w:rsidRPr="00351297">
        <w:rPr>
          <w:i/>
        </w:rPr>
        <w:t xml:space="preserve"> 2014</w:t>
      </w:r>
      <w:r>
        <w:t xml:space="preserve"> </w:t>
      </w:r>
      <w:r w:rsidRPr="00D854CC">
        <w:rPr>
          <w:color w:val="000000"/>
        </w:rPr>
        <w:t>[online].</w:t>
      </w:r>
      <w:r>
        <w:t xml:space="preserve"> 2015. </w:t>
      </w:r>
      <w:r w:rsidRPr="00D854CC">
        <w:t>Dostupné z:</w:t>
      </w:r>
      <w:r>
        <w:t xml:space="preserve"> </w:t>
      </w:r>
      <w:hyperlink r:id="rId172" w:history="1">
        <w:r w:rsidRPr="00DC0265">
          <w:rPr>
            <w:rStyle w:val="Hypertextovodkaz"/>
          </w:rPr>
          <w:t>https://www.czso.cz/csu/czso/produkce-vyuziti-a-odstraneni-odpadu-2014</w:t>
        </w:r>
      </w:hyperlink>
      <w:r>
        <w:t>.</w:t>
      </w:r>
    </w:p>
    <w:p w:rsidR="002B2792" w:rsidRDefault="002B2792" w:rsidP="002C40B2">
      <w:r>
        <w:t xml:space="preserve">ČSÚ. </w:t>
      </w:r>
      <w:r w:rsidRPr="00351297">
        <w:rPr>
          <w:i/>
        </w:rPr>
        <w:t>Statistické ročenky Karlovarského kraje 2010 - 2015</w:t>
      </w:r>
      <w:r w:rsidRPr="00AE46CF">
        <w:t>.</w:t>
      </w:r>
    </w:p>
    <w:p w:rsidR="002B2792" w:rsidRDefault="002B2792" w:rsidP="002C40B2">
      <w:pPr>
        <w:rPr>
          <w:szCs w:val="20"/>
        </w:rPr>
      </w:pPr>
      <w:r>
        <w:t xml:space="preserve">ČSÚ. </w:t>
      </w:r>
      <w:r w:rsidRPr="00351297">
        <w:rPr>
          <w:i/>
        </w:rPr>
        <w:t>Výdaje na ochranu životního prostředí 2010 - 2015</w:t>
      </w:r>
      <w:r>
        <w:t>.</w:t>
      </w:r>
      <w:r>
        <w:rPr>
          <w:szCs w:val="20"/>
        </w:rPr>
        <w:t xml:space="preserve"> </w:t>
      </w:r>
    </w:p>
    <w:p w:rsidR="002B2792" w:rsidRDefault="002B2792" w:rsidP="002C40B2">
      <w:pPr>
        <w:rPr>
          <w:szCs w:val="20"/>
        </w:rPr>
      </w:pPr>
      <w:r>
        <w:rPr>
          <w:szCs w:val="20"/>
        </w:rPr>
        <w:lastRenderedPageBreak/>
        <w:t xml:space="preserve">KÚKK. </w:t>
      </w:r>
      <w:r w:rsidRPr="00351297">
        <w:rPr>
          <w:i/>
          <w:szCs w:val="20"/>
        </w:rPr>
        <w:t>Územně analytické podklady Karlovarského kraje 2015</w:t>
      </w:r>
      <w:r>
        <w:rPr>
          <w:i/>
          <w:szCs w:val="20"/>
        </w:rPr>
        <w:t xml:space="preserve"> </w:t>
      </w:r>
      <w:r w:rsidRPr="00D854CC">
        <w:rPr>
          <w:color w:val="000000"/>
        </w:rPr>
        <w:t>[online].</w:t>
      </w:r>
      <w:r w:rsidRPr="00D854CC">
        <w:rPr>
          <w:i/>
        </w:rPr>
        <w:t xml:space="preserve"> </w:t>
      </w:r>
      <w:r w:rsidRPr="00D854CC">
        <w:t>201</w:t>
      </w:r>
      <w:r>
        <w:t>5</w:t>
      </w:r>
      <w:r w:rsidRPr="00D854CC">
        <w:t>. Dostupné z:</w:t>
      </w:r>
      <w:r>
        <w:t xml:space="preserve"> </w:t>
      </w:r>
      <w:hyperlink r:id="rId173" w:history="1">
        <w:r w:rsidRPr="00DC0265">
          <w:rPr>
            <w:rStyle w:val="Hypertextovodkaz"/>
            <w:szCs w:val="20"/>
          </w:rPr>
          <w:t>http://www.kr-karlovarsky.cz/region/uzem_plan/Stranky/UAP-KK/UAP_Karlovarskeho_kraje.aspx</w:t>
        </w:r>
      </w:hyperlink>
      <w:r>
        <w:rPr>
          <w:szCs w:val="20"/>
        </w:rPr>
        <w:t>.</w:t>
      </w:r>
    </w:p>
    <w:p w:rsidR="0038370F" w:rsidRDefault="002B2792" w:rsidP="00050F78">
      <w:r w:rsidRPr="00351297">
        <w:rPr>
          <w:i/>
          <w:szCs w:val="20"/>
        </w:rPr>
        <w:t>Územní energetická koncepce Karlovarského kraje</w:t>
      </w:r>
      <w:r>
        <w:rPr>
          <w:i/>
          <w:szCs w:val="20"/>
        </w:rPr>
        <w:t xml:space="preserve"> </w:t>
      </w:r>
      <w:r w:rsidRPr="00D854CC">
        <w:rPr>
          <w:color w:val="000000"/>
        </w:rPr>
        <w:t>[online].</w:t>
      </w:r>
      <w:r w:rsidRPr="00D854CC">
        <w:rPr>
          <w:i/>
        </w:rPr>
        <w:t xml:space="preserve"> </w:t>
      </w:r>
      <w:r w:rsidRPr="00D854CC">
        <w:t>201</w:t>
      </w:r>
      <w:r>
        <w:t>3</w:t>
      </w:r>
      <w:r w:rsidRPr="00D854CC">
        <w:t>. Dostupné z:</w:t>
      </w:r>
      <w:r>
        <w:rPr>
          <w:szCs w:val="20"/>
        </w:rPr>
        <w:t xml:space="preserve"> </w:t>
      </w:r>
      <w:hyperlink r:id="rId174" w:history="1">
        <w:r w:rsidRPr="00DC0265">
          <w:rPr>
            <w:rStyle w:val="Hypertextovodkaz"/>
            <w:szCs w:val="20"/>
          </w:rPr>
          <w:t>http://www.kr-karlovarsky.cz/samosprava/dokumenty/Stranky/koncepce/seznam/120113_uzemni_energeticka_koncepce.aspx</w:t>
        </w:r>
      </w:hyperlink>
      <w:r>
        <w:rPr>
          <w:szCs w:val="20"/>
        </w:rPr>
        <w:t>.</w:t>
      </w:r>
      <w:r w:rsidR="0038370F">
        <w:br w:type="page"/>
      </w:r>
    </w:p>
    <w:p w:rsidR="0001301B" w:rsidRPr="002F2B94" w:rsidRDefault="008F178E" w:rsidP="00094A5B">
      <w:pPr>
        <w:pStyle w:val="Nadpis1"/>
      </w:pPr>
      <w:bookmarkStart w:id="401" w:name="_Toc321405940"/>
      <w:r>
        <w:lastRenderedPageBreak/>
        <w:t xml:space="preserve"> </w:t>
      </w:r>
      <w:bookmarkStart w:id="402" w:name="_Toc488233402"/>
      <w:r w:rsidR="0001301B" w:rsidRPr="002F2B94">
        <w:t>Zemědělství</w:t>
      </w:r>
      <w:bookmarkEnd w:id="401"/>
      <w:r w:rsidR="0001301B" w:rsidRPr="002F2B94">
        <w:t>, lesnictví a rybolov</w:t>
      </w:r>
      <w:bookmarkEnd w:id="402"/>
    </w:p>
    <w:p w:rsidR="0001301B" w:rsidRPr="00846636" w:rsidRDefault="0001301B" w:rsidP="002C40B2">
      <w:r>
        <w:t xml:space="preserve">Cílem této kapitoly je analyzovat odvětví zemědělství, lesnictví a rybolovu v Karlovarském kraji, a to především z pohledu jeho významu pro ekonomiku regionu a pro trh práce. Hodnocení této oblasti vychází z dostupných dat ČSÚ, MŽP a ČÚZK. </w:t>
      </w:r>
    </w:p>
    <w:p w:rsidR="0001301B" w:rsidRDefault="0001301B" w:rsidP="002C40B2">
      <w:r>
        <w:t xml:space="preserve">Zemědělství nepatří v Karlovarském kraji mezi významná odvětví v porovnání s ostatními regiony ČR, což je dáno převážně geografickými podmínkami kraje. Přestože byl dle dat ČSÚ podíl zemědělství, lesnictví a rybářství na HPH v Karlovarském kraji v roce 2014 nad celorepublikovým průměrem (4,6 % proti 2,4 %), má zemědělství v kraji spíše zanedbatelný význam. </w:t>
      </w:r>
    </w:p>
    <w:p w:rsidR="0001301B" w:rsidRDefault="0001301B" w:rsidP="002C40B2">
      <w:r w:rsidRPr="009B7CDD">
        <w:t xml:space="preserve">Zemědělsky je </w:t>
      </w:r>
      <w:r>
        <w:t xml:space="preserve">Karlovarský </w:t>
      </w:r>
      <w:r w:rsidRPr="009B7CDD">
        <w:t>kraj méně využíván</w:t>
      </w:r>
      <w:r>
        <w:t xml:space="preserve"> - zemědělská půda tvoří 37,4 % území. J</w:t>
      </w:r>
      <w:r w:rsidRPr="009B7CDD">
        <w:t>ako v jediném kraji ČR tvoří většinu zemědělské půdy trvalé travní porosty (20,1 %), které jsou z pohledu zátěží životního prostředí ze zemědělství příznivější než orná půda</w:t>
      </w:r>
      <w:r>
        <w:t xml:space="preserve"> (ta tvoří 16,3 %)</w:t>
      </w:r>
      <w:r w:rsidRPr="009B7CDD">
        <w:t>.</w:t>
      </w:r>
      <w:r w:rsidRPr="00DD7B5F">
        <w:t xml:space="preserve"> </w:t>
      </w:r>
      <w:r w:rsidRPr="001071D6">
        <w:t>Karlovarský kraj má v rámci ČR druhou nejvyšší lesnatost (43,5 %)</w:t>
      </w:r>
      <w:r>
        <w:t xml:space="preserve"> </w:t>
      </w:r>
      <w:r w:rsidRPr="001071D6">
        <w:t>(</w:t>
      </w:r>
      <w:r>
        <w:t>viz graf 17.1). K</w:t>
      </w:r>
      <w:r w:rsidRPr="001071D6">
        <w:t>vůli povrchové těžbě hnědého uhlí v Sokolovské a Chebské pánvi má také vysoký podíl ostatních ploch na celkové ploš</w:t>
      </w:r>
      <w:r>
        <w:t>e území (16</w:t>
      </w:r>
      <w:r w:rsidRPr="001071D6">
        <w:t xml:space="preserve"> %)</w:t>
      </w:r>
      <w:r>
        <w:t>. (</w:t>
      </w:r>
      <w:r w:rsidRPr="00590019">
        <w:rPr>
          <w:i/>
        </w:rPr>
        <w:t>Zpráva o životním prostředí Karlovarského kraje 2014</w:t>
      </w:r>
      <w:r>
        <w:t>, s. 13)</w:t>
      </w:r>
    </w:p>
    <w:p w:rsidR="0001301B" w:rsidRDefault="0001301B" w:rsidP="000B3B9C">
      <w:pPr>
        <w:pStyle w:val="Titulek"/>
      </w:pPr>
      <w:bookmarkStart w:id="403" w:name="_Toc488234387"/>
      <w:r>
        <w:t xml:space="preserve">Graf </w:t>
      </w:r>
      <w:r w:rsidR="008965FE">
        <w:fldChar w:fldCharType="begin"/>
      </w:r>
      <w:r w:rsidR="00FD378B">
        <w:instrText xml:space="preserve"> STYLEREF 1 \s </w:instrText>
      </w:r>
      <w:r w:rsidR="008965FE">
        <w:fldChar w:fldCharType="separate"/>
      </w:r>
      <w:r w:rsidR="00CB29BD">
        <w:t>17</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r>
        <w:t>: Využití území v Karlovarském kraji (k 31. 12. 2015, v %)</w:t>
      </w:r>
      <w:bookmarkEnd w:id="403"/>
    </w:p>
    <w:p w:rsidR="00706ABE" w:rsidRDefault="00706ABE" w:rsidP="002C40B2">
      <w:pPr>
        <w:rPr>
          <w:lang w:eastAsia="en-US"/>
        </w:rPr>
      </w:pPr>
      <w:r>
        <w:rPr>
          <w:noProof/>
        </w:rPr>
        <w:drawing>
          <wp:inline distT="0" distB="0" distL="0" distR="0">
            <wp:extent cx="5657851" cy="3005138"/>
            <wp:effectExtent l="19050" t="0" r="19049" b="4762"/>
            <wp:docPr id="101" name="Graf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01301B" w:rsidRPr="00B13275" w:rsidRDefault="0001301B" w:rsidP="002C40B2">
      <w:pPr>
        <w:pStyle w:val="poznzdroj"/>
        <w:spacing w:line="276" w:lineRule="auto"/>
      </w:pPr>
      <w:r w:rsidRPr="00333667">
        <w:t xml:space="preserve">Zdroj: </w:t>
      </w:r>
      <w:r w:rsidRPr="00B13275">
        <w:t>ČÚZK - Souhrnné přehledy o půdním fondu z údajů katastru nemovitostí ČR, 2016</w:t>
      </w:r>
    </w:p>
    <w:p w:rsidR="0001301B" w:rsidRDefault="0001301B" w:rsidP="002C40B2">
      <w:r>
        <w:t xml:space="preserve">Porovnání využití půdy v krajích nabízí </w:t>
      </w:r>
      <w:r w:rsidR="004F2330">
        <w:fldChar w:fldCharType="begin"/>
      </w:r>
      <w:r w:rsidR="004F2330">
        <w:instrText xml:space="preserve"> REF _Ref465250362 \h  \* MERGEFORMAT </w:instrText>
      </w:r>
      <w:r w:rsidR="004F2330">
        <w:fldChar w:fldCharType="separate"/>
      </w:r>
      <w:r w:rsidR="00EB0944">
        <w:t>t</w:t>
      </w:r>
      <w:r w:rsidR="00CB29BD">
        <w:t xml:space="preserve">abulka </w:t>
      </w:r>
      <w:r w:rsidR="00CB29BD">
        <w:rPr>
          <w:noProof/>
        </w:rPr>
        <w:t>17</w:t>
      </w:r>
      <w:r w:rsidR="00CB29BD">
        <w:t>.1</w:t>
      </w:r>
      <w:r w:rsidR="004F2330">
        <w:fldChar w:fldCharType="end"/>
      </w:r>
      <w:r>
        <w:t xml:space="preserve">. Z dat je patrné, že v Karlovarském, Libereckém, Jihočeském kaji a v Praze je menší než 50% podíl zemědělské půdy, přičemž v KK je podíl nejmenší </w:t>
      </w:r>
      <w:r>
        <w:br/>
        <w:t xml:space="preserve">(37,4 %). Ze zemědělské půdy je pak rovněž v KK, následovaným Libereckým krajem, nejnižší podíl orné půdy. Naopak největší podíl zemědělské půdy nalezneme na Vysočině, v Středočeském a Pardubickém kraji. </w:t>
      </w:r>
    </w:p>
    <w:p w:rsidR="0001301B" w:rsidRDefault="0001301B" w:rsidP="002C40B2">
      <w:r>
        <w:rPr>
          <w:rFonts w:eastAsia="TT77Do00"/>
        </w:rPr>
        <w:t xml:space="preserve">S výše uvedeným koresponduje počet podniků, které v Karlovarském kraji působí. V roce 2014 zde působilo nejméně zemědělských podniků v rámci ČR (687, tj. 1,4 %), </w:t>
      </w:r>
      <w:r>
        <w:t>přičemž více byly zastoupeny právnické osoby, v</w:t>
      </w:r>
      <w:r>
        <w:rPr>
          <w:rFonts w:eastAsia="TT77Do00"/>
        </w:rPr>
        <w:t xml:space="preserve">ětšina z nich hospodaří na rozloze </w:t>
      </w:r>
      <w:r w:rsidRPr="00B13275">
        <w:rPr>
          <w:rFonts w:eastAsia="TT77Do00"/>
        </w:rPr>
        <w:t>10</w:t>
      </w:r>
      <w:r>
        <w:rPr>
          <w:rFonts w:eastAsia="TT77Do00"/>
        </w:rPr>
        <w:t xml:space="preserve"> </w:t>
      </w:r>
      <w:r w:rsidRPr="00B13275">
        <w:rPr>
          <w:rFonts w:eastAsia="TT77Do00"/>
        </w:rPr>
        <w:t>–</w:t>
      </w:r>
      <w:r>
        <w:rPr>
          <w:rFonts w:eastAsia="TT77Do00"/>
        </w:rPr>
        <w:t xml:space="preserve"> </w:t>
      </w:r>
      <w:r w:rsidRPr="00B13275">
        <w:rPr>
          <w:rFonts w:eastAsia="TT77Do00"/>
        </w:rPr>
        <w:t>49,99</w:t>
      </w:r>
      <w:r w:rsidRPr="00B13275" w:rsidDel="00B13275">
        <w:rPr>
          <w:rFonts w:eastAsia="TT77Do00"/>
        </w:rPr>
        <w:t xml:space="preserve"> </w:t>
      </w:r>
      <w:r>
        <w:rPr>
          <w:rFonts w:eastAsia="TT77Do00"/>
        </w:rPr>
        <w:t xml:space="preserve">ha a má v rámci kraje sídlo v ORP </w:t>
      </w:r>
      <w:r>
        <w:rPr>
          <w:rFonts w:eastAsia="TT77Do00"/>
        </w:rPr>
        <w:lastRenderedPageBreak/>
        <w:t>Cheb.</w:t>
      </w:r>
      <w:r w:rsidDel="002F2CA5">
        <w:t xml:space="preserve"> </w:t>
      </w:r>
      <w:r>
        <w:t xml:space="preserve">Na celostátní výměře obhospodařované půdy se zemědělské podniky </w:t>
      </w:r>
      <w:r w:rsidR="00DD0B52">
        <w:t>KK</w:t>
      </w:r>
      <w:r>
        <w:t xml:space="preserve"> podílely ze 2,3 % a na výměře orné půdy pouze z 0,6 % (</w:t>
      </w:r>
      <w:r w:rsidRPr="00685778">
        <w:rPr>
          <w:i/>
        </w:rPr>
        <w:t xml:space="preserve">ČSÚ - </w:t>
      </w:r>
      <w:r w:rsidRPr="00930C35">
        <w:t>Vybrané ukazatele podle krajů v roce 2014</w:t>
      </w:r>
      <w:r>
        <w:t xml:space="preserve">). </w:t>
      </w:r>
    </w:p>
    <w:p w:rsidR="0001301B" w:rsidRDefault="0001301B" w:rsidP="000B3B9C">
      <w:pPr>
        <w:pStyle w:val="Titulek"/>
      </w:pPr>
      <w:bookmarkStart w:id="404" w:name="_Ref465250362"/>
      <w:bookmarkStart w:id="405" w:name="_Toc488233515"/>
      <w:r>
        <w:t xml:space="preserve">Tabulka </w:t>
      </w:r>
      <w:r w:rsidR="008965FE">
        <w:fldChar w:fldCharType="begin"/>
      </w:r>
      <w:r w:rsidR="00B33DFE">
        <w:instrText xml:space="preserve"> STYLEREF 1 \s </w:instrText>
      </w:r>
      <w:r w:rsidR="008965FE">
        <w:fldChar w:fldCharType="separate"/>
      </w:r>
      <w:r w:rsidR="00CB29BD">
        <w:t>17</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404"/>
      <w:r>
        <w:t>: Přehled využití půdy v krajích ČR v roce 2014</w:t>
      </w:r>
      <w:bookmarkEnd w:id="405"/>
      <w:r>
        <w:t xml:space="preserve"> </w:t>
      </w:r>
    </w:p>
    <w:tbl>
      <w:tblPr>
        <w:tblW w:w="5000" w:type="pct"/>
        <w:tblCellMar>
          <w:left w:w="70" w:type="dxa"/>
          <w:right w:w="70" w:type="dxa"/>
        </w:tblCellMar>
        <w:tblLook w:val="04A0" w:firstRow="1" w:lastRow="0" w:firstColumn="1" w:lastColumn="0" w:noHBand="0" w:noVBand="1"/>
      </w:tblPr>
      <w:tblGrid>
        <w:gridCol w:w="1640"/>
        <w:gridCol w:w="1231"/>
        <w:gridCol w:w="1778"/>
        <w:gridCol w:w="1503"/>
        <w:gridCol w:w="1778"/>
        <w:gridCol w:w="1282"/>
      </w:tblGrid>
      <w:tr w:rsidR="0001301B" w:rsidRPr="00DA4247" w:rsidTr="00DD0B52">
        <w:trPr>
          <w:trHeight w:val="255"/>
        </w:trPr>
        <w:tc>
          <w:tcPr>
            <w:tcW w:w="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24D" w:rsidRDefault="00930C35">
            <w:pPr>
              <w:spacing w:after="0"/>
              <w:jc w:val="left"/>
              <w:rPr>
                <w:rFonts w:asciiTheme="minorHAnsi" w:hAnsiTheme="minorHAnsi" w:cs="Arial"/>
                <w:b/>
                <w:bCs/>
                <w:sz w:val="20"/>
                <w:szCs w:val="20"/>
              </w:rPr>
            </w:pPr>
            <w:r w:rsidRPr="00DA4247">
              <w:rPr>
                <w:rFonts w:asciiTheme="minorHAnsi" w:hAnsiTheme="minorHAnsi" w:cs="Arial"/>
                <w:b/>
                <w:bCs/>
                <w:sz w:val="20"/>
                <w:szCs w:val="20"/>
              </w:rPr>
              <w:t>ČR, k</w:t>
            </w:r>
            <w:r w:rsidR="0001301B" w:rsidRPr="00DA4247">
              <w:rPr>
                <w:rFonts w:asciiTheme="minorHAnsi" w:hAnsiTheme="minorHAnsi" w:cs="Arial"/>
                <w:b/>
                <w:bCs/>
                <w:sz w:val="20"/>
                <w:szCs w:val="20"/>
              </w:rPr>
              <w:t>raj</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01B" w:rsidRPr="00DA4247" w:rsidRDefault="0001301B" w:rsidP="00050F78">
            <w:pPr>
              <w:spacing w:after="0"/>
              <w:jc w:val="center"/>
              <w:rPr>
                <w:rFonts w:asciiTheme="minorHAnsi" w:hAnsiTheme="minorHAnsi" w:cs="Arial"/>
                <w:b/>
                <w:bCs/>
                <w:sz w:val="20"/>
                <w:szCs w:val="20"/>
              </w:rPr>
            </w:pPr>
            <w:r w:rsidRPr="00DA4247">
              <w:rPr>
                <w:rFonts w:asciiTheme="minorHAnsi" w:hAnsiTheme="minorHAnsi" w:cs="Arial"/>
                <w:b/>
                <w:bCs/>
                <w:sz w:val="20"/>
                <w:szCs w:val="20"/>
              </w:rPr>
              <w:t>Rozloha celkem v km2</w:t>
            </w:r>
          </w:p>
        </w:tc>
        <w:tc>
          <w:tcPr>
            <w:tcW w:w="3442" w:type="pct"/>
            <w:gridSpan w:val="4"/>
            <w:tcBorders>
              <w:top w:val="single" w:sz="4" w:space="0" w:color="auto"/>
              <w:left w:val="nil"/>
              <w:bottom w:val="single" w:sz="4" w:space="0" w:color="auto"/>
              <w:right w:val="single" w:sz="4" w:space="0" w:color="auto"/>
            </w:tcBorders>
            <w:shd w:val="clear" w:color="auto" w:fill="auto"/>
            <w:vAlign w:val="center"/>
            <w:hideMark/>
          </w:tcPr>
          <w:p w:rsidR="0001301B" w:rsidRPr="00DA4247" w:rsidRDefault="0001301B" w:rsidP="00050F78">
            <w:pPr>
              <w:spacing w:after="0"/>
              <w:jc w:val="center"/>
              <w:rPr>
                <w:rFonts w:asciiTheme="minorHAnsi" w:hAnsiTheme="minorHAnsi" w:cs="Arial"/>
                <w:b/>
                <w:bCs/>
                <w:sz w:val="20"/>
                <w:szCs w:val="20"/>
              </w:rPr>
            </w:pPr>
            <w:r w:rsidRPr="00DA4247">
              <w:rPr>
                <w:rFonts w:asciiTheme="minorHAnsi" w:hAnsiTheme="minorHAnsi" w:cs="Arial"/>
                <w:b/>
                <w:bCs/>
                <w:sz w:val="20"/>
                <w:szCs w:val="20"/>
              </w:rPr>
              <w:t>Podíl vybraných druhů pozemků (v %)</w:t>
            </w:r>
          </w:p>
        </w:tc>
      </w:tr>
      <w:tr w:rsidR="0001301B" w:rsidRPr="00DA4247" w:rsidTr="00DD0B52">
        <w:trPr>
          <w:trHeight w:val="252"/>
        </w:trPr>
        <w:tc>
          <w:tcPr>
            <w:tcW w:w="890" w:type="pct"/>
            <w:vMerge/>
            <w:tcBorders>
              <w:top w:val="single" w:sz="4" w:space="0" w:color="auto"/>
              <w:left w:val="single" w:sz="4" w:space="0" w:color="auto"/>
              <w:bottom w:val="single" w:sz="4" w:space="0" w:color="auto"/>
              <w:right w:val="single" w:sz="4" w:space="0" w:color="auto"/>
            </w:tcBorders>
            <w:vAlign w:val="center"/>
            <w:hideMark/>
          </w:tcPr>
          <w:p w:rsidR="0001301B" w:rsidRPr="00DA4247" w:rsidRDefault="0001301B" w:rsidP="00050F78">
            <w:pPr>
              <w:spacing w:after="0"/>
              <w:jc w:val="center"/>
              <w:rPr>
                <w:rFonts w:asciiTheme="minorHAnsi" w:hAnsiTheme="minorHAnsi" w:cs="Arial"/>
                <w:b/>
                <w:bCs/>
                <w:sz w:val="20"/>
                <w:szCs w:val="2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01301B" w:rsidRPr="00DA4247" w:rsidRDefault="0001301B" w:rsidP="00050F78">
            <w:pPr>
              <w:spacing w:after="0"/>
              <w:jc w:val="center"/>
              <w:rPr>
                <w:rFonts w:asciiTheme="minorHAnsi" w:hAnsiTheme="minorHAnsi" w:cs="Arial"/>
                <w:b/>
                <w:bCs/>
                <w:sz w:val="20"/>
                <w:szCs w:val="20"/>
              </w:rPr>
            </w:pPr>
          </w:p>
        </w:tc>
        <w:tc>
          <w:tcPr>
            <w:tcW w:w="965" w:type="pct"/>
            <w:tcBorders>
              <w:top w:val="nil"/>
              <w:left w:val="nil"/>
              <w:bottom w:val="single" w:sz="4" w:space="0" w:color="auto"/>
              <w:right w:val="single" w:sz="4" w:space="0" w:color="auto"/>
            </w:tcBorders>
            <w:shd w:val="clear" w:color="auto" w:fill="auto"/>
            <w:vAlign w:val="center"/>
            <w:hideMark/>
          </w:tcPr>
          <w:p w:rsidR="0001301B" w:rsidRPr="00DA4247" w:rsidRDefault="0001301B" w:rsidP="00050F78">
            <w:pPr>
              <w:spacing w:after="0"/>
              <w:jc w:val="center"/>
              <w:rPr>
                <w:rFonts w:asciiTheme="minorHAnsi" w:hAnsiTheme="minorHAnsi" w:cs="Arial"/>
                <w:b/>
                <w:bCs/>
                <w:sz w:val="20"/>
                <w:szCs w:val="20"/>
              </w:rPr>
            </w:pPr>
            <w:r w:rsidRPr="00DA4247">
              <w:rPr>
                <w:rFonts w:asciiTheme="minorHAnsi" w:hAnsiTheme="minorHAnsi" w:cs="Arial"/>
                <w:b/>
                <w:bCs/>
                <w:sz w:val="20"/>
                <w:szCs w:val="20"/>
              </w:rPr>
              <w:t>zemědělská půda</w:t>
            </w:r>
          </w:p>
        </w:tc>
        <w:tc>
          <w:tcPr>
            <w:tcW w:w="816" w:type="pct"/>
            <w:tcBorders>
              <w:top w:val="nil"/>
              <w:left w:val="nil"/>
              <w:bottom w:val="single" w:sz="4" w:space="0" w:color="auto"/>
              <w:right w:val="single" w:sz="4" w:space="0" w:color="auto"/>
            </w:tcBorders>
            <w:shd w:val="clear" w:color="auto" w:fill="auto"/>
            <w:vAlign w:val="center"/>
            <w:hideMark/>
          </w:tcPr>
          <w:p w:rsidR="0001301B" w:rsidRPr="00DA4247" w:rsidRDefault="0001301B" w:rsidP="00050F78">
            <w:pPr>
              <w:spacing w:after="0"/>
              <w:jc w:val="center"/>
              <w:rPr>
                <w:rFonts w:asciiTheme="minorHAnsi" w:hAnsiTheme="minorHAnsi" w:cs="Arial"/>
                <w:b/>
                <w:bCs/>
                <w:sz w:val="20"/>
                <w:szCs w:val="20"/>
              </w:rPr>
            </w:pPr>
            <w:r w:rsidRPr="00DA4247">
              <w:rPr>
                <w:rFonts w:asciiTheme="minorHAnsi" w:hAnsiTheme="minorHAnsi" w:cs="Arial"/>
                <w:b/>
                <w:bCs/>
                <w:sz w:val="20"/>
                <w:szCs w:val="20"/>
              </w:rPr>
              <w:t>orná půda</w:t>
            </w:r>
          </w:p>
        </w:tc>
        <w:tc>
          <w:tcPr>
            <w:tcW w:w="965" w:type="pct"/>
            <w:tcBorders>
              <w:top w:val="nil"/>
              <w:left w:val="nil"/>
              <w:bottom w:val="single" w:sz="4" w:space="0" w:color="auto"/>
              <w:right w:val="single" w:sz="4" w:space="0" w:color="auto"/>
            </w:tcBorders>
            <w:shd w:val="clear" w:color="auto" w:fill="auto"/>
            <w:vAlign w:val="center"/>
            <w:hideMark/>
          </w:tcPr>
          <w:p w:rsidR="0001301B" w:rsidRPr="00DA4247" w:rsidRDefault="0001301B" w:rsidP="00050F78">
            <w:pPr>
              <w:spacing w:after="0"/>
              <w:jc w:val="center"/>
              <w:rPr>
                <w:rFonts w:asciiTheme="minorHAnsi" w:hAnsiTheme="minorHAnsi" w:cs="Arial"/>
                <w:b/>
                <w:bCs/>
                <w:sz w:val="20"/>
                <w:szCs w:val="20"/>
              </w:rPr>
            </w:pPr>
            <w:r w:rsidRPr="00DA4247">
              <w:rPr>
                <w:rFonts w:asciiTheme="minorHAnsi" w:hAnsiTheme="minorHAnsi" w:cs="Arial"/>
                <w:b/>
                <w:bCs/>
                <w:sz w:val="20"/>
                <w:szCs w:val="20"/>
              </w:rPr>
              <w:t>nezemědělská půda</w:t>
            </w:r>
          </w:p>
        </w:tc>
        <w:tc>
          <w:tcPr>
            <w:tcW w:w="697" w:type="pct"/>
            <w:tcBorders>
              <w:top w:val="nil"/>
              <w:left w:val="nil"/>
              <w:bottom w:val="single" w:sz="4" w:space="0" w:color="auto"/>
              <w:right w:val="single" w:sz="4" w:space="0" w:color="auto"/>
            </w:tcBorders>
            <w:shd w:val="clear" w:color="auto" w:fill="auto"/>
            <w:vAlign w:val="center"/>
            <w:hideMark/>
          </w:tcPr>
          <w:p w:rsidR="0001301B" w:rsidRPr="00DA4247" w:rsidRDefault="0001301B" w:rsidP="00050F78">
            <w:pPr>
              <w:spacing w:after="0"/>
              <w:jc w:val="center"/>
              <w:rPr>
                <w:rFonts w:asciiTheme="minorHAnsi" w:hAnsiTheme="minorHAnsi" w:cs="Arial"/>
                <w:b/>
                <w:bCs/>
                <w:sz w:val="20"/>
                <w:szCs w:val="20"/>
              </w:rPr>
            </w:pPr>
            <w:r w:rsidRPr="00DA4247">
              <w:rPr>
                <w:rFonts w:asciiTheme="minorHAnsi" w:hAnsiTheme="minorHAnsi" w:cs="Arial"/>
                <w:b/>
                <w:bCs/>
                <w:sz w:val="20"/>
                <w:szCs w:val="20"/>
              </w:rPr>
              <w:t>lesní pozemky</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Hl. m. Praha</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496</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40,1</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72,6</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59,9</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17,4</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Středočeský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11 016</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60,0</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82,8</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40,0</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69,6</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noWrap/>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Jihočeský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10 057</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48,7</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63,3</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51,3</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73,4</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Plzeňský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7 561</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50,0</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67,4</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50,0</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79,5</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b/>
                <w:bCs/>
                <w:sz w:val="20"/>
                <w:szCs w:val="20"/>
              </w:rPr>
            </w:pPr>
            <w:r w:rsidRPr="00DA4247">
              <w:rPr>
                <w:rFonts w:asciiTheme="minorHAnsi" w:hAnsiTheme="minorHAnsi" w:cs="Arial"/>
                <w:b/>
                <w:bCs/>
                <w:sz w:val="20"/>
                <w:szCs w:val="20"/>
              </w:rPr>
              <w:t>Karlovarský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bCs/>
                <w:sz w:val="20"/>
                <w:szCs w:val="20"/>
              </w:rPr>
            </w:pPr>
            <w:r w:rsidRPr="00DA4247">
              <w:rPr>
                <w:rFonts w:asciiTheme="minorHAnsi" w:hAnsiTheme="minorHAnsi" w:cs="Arial"/>
                <w:b/>
                <w:bCs/>
                <w:sz w:val="20"/>
                <w:szCs w:val="20"/>
              </w:rPr>
              <w:t>3 314</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bCs/>
                <w:sz w:val="20"/>
                <w:szCs w:val="20"/>
              </w:rPr>
            </w:pPr>
            <w:r w:rsidRPr="00DA4247">
              <w:rPr>
                <w:rFonts w:asciiTheme="minorHAnsi" w:hAnsiTheme="minorHAnsi" w:cs="Arial"/>
                <w:b/>
                <w:bCs/>
                <w:sz w:val="20"/>
                <w:szCs w:val="20"/>
              </w:rPr>
              <w:t>37,4</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bCs/>
                <w:sz w:val="20"/>
                <w:szCs w:val="20"/>
              </w:rPr>
            </w:pPr>
            <w:r w:rsidRPr="00DA4247">
              <w:rPr>
                <w:rFonts w:asciiTheme="minorHAnsi" w:hAnsiTheme="minorHAnsi" w:cs="Arial"/>
                <w:b/>
                <w:bCs/>
                <w:sz w:val="20"/>
                <w:szCs w:val="20"/>
              </w:rPr>
              <w:t>43,4</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bCs/>
                <w:sz w:val="20"/>
                <w:szCs w:val="20"/>
              </w:rPr>
            </w:pPr>
            <w:r w:rsidRPr="00DA4247">
              <w:rPr>
                <w:rFonts w:asciiTheme="minorHAnsi" w:hAnsiTheme="minorHAnsi" w:cs="Arial"/>
                <w:b/>
                <w:bCs/>
                <w:sz w:val="20"/>
                <w:szCs w:val="20"/>
              </w:rPr>
              <w:t>62,6</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bCs/>
                <w:sz w:val="20"/>
                <w:szCs w:val="20"/>
              </w:rPr>
            </w:pPr>
            <w:r w:rsidRPr="00DA4247">
              <w:rPr>
                <w:rFonts w:asciiTheme="minorHAnsi" w:hAnsiTheme="minorHAnsi" w:cs="Arial"/>
                <w:b/>
                <w:bCs/>
                <w:sz w:val="20"/>
                <w:szCs w:val="20"/>
              </w:rPr>
              <w:t>69,5</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Ústecký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5 335</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51,6</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65,8</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48,4</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62,9</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noWrap/>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Liberecký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3 163</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44,2</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46,3</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55,8</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79,8</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Královéhradecký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4 759</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58,3</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68,7</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41,7</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74,5</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Pardubický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4 519</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59,9</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72,5</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40,1</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74,2</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noWrap/>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Vysočina</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6 796</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60,2</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77,2</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39,8</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76,6</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Jihomoravský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7 195</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59,1</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82,8</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40,9</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68,6</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Olomoucký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5 267</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52,9</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73,9</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47,1</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74,6</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Zlínský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3 963</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48,7</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63,0</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51,3</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77,6</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sz w:val="20"/>
                <w:szCs w:val="20"/>
              </w:rPr>
            </w:pPr>
            <w:r w:rsidRPr="00DA4247">
              <w:rPr>
                <w:rFonts w:asciiTheme="minorHAnsi" w:hAnsiTheme="minorHAnsi" w:cs="Arial"/>
                <w:sz w:val="20"/>
                <w:szCs w:val="20"/>
              </w:rPr>
              <w:t>Moravskoslezský</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5 427</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50,5</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62,0</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49,5</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sz w:val="20"/>
                <w:szCs w:val="20"/>
              </w:rPr>
            </w:pPr>
            <w:r w:rsidRPr="00DA4247">
              <w:rPr>
                <w:rFonts w:asciiTheme="minorHAnsi" w:hAnsiTheme="minorHAnsi" w:cs="Arial"/>
                <w:sz w:val="20"/>
                <w:szCs w:val="20"/>
              </w:rPr>
              <w:t>72,2</w:t>
            </w:r>
          </w:p>
        </w:tc>
      </w:tr>
      <w:tr w:rsidR="0001301B" w:rsidRPr="00DA4247" w:rsidTr="00DD0B52">
        <w:trPr>
          <w:trHeight w:val="255"/>
        </w:trPr>
        <w:tc>
          <w:tcPr>
            <w:tcW w:w="890" w:type="pct"/>
            <w:tcBorders>
              <w:top w:val="nil"/>
              <w:left w:val="single" w:sz="4" w:space="0" w:color="auto"/>
              <w:bottom w:val="single" w:sz="4" w:space="0" w:color="auto"/>
              <w:right w:val="single" w:sz="4" w:space="0" w:color="auto"/>
            </w:tcBorders>
            <w:shd w:val="clear" w:color="auto" w:fill="auto"/>
            <w:vAlign w:val="center"/>
            <w:hideMark/>
          </w:tcPr>
          <w:p w:rsidR="0001301B" w:rsidRPr="00DA4247" w:rsidRDefault="0001301B" w:rsidP="002C40B2">
            <w:pPr>
              <w:spacing w:after="0"/>
              <w:rPr>
                <w:rFonts w:asciiTheme="minorHAnsi" w:hAnsiTheme="minorHAnsi" w:cs="Arial"/>
                <w:b/>
                <w:sz w:val="20"/>
                <w:szCs w:val="20"/>
              </w:rPr>
            </w:pPr>
            <w:r w:rsidRPr="00DA4247">
              <w:rPr>
                <w:rFonts w:asciiTheme="minorHAnsi" w:hAnsiTheme="minorHAnsi" w:cs="Arial"/>
                <w:b/>
                <w:sz w:val="20"/>
                <w:szCs w:val="20"/>
              </w:rPr>
              <w:t>ČR</w:t>
            </w:r>
          </w:p>
        </w:tc>
        <w:tc>
          <w:tcPr>
            <w:tcW w:w="668"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sz w:val="20"/>
                <w:szCs w:val="20"/>
              </w:rPr>
            </w:pPr>
            <w:r w:rsidRPr="00DA4247">
              <w:rPr>
                <w:rFonts w:asciiTheme="minorHAnsi" w:hAnsiTheme="minorHAnsi" w:cs="Arial"/>
                <w:b/>
                <w:sz w:val="20"/>
                <w:szCs w:val="20"/>
              </w:rPr>
              <w:t>78 868</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sz w:val="20"/>
                <w:szCs w:val="20"/>
              </w:rPr>
            </w:pPr>
            <w:r w:rsidRPr="00DA4247">
              <w:rPr>
                <w:rFonts w:asciiTheme="minorHAnsi" w:hAnsiTheme="minorHAnsi" w:cs="Arial"/>
                <w:b/>
                <w:sz w:val="20"/>
                <w:szCs w:val="20"/>
              </w:rPr>
              <w:t>53,5</w:t>
            </w:r>
          </w:p>
        </w:tc>
        <w:tc>
          <w:tcPr>
            <w:tcW w:w="816"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sz w:val="20"/>
                <w:szCs w:val="20"/>
              </w:rPr>
            </w:pPr>
            <w:r w:rsidRPr="00DA4247">
              <w:rPr>
                <w:rFonts w:asciiTheme="minorHAnsi" w:hAnsiTheme="minorHAnsi" w:cs="Arial"/>
                <w:b/>
                <w:sz w:val="20"/>
                <w:szCs w:val="20"/>
              </w:rPr>
              <w:t>70,7</w:t>
            </w:r>
          </w:p>
        </w:tc>
        <w:tc>
          <w:tcPr>
            <w:tcW w:w="965"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sz w:val="20"/>
                <w:szCs w:val="20"/>
              </w:rPr>
            </w:pPr>
            <w:r w:rsidRPr="00DA4247">
              <w:rPr>
                <w:rFonts w:asciiTheme="minorHAnsi" w:hAnsiTheme="minorHAnsi" w:cs="Arial"/>
                <w:b/>
                <w:sz w:val="20"/>
                <w:szCs w:val="20"/>
              </w:rPr>
              <w:t>46,5</w:t>
            </w:r>
          </w:p>
        </w:tc>
        <w:tc>
          <w:tcPr>
            <w:tcW w:w="697" w:type="pct"/>
            <w:tcBorders>
              <w:top w:val="nil"/>
              <w:left w:val="nil"/>
              <w:bottom w:val="single" w:sz="4" w:space="0" w:color="auto"/>
              <w:right w:val="single" w:sz="4" w:space="0" w:color="auto"/>
            </w:tcBorders>
            <w:shd w:val="clear" w:color="auto" w:fill="auto"/>
            <w:noWrap/>
            <w:vAlign w:val="bottom"/>
            <w:hideMark/>
          </w:tcPr>
          <w:p w:rsidR="0001301B" w:rsidRPr="00DA4247" w:rsidRDefault="0001301B" w:rsidP="002C40B2">
            <w:pPr>
              <w:spacing w:after="0"/>
              <w:jc w:val="center"/>
              <w:rPr>
                <w:rFonts w:asciiTheme="minorHAnsi" w:hAnsiTheme="minorHAnsi" w:cs="Arial"/>
                <w:b/>
                <w:sz w:val="20"/>
                <w:szCs w:val="20"/>
              </w:rPr>
            </w:pPr>
            <w:r w:rsidRPr="00DA4247">
              <w:rPr>
                <w:rFonts w:asciiTheme="minorHAnsi" w:hAnsiTheme="minorHAnsi" w:cs="Arial"/>
                <w:b/>
                <w:sz w:val="20"/>
                <w:szCs w:val="20"/>
              </w:rPr>
              <w:t>72,6</w:t>
            </w:r>
          </w:p>
        </w:tc>
      </w:tr>
    </w:tbl>
    <w:p w:rsidR="0001301B" w:rsidRPr="00DD0B52" w:rsidRDefault="002F684C" w:rsidP="002C40B2">
      <w:pPr>
        <w:pStyle w:val="Zdrojdat"/>
        <w:spacing w:before="120" w:line="276" w:lineRule="auto"/>
        <w:rPr>
          <w:sz w:val="20"/>
          <w:szCs w:val="20"/>
        </w:rPr>
      </w:pPr>
      <w:r w:rsidRPr="002F684C">
        <w:rPr>
          <w:sz w:val="20"/>
          <w:szCs w:val="20"/>
        </w:rPr>
        <w:t>Zdroj: ČSÚ - Vybrané ukazatele podle krajů v roce 2014</w:t>
      </w:r>
    </w:p>
    <w:p w:rsidR="0001301B" w:rsidRDefault="0001301B" w:rsidP="002C40B2">
      <w:bookmarkStart w:id="406" w:name="_Ref318718016"/>
      <w:r>
        <w:t xml:space="preserve">Dále porovnáváme </w:t>
      </w:r>
      <w:r w:rsidR="005A2495">
        <w:t>KK</w:t>
      </w:r>
      <w:r>
        <w:t xml:space="preserve"> pouze se čtyřmi kraji - s krajem Libereckým, Pardubickým, </w:t>
      </w:r>
      <w:r>
        <w:br/>
        <w:t xml:space="preserve">s Vysočinou a krajem Zlínským, které jsou Karlovarskému kraji velikostně nejbližší, a s průměrem ČR. </w:t>
      </w:r>
    </w:p>
    <w:p w:rsidR="0001301B" w:rsidRDefault="0001301B" w:rsidP="002C40B2">
      <w:r>
        <w:rPr>
          <w:rFonts w:eastAsia="TT77Do00"/>
        </w:rPr>
        <w:t>Ve všech sledovaných krajích obhospodařují největší část zemědělské půdy právnické osoby. V </w:t>
      </w:r>
      <w:r w:rsidR="005A2495">
        <w:rPr>
          <w:rFonts w:eastAsia="TT77Do00"/>
        </w:rPr>
        <w:t>KK</w:t>
      </w:r>
      <w:r>
        <w:rPr>
          <w:rFonts w:eastAsia="TT77Do00"/>
        </w:rPr>
        <w:t xml:space="preserve"> tvoří právnické osoby cca 60% podíl. Zatímco v rámci ČR jsou to převážně družstva a akciové společnosti, v Karlovarském kraji mají nejvyšší podíl společnosti s ručením omezeným (77,7 %). Podobný poměr zastoupení právních forem má i Liberecký kraj (</w:t>
      </w:r>
      <w:r w:rsidR="004F2330">
        <w:fldChar w:fldCharType="begin"/>
      </w:r>
      <w:r w:rsidR="004F2330">
        <w:instrText xml:space="preserve"> REF _Ref319319660 \h  \* MERGEFORMAT </w:instrText>
      </w:r>
      <w:r w:rsidR="004F2330">
        <w:fldChar w:fldCharType="separate"/>
      </w:r>
      <w:r w:rsidR="00EB0944">
        <w:t>t</w:t>
      </w:r>
      <w:r w:rsidR="00CB29BD">
        <w:t xml:space="preserve">abulka </w:t>
      </w:r>
      <w:r w:rsidR="00CB29BD">
        <w:rPr>
          <w:noProof/>
        </w:rPr>
        <w:t>17</w:t>
      </w:r>
      <w:r w:rsidR="00CB29BD">
        <w:t>.2</w:t>
      </w:r>
      <w:r w:rsidR="004F2330">
        <w:fldChar w:fldCharType="end"/>
      </w:r>
      <w:r>
        <w:rPr>
          <w:rFonts w:eastAsia="TT77Do00"/>
        </w:rPr>
        <w:t xml:space="preserve">). </w:t>
      </w:r>
    </w:p>
    <w:p w:rsidR="0001301B" w:rsidRDefault="0001301B" w:rsidP="000B3B9C">
      <w:pPr>
        <w:pStyle w:val="Titulek"/>
      </w:pPr>
      <w:bookmarkStart w:id="407" w:name="_Ref319319660"/>
      <w:bookmarkStart w:id="408" w:name="_Toc488233516"/>
      <w:bookmarkStart w:id="409" w:name="_Toc321406073"/>
      <w:r>
        <w:t xml:space="preserve">Tabulka </w:t>
      </w:r>
      <w:r w:rsidR="008965FE">
        <w:fldChar w:fldCharType="begin"/>
      </w:r>
      <w:r w:rsidR="00B33DFE">
        <w:instrText xml:space="preserve"> STYLEREF 1 \s </w:instrText>
      </w:r>
      <w:r w:rsidR="008965FE">
        <w:fldChar w:fldCharType="separate"/>
      </w:r>
      <w:r w:rsidR="00CB29BD">
        <w:t>17</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406"/>
      <w:bookmarkEnd w:id="407"/>
      <w:r>
        <w:t xml:space="preserve">: </w:t>
      </w:r>
      <w:r w:rsidRPr="005169B4">
        <w:t>Obhospodařovaná zemědělská půda podle právních forem zemědělských subjektů</w:t>
      </w:r>
      <w:bookmarkEnd w:id="408"/>
      <w:r>
        <w:t xml:space="preserve"> </w:t>
      </w:r>
      <w:bookmarkEnd w:id="409"/>
    </w:p>
    <w:tbl>
      <w:tblPr>
        <w:tblW w:w="5000" w:type="pct"/>
        <w:tblCellMar>
          <w:left w:w="70" w:type="dxa"/>
          <w:right w:w="70" w:type="dxa"/>
        </w:tblCellMar>
        <w:tblLook w:val="04A0" w:firstRow="1" w:lastRow="0" w:firstColumn="1" w:lastColumn="0" w:noHBand="0" w:noVBand="1"/>
      </w:tblPr>
      <w:tblGrid>
        <w:gridCol w:w="1130"/>
        <w:gridCol w:w="1704"/>
        <w:gridCol w:w="1629"/>
        <w:gridCol w:w="1441"/>
        <w:gridCol w:w="1153"/>
        <w:gridCol w:w="781"/>
        <w:gridCol w:w="503"/>
        <w:gridCol w:w="871"/>
      </w:tblGrid>
      <w:tr w:rsidR="0001301B" w:rsidRPr="00DD0B52" w:rsidTr="00050F78">
        <w:trPr>
          <w:trHeight w:val="255"/>
        </w:trPr>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24D" w:rsidRDefault="00DA4247">
            <w:pPr>
              <w:spacing w:after="0"/>
              <w:jc w:val="left"/>
              <w:rPr>
                <w:rFonts w:asciiTheme="minorHAnsi" w:hAnsiTheme="minorHAnsi" w:cs="Arial"/>
                <w:b/>
                <w:bCs/>
                <w:sz w:val="20"/>
                <w:szCs w:val="20"/>
              </w:rPr>
            </w:pPr>
            <w:r w:rsidRPr="00DD0B52">
              <w:rPr>
                <w:rFonts w:asciiTheme="minorHAnsi" w:hAnsiTheme="minorHAnsi" w:cs="Arial"/>
                <w:b/>
                <w:bCs/>
                <w:sz w:val="20"/>
                <w:szCs w:val="20"/>
              </w:rPr>
              <w:t>ČR, kraj</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01B" w:rsidRPr="00DD0B52" w:rsidRDefault="0001301B" w:rsidP="00050F78">
            <w:pPr>
              <w:spacing w:after="0"/>
              <w:jc w:val="center"/>
              <w:rPr>
                <w:rFonts w:asciiTheme="minorHAnsi" w:hAnsiTheme="minorHAnsi" w:cs="Arial"/>
                <w:b/>
                <w:bCs/>
                <w:sz w:val="20"/>
                <w:szCs w:val="20"/>
              </w:rPr>
            </w:pPr>
            <w:r w:rsidRPr="00DD0B52">
              <w:rPr>
                <w:rFonts w:asciiTheme="minorHAnsi" w:hAnsiTheme="minorHAnsi" w:cs="Arial"/>
                <w:b/>
                <w:bCs/>
                <w:sz w:val="20"/>
                <w:szCs w:val="20"/>
              </w:rPr>
              <w:t xml:space="preserve">Obhospodařovaná </w:t>
            </w:r>
            <w:r w:rsidRPr="00DD0B52">
              <w:rPr>
                <w:rFonts w:asciiTheme="minorHAnsi" w:hAnsiTheme="minorHAnsi" w:cs="Arial"/>
                <w:b/>
                <w:bCs/>
                <w:sz w:val="20"/>
                <w:szCs w:val="20"/>
              </w:rPr>
              <w:br/>
              <w:t>zemědělská půda</w:t>
            </w:r>
            <w:r w:rsidRPr="00DD0B52">
              <w:rPr>
                <w:rFonts w:asciiTheme="minorHAnsi" w:hAnsiTheme="minorHAnsi" w:cs="Arial"/>
                <w:b/>
                <w:bCs/>
                <w:sz w:val="20"/>
                <w:szCs w:val="20"/>
              </w:rPr>
              <w:br/>
              <w:t>celkem (v%)</w:t>
            </w:r>
          </w:p>
        </w:tc>
        <w:tc>
          <w:tcPr>
            <w:tcW w:w="3462" w:type="pct"/>
            <w:gridSpan w:val="6"/>
            <w:tcBorders>
              <w:top w:val="single" w:sz="4" w:space="0" w:color="auto"/>
              <w:left w:val="nil"/>
              <w:bottom w:val="single" w:sz="4" w:space="0" w:color="auto"/>
              <w:right w:val="single" w:sz="4" w:space="0" w:color="auto"/>
            </w:tcBorders>
            <w:shd w:val="clear" w:color="auto" w:fill="auto"/>
            <w:vAlign w:val="center"/>
            <w:hideMark/>
          </w:tcPr>
          <w:p w:rsidR="0001301B" w:rsidRPr="00DD0B52" w:rsidRDefault="0001301B" w:rsidP="00050F78">
            <w:pPr>
              <w:spacing w:after="0"/>
              <w:jc w:val="center"/>
              <w:rPr>
                <w:rFonts w:asciiTheme="minorHAnsi" w:hAnsiTheme="minorHAnsi" w:cs="Arial"/>
                <w:b/>
                <w:bCs/>
                <w:sz w:val="20"/>
                <w:szCs w:val="20"/>
              </w:rPr>
            </w:pPr>
            <w:r w:rsidRPr="00DD0B52">
              <w:rPr>
                <w:rFonts w:asciiTheme="minorHAnsi" w:hAnsiTheme="minorHAnsi" w:cs="Arial"/>
                <w:b/>
                <w:bCs/>
                <w:sz w:val="20"/>
                <w:szCs w:val="20"/>
              </w:rPr>
              <w:t>v tom podle právní formy</w:t>
            </w:r>
          </w:p>
        </w:tc>
      </w:tr>
      <w:tr w:rsidR="0001301B" w:rsidRPr="00DD0B52" w:rsidTr="00050F78">
        <w:trPr>
          <w:trHeight w:val="255"/>
        </w:trPr>
        <w:tc>
          <w:tcPr>
            <w:tcW w:w="613" w:type="pct"/>
            <w:vMerge/>
            <w:tcBorders>
              <w:top w:val="single" w:sz="4" w:space="0" w:color="auto"/>
              <w:left w:val="single" w:sz="4" w:space="0" w:color="auto"/>
              <w:bottom w:val="single" w:sz="4" w:space="0" w:color="auto"/>
              <w:right w:val="single" w:sz="4" w:space="0" w:color="auto"/>
            </w:tcBorders>
            <w:vAlign w:val="center"/>
            <w:hideMark/>
          </w:tcPr>
          <w:p w:rsidR="0001301B" w:rsidRPr="00DD0B52" w:rsidRDefault="0001301B" w:rsidP="00050F78">
            <w:pPr>
              <w:spacing w:after="0"/>
              <w:jc w:val="center"/>
              <w:rPr>
                <w:rFonts w:asciiTheme="minorHAnsi" w:hAnsiTheme="minorHAnsi" w:cs="Arial"/>
                <w:b/>
                <w:bCs/>
                <w:sz w:val="20"/>
                <w:szCs w:val="20"/>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01301B" w:rsidRPr="00DD0B52" w:rsidRDefault="0001301B" w:rsidP="00050F78">
            <w:pPr>
              <w:spacing w:after="0"/>
              <w:jc w:val="center"/>
              <w:rPr>
                <w:rFonts w:asciiTheme="minorHAnsi" w:hAnsiTheme="minorHAnsi" w:cs="Arial"/>
                <w:b/>
                <w:bCs/>
                <w:sz w:val="20"/>
                <w:szCs w:val="20"/>
              </w:rPr>
            </w:pPr>
          </w:p>
        </w:tc>
        <w:tc>
          <w:tcPr>
            <w:tcW w:w="884" w:type="pct"/>
            <w:vMerge w:val="restart"/>
            <w:tcBorders>
              <w:top w:val="nil"/>
              <w:left w:val="single" w:sz="4" w:space="0" w:color="auto"/>
              <w:bottom w:val="single" w:sz="4" w:space="0" w:color="auto"/>
              <w:right w:val="single" w:sz="4" w:space="0" w:color="auto"/>
            </w:tcBorders>
            <w:shd w:val="clear" w:color="auto" w:fill="auto"/>
            <w:vAlign w:val="center"/>
            <w:hideMark/>
          </w:tcPr>
          <w:p w:rsidR="0001301B" w:rsidRPr="00DD0B52" w:rsidRDefault="0001301B" w:rsidP="00DD0B52">
            <w:pPr>
              <w:spacing w:after="0"/>
              <w:jc w:val="center"/>
              <w:rPr>
                <w:rFonts w:asciiTheme="minorHAnsi" w:hAnsiTheme="minorHAnsi" w:cs="Arial"/>
                <w:b/>
                <w:bCs/>
                <w:sz w:val="20"/>
                <w:szCs w:val="20"/>
              </w:rPr>
            </w:pPr>
            <w:r w:rsidRPr="00DD0B52">
              <w:rPr>
                <w:rFonts w:asciiTheme="minorHAnsi" w:hAnsiTheme="minorHAnsi" w:cs="Arial"/>
                <w:b/>
                <w:bCs/>
                <w:sz w:val="20"/>
                <w:szCs w:val="20"/>
              </w:rPr>
              <w:t>fyzické osoby</w:t>
            </w:r>
            <w:r w:rsidR="00DD0B52">
              <w:rPr>
                <w:rFonts w:asciiTheme="minorHAnsi" w:hAnsiTheme="minorHAnsi" w:cs="Arial"/>
                <w:b/>
                <w:bCs/>
                <w:sz w:val="20"/>
                <w:szCs w:val="20"/>
              </w:rPr>
              <w:t xml:space="preserve"> </w:t>
            </w:r>
            <w:r w:rsidRPr="00DD0B52">
              <w:rPr>
                <w:rFonts w:asciiTheme="minorHAnsi" w:hAnsiTheme="minorHAnsi" w:cs="Arial"/>
                <w:b/>
                <w:bCs/>
                <w:sz w:val="20"/>
                <w:szCs w:val="20"/>
              </w:rPr>
              <w:t>celkem</w:t>
            </w:r>
          </w:p>
        </w:tc>
        <w:tc>
          <w:tcPr>
            <w:tcW w:w="782" w:type="pct"/>
            <w:vMerge w:val="restart"/>
            <w:tcBorders>
              <w:top w:val="nil"/>
              <w:left w:val="single" w:sz="4" w:space="0" w:color="auto"/>
              <w:bottom w:val="single" w:sz="4" w:space="0" w:color="auto"/>
              <w:right w:val="single" w:sz="4" w:space="0" w:color="auto"/>
            </w:tcBorders>
            <w:shd w:val="clear" w:color="auto" w:fill="auto"/>
            <w:vAlign w:val="center"/>
            <w:hideMark/>
          </w:tcPr>
          <w:p w:rsidR="0001301B" w:rsidRPr="00DD0B52" w:rsidRDefault="0001301B" w:rsidP="00DD0B52">
            <w:pPr>
              <w:spacing w:after="0"/>
              <w:jc w:val="center"/>
              <w:rPr>
                <w:rFonts w:asciiTheme="minorHAnsi" w:hAnsiTheme="minorHAnsi" w:cs="Arial"/>
                <w:b/>
                <w:bCs/>
                <w:sz w:val="20"/>
                <w:szCs w:val="20"/>
              </w:rPr>
            </w:pPr>
            <w:r w:rsidRPr="00DD0B52">
              <w:rPr>
                <w:rFonts w:asciiTheme="minorHAnsi" w:hAnsiTheme="minorHAnsi" w:cs="Arial"/>
                <w:b/>
                <w:bCs/>
                <w:sz w:val="20"/>
                <w:szCs w:val="20"/>
              </w:rPr>
              <w:t xml:space="preserve">z toho zeměděl. podnikatel </w:t>
            </w:r>
            <w:r w:rsidRPr="00DD0B52">
              <w:rPr>
                <w:rFonts w:asciiTheme="minorHAnsi" w:hAnsiTheme="minorHAnsi" w:cs="Arial"/>
                <w:b/>
                <w:bCs/>
                <w:sz w:val="20"/>
                <w:szCs w:val="20"/>
              </w:rPr>
              <w:br/>
              <w:t>– fyzická osoba</w:t>
            </w:r>
          </w:p>
        </w:tc>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rsidR="0001301B" w:rsidRPr="00DD0B52" w:rsidRDefault="0001301B" w:rsidP="00050F78">
            <w:pPr>
              <w:spacing w:after="0"/>
              <w:jc w:val="center"/>
              <w:rPr>
                <w:rFonts w:asciiTheme="minorHAnsi" w:hAnsiTheme="minorHAnsi" w:cs="Arial"/>
                <w:b/>
                <w:bCs/>
                <w:sz w:val="20"/>
                <w:szCs w:val="20"/>
              </w:rPr>
            </w:pPr>
            <w:r w:rsidRPr="00DD0B52">
              <w:rPr>
                <w:rFonts w:asciiTheme="minorHAnsi" w:hAnsiTheme="minorHAnsi" w:cs="Arial"/>
                <w:b/>
                <w:bCs/>
                <w:sz w:val="20"/>
                <w:szCs w:val="20"/>
              </w:rPr>
              <w:t>právnické osoby</w:t>
            </w:r>
            <w:r w:rsidRPr="00DD0B52">
              <w:rPr>
                <w:rFonts w:asciiTheme="minorHAnsi" w:hAnsiTheme="minorHAnsi" w:cs="Arial"/>
                <w:b/>
                <w:bCs/>
                <w:sz w:val="20"/>
                <w:szCs w:val="20"/>
              </w:rPr>
              <w:br/>
            </w:r>
            <w:r w:rsidR="00DD0B52">
              <w:rPr>
                <w:rFonts w:asciiTheme="minorHAnsi" w:hAnsiTheme="minorHAnsi" w:cs="Arial"/>
                <w:b/>
                <w:bCs/>
                <w:sz w:val="20"/>
                <w:szCs w:val="20"/>
              </w:rPr>
              <w:t xml:space="preserve"> </w:t>
            </w:r>
            <w:r w:rsidRPr="00DD0B52">
              <w:rPr>
                <w:rFonts w:asciiTheme="minorHAnsi" w:hAnsiTheme="minorHAnsi" w:cs="Arial"/>
                <w:b/>
                <w:bCs/>
                <w:sz w:val="20"/>
                <w:szCs w:val="20"/>
              </w:rPr>
              <w:t>celkem</w:t>
            </w:r>
          </w:p>
        </w:tc>
        <w:tc>
          <w:tcPr>
            <w:tcW w:w="1170" w:type="pct"/>
            <w:gridSpan w:val="3"/>
            <w:tcBorders>
              <w:top w:val="single" w:sz="4" w:space="0" w:color="auto"/>
              <w:left w:val="nil"/>
              <w:bottom w:val="single" w:sz="4" w:space="0" w:color="auto"/>
              <w:right w:val="single" w:sz="4" w:space="0" w:color="000000"/>
            </w:tcBorders>
            <w:shd w:val="clear" w:color="auto" w:fill="auto"/>
            <w:vAlign w:val="center"/>
            <w:hideMark/>
          </w:tcPr>
          <w:p w:rsidR="0001301B" w:rsidRPr="00DD0B52" w:rsidRDefault="0001301B" w:rsidP="00050F78">
            <w:pPr>
              <w:spacing w:after="0"/>
              <w:jc w:val="center"/>
              <w:rPr>
                <w:rFonts w:asciiTheme="minorHAnsi" w:hAnsiTheme="minorHAnsi" w:cs="Arial"/>
                <w:b/>
                <w:bCs/>
                <w:sz w:val="20"/>
                <w:szCs w:val="20"/>
              </w:rPr>
            </w:pPr>
            <w:r w:rsidRPr="00DD0B52">
              <w:rPr>
                <w:rFonts w:asciiTheme="minorHAnsi" w:hAnsiTheme="minorHAnsi" w:cs="Arial"/>
                <w:b/>
                <w:bCs/>
                <w:sz w:val="20"/>
                <w:szCs w:val="20"/>
              </w:rPr>
              <w:t>z toho</w:t>
            </w:r>
          </w:p>
        </w:tc>
      </w:tr>
      <w:tr w:rsidR="0001301B" w:rsidRPr="00DD0B52" w:rsidTr="00DD0B52">
        <w:trPr>
          <w:trHeight w:val="817"/>
        </w:trPr>
        <w:tc>
          <w:tcPr>
            <w:tcW w:w="613" w:type="pct"/>
            <w:vMerge/>
            <w:tcBorders>
              <w:top w:val="single" w:sz="4" w:space="0" w:color="auto"/>
              <w:left w:val="single" w:sz="4" w:space="0" w:color="auto"/>
              <w:bottom w:val="single" w:sz="4" w:space="0" w:color="auto"/>
              <w:right w:val="single" w:sz="4" w:space="0" w:color="auto"/>
            </w:tcBorders>
            <w:vAlign w:val="center"/>
            <w:hideMark/>
          </w:tcPr>
          <w:p w:rsidR="0001301B" w:rsidRPr="00DD0B52" w:rsidRDefault="0001301B" w:rsidP="00050F78">
            <w:pPr>
              <w:spacing w:after="0"/>
              <w:jc w:val="center"/>
              <w:rPr>
                <w:rFonts w:asciiTheme="minorHAnsi" w:hAnsiTheme="minorHAnsi" w:cs="Arial"/>
                <w:b/>
                <w:bCs/>
                <w:sz w:val="20"/>
                <w:szCs w:val="20"/>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01301B" w:rsidRPr="00DD0B52" w:rsidRDefault="0001301B" w:rsidP="00050F78">
            <w:pPr>
              <w:spacing w:after="0"/>
              <w:jc w:val="center"/>
              <w:rPr>
                <w:rFonts w:asciiTheme="minorHAnsi" w:hAnsiTheme="minorHAnsi" w:cs="Arial"/>
                <w:b/>
                <w:bCs/>
                <w:sz w:val="20"/>
                <w:szCs w:val="20"/>
              </w:rPr>
            </w:pPr>
          </w:p>
        </w:tc>
        <w:tc>
          <w:tcPr>
            <w:tcW w:w="884" w:type="pct"/>
            <w:vMerge/>
            <w:tcBorders>
              <w:top w:val="nil"/>
              <w:left w:val="single" w:sz="4" w:space="0" w:color="auto"/>
              <w:bottom w:val="single" w:sz="4" w:space="0" w:color="auto"/>
              <w:right w:val="single" w:sz="4" w:space="0" w:color="auto"/>
            </w:tcBorders>
            <w:vAlign w:val="center"/>
            <w:hideMark/>
          </w:tcPr>
          <w:p w:rsidR="0001301B" w:rsidRPr="00DD0B52" w:rsidRDefault="0001301B" w:rsidP="00050F78">
            <w:pPr>
              <w:spacing w:after="0"/>
              <w:jc w:val="center"/>
              <w:rPr>
                <w:rFonts w:asciiTheme="minorHAnsi" w:hAnsiTheme="minorHAnsi" w:cs="Arial"/>
                <w:b/>
                <w:bCs/>
                <w:sz w:val="20"/>
                <w:szCs w:val="20"/>
              </w:rPr>
            </w:pPr>
          </w:p>
        </w:tc>
        <w:tc>
          <w:tcPr>
            <w:tcW w:w="782" w:type="pct"/>
            <w:vMerge/>
            <w:tcBorders>
              <w:top w:val="nil"/>
              <w:left w:val="single" w:sz="4" w:space="0" w:color="auto"/>
              <w:bottom w:val="single" w:sz="4" w:space="0" w:color="auto"/>
              <w:right w:val="single" w:sz="4" w:space="0" w:color="auto"/>
            </w:tcBorders>
            <w:vAlign w:val="center"/>
            <w:hideMark/>
          </w:tcPr>
          <w:p w:rsidR="0001301B" w:rsidRPr="00DD0B52" w:rsidRDefault="0001301B" w:rsidP="00050F78">
            <w:pPr>
              <w:spacing w:after="0"/>
              <w:jc w:val="center"/>
              <w:rPr>
                <w:rFonts w:asciiTheme="minorHAnsi" w:hAnsiTheme="minorHAnsi" w:cs="Arial"/>
                <w:b/>
                <w:bCs/>
                <w:sz w:val="20"/>
                <w:szCs w:val="20"/>
              </w:rPr>
            </w:pPr>
          </w:p>
        </w:tc>
        <w:tc>
          <w:tcPr>
            <w:tcW w:w="626" w:type="pct"/>
            <w:vMerge/>
            <w:tcBorders>
              <w:top w:val="nil"/>
              <w:left w:val="single" w:sz="4" w:space="0" w:color="auto"/>
              <w:bottom w:val="single" w:sz="4" w:space="0" w:color="auto"/>
              <w:right w:val="single" w:sz="4" w:space="0" w:color="auto"/>
            </w:tcBorders>
            <w:vAlign w:val="center"/>
            <w:hideMark/>
          </w:tcPr>
          <w:p w:rsidR="0001301B" w:rsidRPr="00DD0B52" w:rsidRDefault="0001301B" w:rsidP="00050F78">
            <w:pPr>
              <w:spacing w:after="0"/>
              <w:jc w:val="center"/>
              <w:rPr>
                <w:rFonts w:asciiTheme="minorHAnsi" w:hAnsiTheme="minorHAnsi" w:cs="Arial"/>
                <w:b/>
                <w:bCs/>
                <w:sz w:val="20"/>
                <w:szCs w:val="20"/>
              </w:rPr>
            </w:pPr>
          </w:p>
        </w:tc>
        <w:tc>
          <w:tcPr>
            <w:tcW w:w="424" w:type="pct"/>
            <w:tcBorders>
              <w:top w:val="nil"/>
              <w:left w:val="nil"/>
              <w:bottom w:val="single" w:sz="4" w:space="0" w:color="auto"/>
              <w:right w:val="single" w:sz="4" w:space="0" w:color="auto"/>
            </w:tcBorders>
            <w:shd w:val="clear" w:color="auto" w:fill="auto"/>
            <w:vAlign w:val="center"/>
            <w:hideMark/>
          </w:tcPr>
          <w:p w:rsidR="0001301B" w:rsidRPr="00DD0B52" w:rsidRDefault="002F684C" w:rsidP="00050F78">
            <w:pPr>
              <w:spacing w:after="0"/>
              <w:jc w:val="center"/>
              <w:rPr>
                <w:rFonts w:asciiTheme="minorHAnsi" w:hAnsiTheme="minorHAnsi" w:cs="Arial"/>
                <w:b/>
                <w:bCs/>
                <w:sz w:val="20"/>
                <w:szCs w:val="20"/>
              </w:rPr>
            </w:pPr>
            <w:r w:rsidRPr="002F684C">
              <w:rPr>
                <w:rFonts w:asciiTheme="minorHAnsi" w:hAnsiTheme="minorHAnsi" w:cs="Arial"/>
                <w:b/>
                <w:bCs/>
                <w:sz w:val="20"/>
                <w:szCs w:val="20"/>
              </w:rPr>
              <w:t>s.r.o.</w:t>
            </w:r>
          </w:p>
        </w:tc>
        <w:tc>
          <w:tcPr>
            <w:tcW w:w="273" w:type="pct"/>
            <w:tcBorders>
              <w:top w:val="nil"/>
              <w:left w:val="nil"/>
              <w:bottom w:val="single" w:sz="4" w:space="0" w:color="auto"/>
              <w:right w:val="single" w:sz="4" w:space="0" w:color="auto"/>
            </w:tcBorders>
            <w:shd w:val="clear" w:color="auto" w:fill="auto"/>
            <w:vAlign w:val="center"/>
            <w:hideMark/>
          </w:tcPr>
          <w:p w:rsidR="0001301B" w:rsidRPr="00DD0B52" w:rsidRDefault="002F684C" w:rsidP="00050F78">
            <w:pPr>
              <w:spacing w:after="0"/>
              <w:jc w:val="center"/>
              <w:rPr>
                <w:rFonts w:asciiTheme="minorHAnsi" w:hAnsiTheme="minorHAnsi" w:cs="Arial"/>
                <w:b/>
                <w:bCs/>
                <w:sz w:val="20"/>
                <w:szCs w:val="20"/>
              </w:rPr>
            </w:pPr>
            <w:r w:rsidRPr="002F684C">
              <w:rPr>
                <w:rFonts w:asciiTheme="minorHAnsi" w:hAnsiTheme="minorHAnsi" w:cs="Arial"/>
                <w:b/>
                <w:bCs/>
                <w:sz w:val="20"/>
                <w:szCs w:val="20"/>
              </w:rPr>
              <w:t>a.s.</w:t>
            </w:r>
          </w:p>
        </w:tc>
        <w:tc>
          <w:tcPr>
            <w:tcW w:w="473" w:type="pct"/>
            <w:tcBorders>
              <w:top w:val="nil"/>
              <w:left w:val="nil"/>
              <w:bottom w:val="single" w:sz="4" w:space="0" w:color="auto"/>
              <w:right w:val="single" w:sz="4" w:space="0" w:color="auto"/>
            </w:tcBorders>
            <w:shd w:val="clear" w:color="auto" w:fill="auto"/>
            <w:vAlign w:val="center"/>
            <w:hideMark/>
          </w:tcPr>
          <w:p w:rsidR="0001301B" w:rsidRPr="00DD0B52" w:rsidRDefault="002F684C" w:rsidP="00050F78">
            <w:pPr>
              <w:spacing w:after="0"/>
              <w:jc w:val="center"/>
              <w:rPr>
                <w:rFonts w:asciiTheme="minorHAnsi" w:hAnsiTheme="minorHAnsi" w:cs="Arial"/>
                <w:b/>
                <w:bCs/>
                <w:sz w:val="20"/>
                <w:szCs w:val="20"/>
              </w:rPr>
            </w:pPr>
            <w:r w:rsidRPr="002F684C">
              <w:rPr>
                <w:rFonts w:asciiTheme="minorHAnsi" w:hAnsiTheme="minorHAnsi" w:cs="Arial"/>
                <w:b/>
                <w:bCs/>
                <w:sz w:val="20"/>
                <w:szCs w:val="20"/>
              </w:rPr>
              <w:t>družstvo</w:t>
            </w:r>
          </w:p>
        </w:tc>
      </w:tr>
      <w:tr w:rsidR="0001301B" w:rsidRPr="00DD0B52" w:rsidTr="0001301B">
        <w:trPr>
          <w:trHeight w:val="255"/>
        </w:trPr>
        <w:tc>
          <w:tcPr>
            <w:tcW w:w="613" w:type="pct"/>
            <w:tcBorders>
              <w:top w:val="nil"/>
              <w:left w:val="single" w:sz="4" w:space="0" w:color="auto"/>
              <w:bottom w:val="single" w:sz="4" w:space="0" w:color="auto"/>
              <w:right w:val="single" w:sz="4" w:space="0" w:color="auto"/>
            </w:tcBorders>
            <w:shd w:val="clear" w:color="auto" w:fill="auto"/>
            <w:vAlign w:val="bottom"/>
            <w:hideMark/>
          </w:tcPr>
          <w:p w:rsidR="0001301B" w:rsidRPr="00DD0B52" w:rsidRDefault="00DA4247" w:rsidP="002C40B2">
            <w:pPr>
              <w:spacing w:after="0"/>
              <w:rPr>
                <w:rFonts w:asciiTheme="minorHAnsi" w:hAnsiTheme="minorHAnsi" w:cs="Arial"/>
                <w:b/>
                <w:sz w:val="20"/>
                <w:szCs w:val="20"/>
              </w:rPr>
            </w:pPr>
            <w:r w:rsidRPr="00DD0B52">
              <w:rPr>
                <w:rFonts w:asciiTheme="minorHAnsi" w:hAnsiTheme="minorHAnsi" w:cs="Arial"/>
                <w:b/>
                <w:sz w:val="20"/>
                <w:szCs w:val="20"/>
              </w:rPr>
              <w:t>ČR</w:t>
            </w:r>
          </w:p>
        </w:tc>
        <w:tc>
          <w:tcPr>
            <w:tcW w:w="925"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100,0</w:t>
            </w:r>
          </w:p>
        </w:tc>
        <w:tc>
          <w:tcPr>
            <w:tcW w:w="88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27,2</w:t>
            </w:r>
          </w:p>
        </w:tc>
        <w:tc>
          <w:tcPr>
            <w:tcW w:w="782"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93,1</w:t>
            </w:r>
          </w:p>
        </w:tc>
        <w:tc>
          <w:tcPr>
            <w:tcW w:w="626"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72,8</w:t>
            </w:r>
          </w:p>
        </w:tc>
        <w:tc>
          <w:tcPr>
            <w:tcW w:w="42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30,0</w:t>
            </w:r>
          </w:p>
        </w:tc>
        <w:tc>
          <w:tcPr>
            <w:tcW w:w="2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33,9</w:t>
            </w:r>
          </w:p>
        </w:tc>
        <w:tc>
          <w:tcPr>
            <w:tcW w:w="4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35,1</w:t>
            </w:r>
          </w:p>
        </w:tc>
      </w:tr>
      <w:tr w:rsidR="0001301B" w:rsidRPr="00DD0B52" w:rsidTr="0001301B">
        <w:trPr>
          <w:trHeight w:val="255"/>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01301B" w:rsidRPr="00DD0B52" w:rsidRDefault="0001301B" w:rsidP="002C40B2">
            <w:pPr>
              <w:spacing w:after="0"/>
              <w:rPr>
                <w:rFonts w:asciiTheme="minorHAnsi" w:hAnsiTheme="minorHAnsi" w:cs="Arial"/>
                <w:b/>
                <w:sz w:val="20"/>
                <w:szCs w:val="20"/>
              </w:rPr>
            </w:pPr>
            <w:r w:rsidRPr="00DD0B52">
              <w:rPr>
                <w:rFonts w:asciiTheme="minorHAnsi" w:hAnsiTheme="minorHAnsi" w:cs="Arial"/>
                <w:b/>
                <w:sz w:val="20"/>
                <w:szCs w:val="20"/>
              </w:rPr>
              <w:t>Karlovarský</w:t>
            </w:r>
          </w:p>
        </w:tc>
        <w:tc>
          <w:tcPr>
            <w:tcW w:w="925"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10,6</w:t>
            </w:r>
          </w:p>
        </w:tc>
        <w:tc>
          <w:tcPr>
            <w:tcW w:w="88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39,9</w:t>
            </w:r>
          </w:p>
        </w:tc>
        <w:tc>
          <w:tcPr>
            <w:tcW w:w="782"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96,3</w:t>
            </w:r>
          </w:p>
        </w:tc>
        <w:tc>
          <w:tcPr>
            <w:tcW w:w="626"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60,1</w:t>
            </w:r>
          </w:p>
        </w:tc>
        <w:tc>
          <w:tcPr>
            <w:tcW w:w="42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77,7</w:t>
            </w:r>
          </w:p>
        </w:tc>
        <w:tc>
          <w:tcPr>
            <w:tcW w:w="2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9,5</w:t>
            </w:r>
          </w:p>
        </w:tc>
        <w:tc>
          <w:tcPr>
            <w:tcW w:w="4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b/>
                <w:sz w:val="20"/>
                <w:szCs w:val="20"/>
              </w:rPr>
            </w:pPr>
            <w:r w:rsidRPr="00DD0B52">
              <w:rPr>
                <w:rFonts w:asciiTheme="minorHAnsi" w:hAnsiTheme="minorHAnsi" w:cs="Arial"/>
                <w:b/>
                <w:sz w:val="20"/>
                <w:szCs w:val="20"/>
              </w:rPr>
              <w:t>10,1</w:t>
            </w:r>
          </w:p>
        </w:tc>
      </w:tr>
      <w:tr w:rsidR="0001301B" w:rsidRPr="00DD0B52" w:rsidTr="0001301B">
        <w:trPr>
          <w:trHeight w:val="255"/>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01301B" w:rsidRPr="00DD0B52" w:rsidRDefault="0001301B" w:rsidP="002C40B2">
            <w:pPr>
              <w:spacing w:after="0"/>
              <w:rPr>
                <w:rFonts w:asciiTheme="minorHAnsi" w:hAnsiTheme="minorHAnsi" w:cs="Arial"/>
                <w:sz w:val="20"/>
                <w:szCs w:val="20"/>
              </w:rPr>
            </w:pPr>
            <w:r w:rsidRPr="00DD0B52">
              <w:rPr>
                <w:rFonts w:asciiTheme="minorHAnsi" w:hAnsiTheme="minorHAnsi" w:cs="Arial"/>
                <w:sz w:val="20"/>
                <w:szCs w:val="20"/>
              </w:rPr>
              <w:t>Liberecký</w:t>
            </w:r>
          </w:p>
        </w:tc>
        <w:tc>
          <w:tcPr>
            <w:tcW w:w="925"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10,6</w:t>
            </w:r>
          </w:p>
        </w:tc>
        <w:tc>
          <w:tcPr>
            <w:tcW w:w="88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36,8</w:t>
            </w:r>
          </w:p>
        </w:tc>
        <w:tc>
          <w:tcPr>
            <w:tcW w:w="782"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88,2</w:t>
            </w:r>
          </w:p>
        </w:tc>
        <w:tc>
          <w:tcPr>
            <w:tcW w:w="626"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63,2</w:t>
            </w:r>
          </w:p>
        </w:tc>
        <w:tc>
          <w:tcPr>
            <w:tcW w:w="42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51,4</w:t>
            </w:r>
          </w:p>
        </w:tc>
        <w:tc>
          <w:tcPr>
            <w:tcW w:w="2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32,7</w:t>
            </w:r>
          </w:p>
        </w:tc>
        <w:tc>
          <w:tcPr>
            <w:tcW w:w="4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15,1</w:t>
            </w:r>
          </w:p>
        </w:tc>
      </w:tr>
      <w:tr w:rsidR="0001301B" w:rsidRPr="00DD0B52" w:rsidTr="0001301B">
        <w:trPr>
          <w:trHeight w:val="285"/>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01301B" w:rsidRPr="00DD0B52" w:rsidRDefault="0001301B" w:rsidP="002C40B2">
            <w:pPr>
              <w:spacing w:after="0"/>
              <w:rPr>
                <w:rFonts w:asciiTheme="minorHAnsi" w:hAnsiTheme="minorHAnsi" w:cs="Arial"/>
                <w:sz w:val="20"/>
                <w:szCs w:val="20"/>
              </w:rPr>
            </w:pPr>
            <w:r w:rsidRPr="00DD0B52">
              <w:rPr>
                <w:rFonts w:asciiTheme="minorHAnsi" w:hAnsiTheme="minorHAnsi" w:cs="Arial"/>
                <w:sz w:val="20"/>
                <w:szCs w:val="20"/>
              </w:rPr>
              <w:t>Pardubický</w:t>
            </w:r>
          </w:p>
        </w:tc>
        <w:tc>
          <w:tcPr>
            <w:tcW w:w="925"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24,4</w:t>
            </w:r>
          </w:p>
        </w:tc>
        <w:tc>
          <w:tcPr>
            <w:tcW w:w="88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24,3</w:t>
            </w:r>
          </w:p>
        </w:tc>
        <w:tc>
          <w:tcPr>
            <w:tcW w:w="782"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93,6</w:t>
            </w:r>
          </w:p>
        </w:tc>
        <w:tc>
          <w:tcPr>
            <w:tcW w:w="626"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75,7</w:t>
            </w:r>
          </w:p>
        </w:tc>
        <w:tc>
          <w:tcPr>
            <w:tcW w:w="42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22,4</w:t>
            </w:r>
          </w:p>
        </w:tc>
        <w:tc>
          <w:tcPr>
            <w:tcW w:w="2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40,3</w:t>
            </w:r>
          </w:p>
        </w:tc>
        <w:tc>
          <w:tcPr>
            <w:tcW w:w="4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35,6</w:t>
            </w:r>
          </w:p>
        </w:tc>
      </w:tr>
      <w:tr w:rsidR="0001301B" w:rsidRPr="00DD0B52" w:rsidTr="0001301B">
        <w:trPr>
          <w:trHeight w:val="285"/>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01301B" w:rsidRPr="00DD0B52" w:rsidRDefault="0001301B" w:rsidP="002C40B2">
            <w:pPr>
              <w:spacing w:after="0"/>
              <w:rPr>
                <w:rFonts w:asciiTheme="minorHAnsi" w:hAnsiTheme="minorHAnsi" w:cs="Arial"/>
                <w:sz w:val="20"/>
                <w:szCs w:val="20"/>
              </w:rPr>
            </w:pPr>
            <w:r w:rsidRPr="00DD0B52">
              <w:rPr>
                <w:rFonts w:asciiTheme="minorHAnsi" w:hAnsiTheme="minorHAnsi" w:cs="Arial"/>
                <w:sz w:val="20"/>
                <w:szCs w:val="20"/>
              </w:rPr>
              <w:t>Vysočina</w:t>
            </w:r>
          </w:p>
        </w:tc>
        <w:tc>
          <w:tcPr>
            <w:tcW w:w="925"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38,4</w:t>
            </w:r>
          </w:p>
        </w:tc>
        <w:tc>
          <w:tcPr>
            <w:tcW w:w="88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24,7</w:t>
            </w:r>
          </w:p>
        </w:tc>
        <w:tc>
          <w:tcPr>
            <w:tcW w:w="782"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96,0</w:t>
            </w:r>
          </w:p>
        </w:tc>
        <w:tc>
          <w:tcPr>
            <w:tcW w:w="626"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75,3</w:t>
            </w:r>
          </w:p>
        </w:tc>
        <w:tc>
          <w:tcPr>
            <w:tcW w:w="42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18,1</w:t>
            </w:r>
          </w:p>
        </w:tc>
        <w:tc>
          <w:tcPr>
            <w:tcW w:w="2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31,6</w:t>
            </w:r>
          </w:p>
        </w:tc>
        <w:tc>
          <w:tcPr>
            <w:tcW w:w="4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49,9</w:t>
            </w:r>
          </w:p>
        </w:tc>
      </w:tr>
      <w:tr w:rsidR="0001301B" w:rsidRPr="00DD0B52" w:rsidTr="0001301B">
        <w:trPr>
          <w:trHeight w:val="285"/>
        </w:trPr>
        <w:tc>
          <w:tcPr>
            <w:tcW w:w="613" w:type="pct"/>
            <w:tcBorders>
              <w:top w:val="nil"/>
              <w:left w:val="single" w:sz="4" w:space="0" w:color="auto"/>
              <w:bottom w:val="single" w:sz="4" w:space="0" w:color="auto"/>
              <w:right w:val="single" w:sz="4" w:space="0" w:color="auto"/>
            </w:tcBorders>
            <w:shd w:val="clear" w:color="auto" w:fill="auto"/>
            <w:noWrap/>
            <w:vAlign w:val="bottom"/>
            <w:hideMark/>
          </w:tcPr>
          <w:p w:rsidR="0001301B" w:rsidRPr="00DD0B52" w:rsidRDefault="0001301B" w:rsidP="002C40B2">
            <w:pPr>
              <w:spacing w:after="0"/>
              <w:rPr>
                <w:rFonts w:asciiTheme="minorHAnsi" w:hAnsiTheme="minorHAnsi" w:cs="Arial"/>
                <w:sz w:val="20"/>
                <w:szCs w:val="20"/>
              </w:rPr>
            </w:pPr>
            <w:r w:rsidRPr="00DD0B52">
              <w:rPr>
                <w:rFonts w:asciiTheme="minorHAnsi" w:hAnsiTheme="minorHAnsi" w:cs="Arial"/>
                <w:sz w:val="20"/>
                <w:szCs w:val="20"/>
              </w:rPr>
              <w:t>Zlínský</w:t>
            </w:r>
          </w:p>
        </w:tc>
        <w:tc>
          <w:tcPr>
            <w:tcW w:w="925"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16,0</w:t>
            </w:r>
          </w:p>
        </w:tc>
        <w:tc>
          <w:tcPr>
            <w:tcW w:w="88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22,6</w:t>
            </w:r>
          </w:p>
        </w:tc>
        <w:tc>
          <w:tcPr>
            <w:tcW w:w="782"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85,8</w:t>
            </w:r>
          </w:p>
        </w:tc>
        <w:tc>
          <w:tcPr>
            <w:tcW w:w="626"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77,4</w:t>
            </w:r>
          </w:p>
        </w:tc>
        <w:tc>
          <w:tcPr>
            <w:tcW w:w="424"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33,4</w:t>
            </w:r>
          </w:p>
        </w:tc>
        <w:tc>
          <w:tcPr>
            <w:tcW w:w="2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43,2</w:t>
            </w:r>
          </w:p>
        </w:tc>
        <w:tc>
          <w:tcPr>
            <w:tcW w:w="473" w:type="pct"/>
            <w:tcBorders>
              <w:top w:val="nil"/>
              <w:left w:val="nil"/>
              <w:bottom w:val="single" w:sz="4" w:space="0" w:color="auto"/>
              <w:right w:val="single" w:sz="4" w:space="0" w:color="auto"/>
            </w:tcBorders>
            <w:shd w:val="clear" w:color="auto" w:fill="auto"/>
            <w:noWrap/>
            <w:vAlign w:val="bottom"/>
            <w:hideMark/>
          </w:tcPr>
          <w:p w:rsidR="0001301B" w:rsidRPr="00DD0B52" w:rsidRDefault="0001301B" w:rsidP="002C40B2">
            <w:pPr>
              <w:spacing w:after="0"/>
              <w:jc w:val="center"/>
              <w:rPr>
                <w:rFonts w:asciiTheme="minorHAnsi" w:hAnsiTheme="minorHAnsi" w:cs="Arial"/>
                <w:sz w:val="20"/>
                <w:szCs w:val="20"/>
              </w:rPr>
            </w:pPr>
            <w:r w:rsidRPr="00DD0B52">
              <w:rPr>
                <w:rFonts w:asciiTheme="minorHAnsi" w:hAnsiTheme="minorHAnsi" w:cs="Arial"/>
                <w:sz w:val="20"/>
                <w:szCs w:val="20"/>
              </w:rPr>
              <w:t>23,1</w:t>
            </w:r>
          </w:p>
        </w:tc>
      </w:tr>
    </w:tbl>
    <w:p w:rsidR="0001301B" w:rsidRDefault="0001301B" w:rsidP="002C40B2">
      <w:pPr>
        <w:pStyle w:val="poznzdroj"/>
        <w:spacing w:line="276" w:lineRule="auto"/>
        <w:rPr>
          <w:noProof/>
        </w:rPr>
      </w:pPr>
      <w:r>
        <w:t>Zdroj: ČSÚ</w:t>
      </w:r>
      <w:r w:rsidR="00930C35">
        <w:t xml:space="preserve"> </w:t>
      </w:r>
      <w:r>
        <w:t>- Zemědělské podniky a obhospodařovaná zemědělská půda podle právních forem a krajů k 30. 9. 2013</w:t>
      </w:r>
    </w:p>
    <w:p w:rsidR="0001301B" w:rsidRDefault="0001301B" w:rsidP="002C40B2">
      <w:pPr>
        <w:rPr>
          <w:rFonts w:eastAsia="TT77Do00"/>
        </w:rPr>
      </w:pPr>
      <w:r>
        <w:lastRenderedPageBreak/>
        <w:t xml:space="preserve">Vývoj zaměstnanosti v primárním sektoru byl provázen pokračujícími změnami v odvětvové struktuře národního hospodářství. V zemědělství, lesnictví a rybářství pokračoval pokles počtu zaměstnaných osob z předchozích let až na 2,3 tis. v roce 2014 (oproti 4,3 tis. v roce 2005). Podíl pracujících v priméru na celkové zaměstnanosti kraje tak poklesl až na 1,6 %, což představuje v mezikrajském srovnání jeden z nejnižších podílů (vedle Prahy a Libereckého kraje). </w:t>
      </w:r>
    </w:p>
    <w:p w:rsidR="0001301B" w:rsidRDefault="0001301B" w:rsidP="002C40B2">
      <w:pPr>
        <w:rPr>
          <w:rFonts w:eastAsia="TT77Do00"/>
        </w:rPr>
      </w:pPr>
      <w:r>
        <w:rPr>
          <w:rFonts w:eastAsia="TT77Do00"/>
        </w:rPr>
        <w:t xml:space="preserve">Podle </w:t>
      </w:r>
      <w:r w:rsidRPr="009B7CDD">
        <w:rPr>
          <w:rFonts w:eastAsia="TT77Do00"/>
          <w:i/>
        </w:rPr>
        <w:t xml:space="preserve">Strukturálního šetření v zemědělství </w:t>
      </w:r>
      <w:r w:rsidR="002F684C" w:rsidRPr="002F684C">
        <w:rPr>
          <w:rFonts w:eastAsia="TT77Do00"/>
        </w:rPr>
        <w:t>v roce</w:t>
      </w:r>
      <w:r w:rsidRPr="009B7CDD">
        <w:rPr>
          <w:rFonts w:eastAsia="TT77Do00"/>
          <w:i/>
        </w:rPr>
        <w:t xml:space="preserve"> 2013</w:t>
      </w:r>
      <w:r>
        <w:rPr>
          <w:rFonts w:eastAsia="TT77Do00"/>
        </w:rPr>
        <w:t xml:space="preserve"> zaměstnávaly z</w:t>
      </w:r>
      <w:r w:rsidRPr="00282193">
        <w:rPr>
          <w:rFonts w:eastAsia="TT77Do00"/>
        </w:rPr>
        <w:t xml:space="preserve">emědělské podniky sídlící v Karlovarském kraji celkem </w:t>
      </w:r>
      <w:r>
        <w:rPr>
          <w:rFonts w:eastAsia="TT77Do00"/>
        </w:rPr>
        <w:t>1 679</w:t>
      </w:r>
      <w:r w:rsidRPr="00282193">
        <w:rPr>
          <w:rFonts w:eastAsia="TT77Do00"/>
        </w:rPr>
        <w:t xml:space="preserve"> pravidelně zaměstnaných pracovníků</w:t>
      </w:r>
      <w:r>
        <w:rPr>
          <w:rFonts w:eastAsia="TT77Do00"/>
        </w:rPr>
        <w:t xml:space="preserve">. Nezapočítáme-li Prahu, patří Karlovarský </w:t>
      </w:r>
      <w:r w:rsidRPr="00282193">
        <w:rPr>
          <w:rFonts w:eastAsia="TT77Do00"/>
        </w:rPr>
        <w:t>kraj</w:t>
      </w:r>
      <w:r>
        <w:rPr>
          <w:rFonts w:eastAsia="TT77Do00"/>
        </w:rPr>
        <w:t xml:space="preserve"> </w:t>
      </w:r>
      <w:r w:rsidRPr="00282193">
        <w:rPr>
          <w:rFonts w:eastAsia="TT77Do00"/>
        </w:rPr>
        <w:t xml:space="preserve">v porovnání s ostatními regiony mezi </w:t>
      </w:r>
      <w:r>
        <w:rPr>
          <w:rFonts w:eastAsia="TT77Do00"/>
        </w:rPr>
        <w:t xml:space="preserve">kraje </w:t>
      </w:r>
      <w:r w:rsidRPr="00282193">
        <w:rPr>
          <w:rFonts w:eastAsia="TT77Do00"/>
        </w:rPr>
        <w:t>s nejnižším podílem na celorepublikovém počtu pravidelně zaměstnaných v zemědělství (1,</w:t>
      </w:r>
      <w:r>
        <w:rPr>
          <w:rFonts w:eastAsia="TT77Do00"/>
        </w:rPr>
        <w:t>6</w:t>
      </w:r>
      <w:r w:rsidRPr="00282193">
        <w:rPr>
          <w:rFonts w:eastAsia="TT77Do00"/>
        </w:rPr>
        <w:t xml:space="preserve"> %). </w:t>
      </w:r>
    </w:p>
    <w:p w:rsidR="0001301B" w:rsidRDefault="0001301B" w:rsidP="000B3B9C">
      <w:pPr>
        <w:pStyle w:val="Titulek"/>
      </w:pPr>
      <w:bookmarkStart w:id="410" w:name="_Ref318795296"/>
      <w:bookmarkStart w:id="411" w:name="_Toc321406431"/>
      <w:bookmarkStart w:id="412" w:name="_Ref465172124"/>
      <w:bookmarkStart w:id="413" w:name="_Toc488234388"/>
      <w:r w:rsidRPr="007A2665">
        <w:t xml:space="preserve">Graf </w:t>
      </w:r>
      <w:r w:rsidR="008965FE">
        <w:fldChar w:fldCharType="begin"/>
      </w:r>
      <w:r w:rsidR="00FD378B">
        <w:instrText xml:space="preserve"> STYLEREF 1 \s </w:instrText>
      </w:r>
      <w:r w:rsidR="008965FE">
        <w:fldChar w:fldCharType="separate"/>
      </w:r>
      <w:r w:rsidR="00CB29BD">
        <w:t>17</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bookmarkEnd w:id="410"/>
      <w:r>
        <w:t xml:space="preserve">: </w:t>
      </w:r>
      <w:r w:rsidRPr="007A2665">
        <w:t>Pravidelně zaměs</w:t>
      </w:r>
      <w:r w:rsidR="00930C35">
        <w:t>tnaní pracující v zemědělství po</w:t>
      </w:r>
      <w:r w:rsidRPr="007A2665">
        <w:t>dle věk</w:t>
      </w:r>
      <w:r>
        <w:t>u v roce 2014 (v %)</w:t>
      </w:r>
      <w:bookmarkEnd w:id="411"/>
      <w:bookmarkEnd w:id="412"/>
      <w:bookmarkEnd w:id="413"/>
    </w:p>
    <w:p w:rsidR="0001301B" w:rsidRDefault="0001301B" w:rsidP="002C40B2">
      <w:pPr>
        <w:spacing w:after="0"/>
      </w:pPr>
      <w:r w:rsidRPr="00493AB7">
        <w:rPr>
          <w:noProof/>
        </w:rPr>
        <w:drawing>
          <wp:inline distT="0" distB="0" distL="0" distR="0">
            <wp:extent cx="5591175" cy="2466975"/>
            <wp:effectExtent l="0" t="0" r="9525" b="9525"/>
            <wp:docPr id="36" name="Graf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01301B" w:rsidRPr="00930C35" w:rsidRDefault="0001301B" w:rsidP="002C40B2">
      <w:pPr>
        <w:pStyle w:val="poznzdroj"/>
        <w:spacing w:line="276" w:lineRule="auto"/>
        <w:rPr>
          <w:iCs/>
        </w:rPr>
      </w:pPr>
      <w:r w:rsidRPr="00930C35">
        <w:rPr>
          <w:iCs/>
        </w:rPr>
        <w:t>Zdroj: ČSÚ – Statistická ročenka Karlovarského kraje 2015</w:t>
      </w:r>
      <w:r w:rsidR="00930C35" w:rsidRPr="00930C35">
        <w:rPr>
          <w:iCs/>
        </w:rPr>
        <w:t>,</w:t>
      </w:r>
      <w:r w:rsidRPr="00930C35">
        <w:rPr>
          <w:iCs/>
        </w:rPr>
        <w:t xml:space="preserve"> Zemědělství, vlastní výpočty</w:t>
      </w:r>
    </w:p>
    <w:p w:rsidR="0001301B" w:rsidRDefault="0001301B" w:rsidP="002C40B2">
      <w:r>
        <w:t>Věková struktura pracovníků v zemědělství je v </w:t>
      </w:r>
      <w:r w:rsidR="00EE6A9C">
        <w:t>KK</w:t>
      </w:r>
      <w:r>
        <w:t xml:space="preserve"> v porovnání s ostatními vybranými regiony srovnatelná (</w:t>
      </w:r>
      <w:r w:rsidR="00536ECC">
        <w:t xml:space="preserve">viz </w:t>
      </w:r>
      <w:r w:rsidR="008965FE">
        <w:fldChar w:fldCharType="begin"/>
      </w:r>
      <w:r w:rsidR="00536ECC">
        <w:instrText xml:space="preserve"> REF _Ref318795296 \h </w:instrText>
      </w:r>
      <w:r w:rsidR="008965FE">
        <w:fldChar w:fldCharType="separate"/>
      </w:r>
      <w:r w:rsidR="00536ECC">
        <w:t>g</w:t>
      </w:r>
      <w:r w:rsidR="00536ECC" w:rsidRPr="007A2665">
        <w:t xml:space="preserve">raf </w:t>
      </w:r>
      <w:r w:rsidR="00536ECC">
        <w:t>17.2</w:t>
      </w:r>
      <w:r w:rsidR="008965FE">
        <w:fldChar w:fldCharType="end"/>
      </w:r>
      <w:r w:rsidR="00536ECC">
        <w:t>)</w:t>
      </w:r>
      <w:r>
        <w:t xml:space="preserve">. Nejvyšší zastoupení zaměstnaných pracujících ve věku do 34 let je v Pardubickém kraji, ve věkové kategorii 35 – 54 na Vysočině a v kategorii 55 a výše ve Zlínském kraji. </w:t>
      </w:r>
    </w:p>
    <w:p w:rsidR="0001301B" w:rsidRDefault="0001301B" w:rsidP="002C40B2">
      <w:r>
        <w:t xml:space="preserve">Kromě Pardubického kraje je zemědělská produkce ve vybraných krajích stejně jako v průměru v ČR zaměřena především na rostlinnou výrobu (viz </w:t>
      </w:r>
      <w:r w:rsidR="004F2330">
        <w:fldChar w:fldCharType="begin"/>
      </w:r>
      <w:r w:rsidR="004F2330">
        <w:instrText xml:space="preserve"> REF _Ref465173306 \h  \* MERGEFORMAT </w:instrText>
      </w:r>
      <w:r w:rsidR="004F2330">
        <w:fldChar w:fldCharType="separate"/>
      </w:r>
      <w:r w:rsidR="00536ECC">
        <w:rPr>
          <w:noProof/>
        </w:rPr>
        <w:t>g</w:t>
      </w:r>
      <w:r w:rsidR="00CB29BD" w:rsidRPr="007A2665">
        <w:rPr>
          <w:noProof/>
        </w:rPr>
        <w:t>raf</w:t>
      </w:r>
      <w:r w:rsidR="00CB29BD" w:rsidRPr="007A2665">
        <w:t xml:space="preserve"> </w:t>
      </w:r>
      <w:r w:rsidR="00CB29BD">
        <w:rPr>
          <w:noProof/>
        </w:rPr>
        <w:t>17</w:t>
      </w:r>
      <w:r w:rsidR="00CB29BD">
        <w:t>.3</w:t>
      </w:r>
      <w:r w:rsidR="004F2330">
        <w:fldChar w:fldCharType="end"/>
      </w:r>
      <w:r>
        <w:t>).</w:t>
      </w:r>
    </w:p>
    <w:p w:rsidR="00E079F9" w:rsidRDefault="00E079F9">
      <w:pPr>
        <w:spacing w:after="160" w:line="259" w:lineRule="auto"/>
        <w:jc w:val="left"/>
        <w:rPr>
          <w:rFonts w:eastAsia="Calibri"/>
          <w:b/>
          <w:bCs/>
          <w:szCs w:val="20"/>
          <w:lang w:eastAsia="en-US"/>
        </w:rPr>
      </w:pPr>
      <w:bookmarkStart w:id="414" w:name="_Ref465173306"/>
      <w:bookmarkStart w:id="415" w:name="_Ref318801223"/>
      <w:bookmarkStart w:id="416" w:name="_Toc321406432"/>
      <w:r>
        <w:br w:type="page"/>
      </w:r>
    </w:p>
    <w:p w:rsidR="0001301B" w:rsidRPr="00930C35" w:rsidRDefault="0001301B" w:rsidP="000B3B9C">
      <w:pPr>
        <w:pStyle w:val="Titulek"/>
      </w:pPr>
      <w:bookmarkStart w:id="417" w:name="_Toc488234389"/>
      <w:r w:rsidRPr="007A2665">
        <w:lastRenderedPageBreak/>
        <w:t xml:space="preserve">Graf </w:t>
      </w:r>
      <w:r w:rsidR="008965FE">
        <w:fldChar w:fldCharType="begin"/>
      </w:r>
      <w:r w:rsidR="00FD378B">
        <w:instrText xml:space="preserve"> STYLEREF 1 \s </w:instrText>
      </w:r>
      <w:r w:rsidR="008965FE">
        <w:fldChar w:fldCharType="separate"/>
      </w:r>
      <w:r w:rsidR="00CB29BD">
        <w:t>17</w:t>
      </w:r>
      <w:r w:rsidR="008965FE">
        <w:fldChar w:fldCharType="end"/>
      </w:r>
      <w:r w:rsidR="00FD378B">
        <w:t>.</w:t>
      </w:r>
      <w:r w:rsidR="008965FE">
        <w:fldChar w:fldCharType="begin"/>
      </w:r>
      <w:r w:rsidR="00FD378B">
        <w:instrText xml:space="preserve"> SEQ Graf \* ARABIC \s 1 </w:instrText>
      </w:r>
      <w:r w:rsidR="008965FE">
        <w:fldChar w:fldCharType="separate"/>
      </w:r>
      <w:r w:rsidR="00CB29BD">
        <w:t>3</w:t>
      </w:r>
      <w:r w:rsidR="008965FE">
        <w:fldChar w:fldCharType="end"/>
      </w:r>
      <w:bookmarkEnd w:id="414"/>
      <w:bookmarkEnd w:id="415"/>
      <w:r>
        <w:t>: Ze</w:t>
      </w:r>
      <w:r w:rsidRPr="00EB357E">
        <w:t>mě</w:t>
      </w:r>
      <w:r w:rsidR="00930C35">
        <w:t xml:space="preserve">dělská produkce </w:t>
      </w:r>
      <w:bookmarkEnd w:id="416"/>
      <w:r>
        <w:t>v roce 2014 (v mil. Kč)</w:t>
      </w:r>
      <w:bookmarkEnd w:id="417"/>
    </w:p>
    <w:p w:rsidR="0001301B" w:rsidRPr="00930C35" w:rsidRDefault="00050F78" w:rsidP="002C40B2">
      <w:pPr>
        <w:pStyle w:val="poznzdroj"/>
        <w:spacing w:before="240" w:line="276" w:lineRule="auto"/>
      </w:pPr>
      <w:r w:rsidRPr="00493AB7">
        <w:rPr>
          <w:noProof/>
        </w:rPr>
        <w:drawing>
          <wp:anchor distT="0" distB="0" distL="114300" distR="114300" simplePos="0" relativeHeight="251674624" behindDoc="0" locked="0" layoutInCell="1" allowOverlap="1">
            <wp:simplePos x="0" y="0"/>
            <wp:positionH relativeFrom="column">
              <wp:posOffset>30480</wp:posOffset>
            </wp:positionH>
            <wp:positionV relativeFrom="paragraph">
              <wp:posOffset>78740</wp:posOffset>
            </wp:positionV>
            <wp:extent cx="5781675" cy="2590800"/>
            <wp:effectExtent l="0" t="0" r="9525" b="19050"/>
            <wp:wrapTopAndBottom/>
            <wp:docPr id="35" name="Graf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anchor>
        </w:drawing>
      </w:r>
      <w:r w:rsidR="0001301B" w:rsidRPr="00930C35">
        <w:t>Zdroj: ČSÚ – Statistická ročenka Karlovarského kraje 2015</w:t>
      </w:r>
      <w:r w:rsidR="00930C35" w:rsidRPr="00930C35">
        <w:t>,</w:t>
      </w:r>
      <w:r w:rsidR="0001301B" w:rsidRPr="00930C35">
        <w:t xml:space="preserve"> Zemědělství, vlastní výpočty</w:t>
      </w:r>
    </w:p>
    <w:p w:rsidR="0001301B" w:rsidRDefault="0001301B" w:rsidP="002C40B2">
      <w:pPr>
        <w:rPr>
          <w:rFonts w:eastAsia="TT77Do00"/>
        </w:rPr>
      </w:pPr>
      <w:r w:rsidRPr="00A20E8D">
        <w:t xml:space="preserve">V rámci rostlinné výroby </w:t>
      </w:r>
      <w:r>
        <w:t xml:space="preserve">Karlovarského </w:t>
      </w:r>
      <w:r w:rsidRPr="00A20E8D">
        <w:t>kraje zabíraly v roce 2014, podobně jako v ostatních regionech, největší část osevní plochy obiloviny. Živočišná výroba se koncentrovala na chov drůbeže, skotu a ovcí. V porovnání s rokem 2010 došlo k výraznému poklesu intenzity chovu prasat.</w:t>
      </w:r>
      <w:r w:rsidRPr="009B7CDD">
        <w:rPr>
          <w:rFonts w:eastAsia="TT77Do00"/>
        </w:rPr>
        <w:t xml:space="preserve"> </w:t>
      </w:r>
    </w:p>
    <w:p w:rsidR="0001301B" w:rsidRPr="00930C35" w:rsidRDefault="0001301B" w:rsidP="002C40B2">
      <w:pPr>
        <w:pStyle w:val="Nadpis2"/>
      </w:pPr>
      <w:r w:rsidRPr="00930C35">
        <w:t>Lesnictví</w:t>
      </w:r>
    </w:p>
    <w:p w:rsidR="0001301B" w:rsidRDefault="0001301B" w:rsidP="002C40B2">
      <w:r w:rsidRPr="001071D6">
        <w:t xml:space="preserve">Karlovarský kraj </w:t>
      </w:r>
      <w:r>
        <w:t xml:space="preserve">má po Libereckém kraji </w:t>
      </w:r>
      <w:r w:rsidRPr="001071D6">
        <w:t xml:space="preserve">druhou nejvyšší lesnatost </w:t>
      </w:r>
      <w:r>
        <w:t>v</w:t>
      </w:r>
      <w:r w:rsidR="00EE6A9C">
        <w:t> </w:t>
      </w:r>
      <w:r>
        <w:t>ČR</w:t>
      </w:r>
      <w:r w:rsidR="00EE6A9C">
        <w:t xml:space="preserve"> </w:t>
      </w:r>
      <w:r w:rsidR="00EE6A9C" w:rsidRPr="001071D6">
        <w:t>(43,5 %)</w:t>
      </w:r>
      <w:r>
        <w:t xml:space="preserve"> (viz </w:t>
      </w:r>
      <w:r w:rsidR="004F2330">
        <w:fldChar w:fldCharType="begin"/>
      </w:r>
      <w:r w:rsidR="004F2330">
        <w:instrText xml:space="preserve"> REF _Ref465242795 \h  \* MERGEFORMAT </w:instrText>
      </w:r>
      <w:r w:rsidR="004F2330">
        <w:fldChar w:fldCharType="separate"/>
      </w:r>
      <w:r w:rsidR="00536ECC">
        <w:t>g</w:t>
      </w:r>
      <w:r w:rsidR="00CB29BD">
        <w:t xml:space="preserve">raf </w:t>
      </w:r>
      <w:r w:rsidR="00CB29BD">
        <w:rPr>
          <w:noProof/>
        </w:rPr>
        <w:t>17</w:t>
      </w:r>
      <w:r w:rsidR="00CB29BD">
        <w:t>.4</w:t>
      </w:r>
      <w:r w:rsidR="004F2330">
        <w:fldChar w:fldCharType="end"/>
      </w:r>
      <w:r>
        <w:t xml:space="preserve">). </w:t>
      </w:r>
      <w:r w:rsidRPr="00674231">
        <w:t xml:space="preserve">Vysoká lesnatost odráží přírodní podmínky a koresponduje s relativně nízkým podílem zemědělské půdy. </w:t>
      </w:r>
      <w:r>
        <w:t>Z lesních pozemků tvoří hospodářské lesy s primární produkční funkcí 48,5 %, lesy zvláštního určení 2,1 % a lesy ochranné 49,4 % (</w:t>
      </w:r>
      <w:r w:rsidRPr="00DA4247">
        <w:t>Zpráva o životním prostředí Karlovarského kraje 2014</w:t>
      </w:r>
      <w:r>
        <w:t xml:space="preserve">, s. 13). </w:t>
      </w:r>
      <w:r w:rsidRPr="00674231">
        <w:t>Nejvyšší lesnatost se vyskytuje v ORP Kraslice (69,4 %) a Ostrov (61,0 %). Nejmenší lesnatost je v ORP Cheb (27,5 %). S výjimkou ORP Cheb jsou všechny ORP kraje z hlediska lesnatosti v porovnání s průměrem ČR nadprůměrné.</w:t>
      </w:r>
      <w:r>
        <w:t xml:space="preserve"> </w:t>
      </w:r>
      <w:r w:rsidRPr="00674231">
        <w:t xml:space="preserve">Poměrně vysoké zastoupení lesů zvláštního určení </w:t>
      </w:r>
      <w:r>
        <w:t>je významné zejména</w:t>
      </w:r>
      <w:r w:rsidRPr="00674231">
        <w:t xml:space="preserve"> z hlediska mimoprodukčních funkcí lesa. Jejich nejvýznamnější soustředění lze nalézt v zázemí lázeňských měst Mariánské Lázně, Karlovy Vary a Jáchymov a specificky i ve vojenském újezdu Hradiště.</w:t>
      </w:r>
      <w:r>
        <w:t xml:space="preserve"> Naopak hospodářské lesy </w:t>
      </w:r>
      <w:r w:rsidRPr="00674231">
        <w:t xml:space="preserve">jsou </w:t>
      </w:r>
      <w:r>
        <w:t>v Krušných horách (ORP Kraslice,</w:t>
      </w:r>
      <w:r w:rsidRPr="00674231">
        <w:t xml:space="preserve"> Karlovy Vary a Ostrov), </w:t>
      </w:r>
      <w:r>
        <w:t xml:space="preserve">ve </w:t>
      </w:r>
      <w:r w:rsidRPr="00674231">
        <w:t xml:space="preserve">Slavkovském lese (ORP Sokolov), </w:t>
      </w:r>
      <w:r>
        <w:t>v Českém</w:t>
      </w:r>
      <w:r w:rsidRPr="00674231">
        <w:t xml:space="preserve"> les</w:t>
      </w:r>
      <w:r>
        <w:t>e</w:t>
      </w:r>
      <w:r w:rsidRPr="00674231">
        <w:t xml:space="preserve"> (ORP Mariánské Lázně), ale i na Tepelsku,</w:t>
      </w:r>
      <w:r>
        <w:t xml:space="preserve"> </w:t>
      </w:r>
      <w:r w:rsidRPr="00674231">
        <w:t>Toužimsku,</w:t>
      </w:r>
      <w:r>
        <w:t xml:space="preserve"> </w:t>
      </w:r>
      <w:r w:rsidRPr="00674231">
        <w:t>Bochovsku a Žluticku.</w:t>
      </w:r>
      <w:r>
        <w:t xml:space="preserve"> (ÚAP 2015)</w:t>
      </w:r>
    </w:p>
    <w:p w:rsidR="0001301B" w:rsidRDefault="0001301B" w:rsidP="000B3B9C">
      <w:pPr>
        <w:pStyle w:val="Titulek"/>
      </w:pPr>
      <w:bookmarkStart w:id="418" w:name="_Ref465242795"/>
      <w:bookmarkStart w:id="419" w:name="_Toc321406433"/>
      <w:bookmarkStart w:id="420" w:name="_Toc488234390"/>
      <w:r>
        <w:lastRenderedPageBreak/>
        <w:t xml:space="preserve">Graf </w:t>
      </w:r>
      <w:r w:rsidR="008965FE">
        <w:fldChar w:fldCharType="begin"/>
      </w:r>
      <w:r w:rsidR="00FD378B">
        <w:instrText xml:space="preserve"> STYLEREF 1 \s </w:instrText>
      </w:r>
      <w:r w:rsidR="008965FE">
        <w:fldChar w:fldCharType="separate"/>
      </w:r>
      <w:r w:rsidR="00CB29BD">
        <w:t>17</w:t>
      </w:r>
      <w:r w:rsidR="008965FE">
        <w:fldChar w:fldCharType="end"/>
      </w:r>
      <w:r w:rsidR="00FD378B">
        <w:t>.</w:t>
      </w:r>
      <w:r w:rsidR="008965FE">
        <w:fldChar w:fldCharType="begin"/>
      </w:r>
      <w:r w:rsidR="00FD378B">
        <w:instrText xml:space="preserve"> SEQ Graf \* ARABIC \s 1 </w:instrText>
      </w:r>
      <w:r w:rsidR="008965FE">
        <w:fldChar w:fldCharType="separate"/>
      </w:r>
      <w:r w:rsidR="00CB29BD">
        <w:t>4</w:t>
      </w:r>
      <w:r w:rsidR="008965FE">
        <w:fldChar w:fldCharType="end"/>
      </w:r>
      <w:bookmarkEnd w:id="418"/>
      <w:r>
        <w:t xml:space="preserve">: Podíl lesních pozemků na rozloze kraje </w:t>
      </w:r>
      <w:bookmarkEnd w:id="419"/>
      <w:r>
        <w:t>v roce 2014</w:t>
      </w:r>
      <w:bookmarkEnd w:id="420"/>
    </w:p>
    <w:p w:rsidR="00DA4247" w:rsidRDefault="00DA4247" w:rsidP="002C40B2">
      <w:pPr>
        <w:spacing w:after="0"/>
      </w:pPr>
      <w:r>
        <w:rPr>
          <w:noProof/>
        </w:rPr>
        <w:drawing>
          <wp:inline distT="0" distB="0" distL="0" distR="0">
            <wp:extent cx="5660414" cy="2568875"/>
            <wp:effectExtent l="19050" t="19050" r="16486" b="21925"/>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666740" cy="2571746"/>
                    </a:xfrm>
                    <a:prstGeom prst="rect">
                      <a:avLst/>
                    </a:prstGeom>
                    <a:noFill/>
                    <a:ln>
                      <a:solidFill>
                        <a:schemeClr val="bg1">
                          <a:lumMod val="50000"/>
                        </a:schemeClr>
                      </a:solidFill>
                    </a:ln>
                  </pic:spPr>
                </pic:pic>
              </a:graphicData>
            </a:graphic>
          </wp:inline>
        </w:drawing>
      </w:r>
    </w:p>
    <w:p w:rsidR="0001301B" w:rsidRPr="00930C35" w:rsidRDefault="0001301B" w:rsidP="002C40B2">
      <w:pPr>
        <w:pStyle w:val="poznzdroj"/>
        <w:spacing w:line="276" w:lineRule="auto"/>
      </w:pPr>
      <w:r w:rsidRPr="00930C35">
        <w:t xml:space="preserve">Zdroj: </w:t>
      </w:r>
      <w:r w:rsidR="00DA4247" w:rsidRPr="00930C35">
        <w:t xml:space="preserve">ČSÚ – </w:t>
      </w:r>
      <w:r w:rsidRPr="00930C35">
        <w:t>Statistická ročenka Karlovarského kraje 2015, vlastní výpočty</w:t>
      </w:r>
    </w:p>
    <w:p w:rsidR="0001301B" w:rsidRDefault="0001301B" w:rsidP="000302A9">
      <w:pPr>
        <w:rPr>
          <w:rFonts w:cs="Arial"/>
        </w:rPr>
      </w:pPr>
      <w:r>
        <w:t xml:space="preserve">Vzhledem k předpokládanému útlumu zemědělské činnosti a ukončování těžby nerostných surovin se dá předpokládat další zvýšení rozlohy lesních pozemků a to zalesňováním (z důvodů vyšší odolnosti zejména listnatými stromy) a lesnickou rekultivací. </w:t>
      </w:r>
    </w:p>
    <w:p w:rsidR="0001301B" w:rsidRDefault="0001301B" w:rsidP="000302A9">
      <w:r w:rsidRPr="00072758">
        <w:t>Významným specifikem Karlovarského kraje je velmi silný vliv antropické činnosti na zdravotní stav lesů. Imise byly primárním činitelem, který způsobil rozpad lesních ekosystémů ve vrcholových částech Krušných hor.</w:t>
      </w:r>
      <w:r>
        <w:t xml:space="preserve"> </w:t>
      </w:r>
      <w:r w:rsidRPr="00072758">
        <w:t>Vysoké imisní zatížení a jeho důsledky byly důvodem pro vznik porostů náhradních dřevin, které by měly odolávat imisnímu zatížení a plnit funkce lesa. Cílem zakládání těchto porostů bylo zachování kontinuity lesních porostů plnících alespoň nejdůležitější ekologické funkce v dané oblasti (funkce půdoochranná a vodohospodářská).</w:t>
      </w:r>
      <w:r>
        <w:t xml:space="preserve"> V současné době porosty náhradních dřevin odumírají z důvodu napadení kloubnatkou smrkovou, což bude mít za následek postupné nahrazení těchto porostů stanovištně vhodnými druhy dřevin. </w:t>
      </w:r>
    </w:p>
    <w:p w:rsidR="0001301B" w:rsidRDefault="0001301B" w:rsidP="000302A9">
      <w:r w:rsidRPr="00072758">
        <w:t>Z</w:t>
      </w:r>
      <w:r>
        <w:t xml:space="preserve"> pohledu </w:t>
      </w:r>
      <w:r w:rsidRPr="00072758">
        <w:t>věkové struktury</w:t>
      </w:r>
      <w:r>
        <w:t xml:space="preserve"> zde</w:t>
      </w:r>
      <w:r w:rsidRPr="00072758">
        <w:t xml:space="preserve"> převládají porosty v mýtním věku</w:t>
      </w:r>
      <w:r>
        <w:t xml:space="preserve"> a jsou zde zastoupeny</w:t>
      </w:r>
      <w:r w:rsidRPr="00072758">
        <w:t xml:space="preserve"> oproti celorepublikovému průměru (73,8%) </w:t>
      </w:r>
      <w:r>
        <w:t xml:space="preserve">více </w:t>
      </w:r>
      <w:r w:rsidRPr="00072758">
        <w:t>jehličnat</w:t>
      </w:r>
      <w:r>
        <w:t xml:space="preserve">é dřeviny (z 82,3 %). </w:t>
      </w:r>
    </w:p>
    <w:p w:rsidR="0001301B" w:rsidRPr="00072758" w:rsidRDefault="0001301B" w:rsidP="000302A9">
      <w:r>
        <w:t xml:space="preserve">Z hlediska vlastnictví spravují největší plochu Lesy ČR a Vojenské lesy a statky ČR. </w:t>
      </w:r>
      <w:r w:rsidRPr="00072758">
        <w:t xml:space="preserve">Přehled struktury vlastnictví </w:t>
      </w:r>
      <w:r>
        <w:t xml:space="preserve">lesních pozemků v Karlovarském kraji </w:t>
      </w:r>
      <w:r w:rsidRPr="00072758">
        <w:t>udává</w:t>
      </w:r>
      <w:r>
        <w:t xml:space="preserve"> </w:t>
      </w:r>
      <w:r w:rsidR="004F2330">
        <w:fldChar w:fldCharType="begin"/>
      </w:r>
      <w:r w:rsidR="004F2330">
        <w:instrText xml:space="preserve"> REF _Ref465248402 \h  \* MERGEFORMAT </w:instrText>
      </w:r>
      <w:r w:rsidR="004F2330">
        <w:fldChar w:fldCharType="separate"/>
      </w:r>
      <w:r w:rsidR="00EB0944">
        <w:t>t</w:t>
      </w:r>
      <w:r w:rsidR="00CB29BD">
        <w:t xml:space="preserve">abulka </w:t>
      </w:r>
      <w:r w:rsidR="00CB29BD">
        <w:rPr>
          <w:noProof/>
        </w:rPr>
        <w:t>17</w:t>
      </w:r>
      <w:r w:rsidR="00CB29BD">
        <w:t>.3</w:t>
      </w:r>
      <w:r w:rsidR="004F2330">
        <w:fldChar w:fldCharType="end"/>
      </w:r>
      <w:r w:rsidRPr="00072758">
        <w:t>.</w:t>
      </w:r>
    </w:p>
    <w:p w:rsidR="000302A9" w:rsidRDefault="0001301B" w:rsidP="000B3B9C">
      <w:pPr>
        <w:pStyle w:val="Titulek"/>
        <w:rPr>
          <w:rFonts w:eastAsia="Times New Roman" w:cs="Arial"/>
        </w:rPr>
      </w:pPr>
      <w:bookmarkStart w:id="421" w:name="_Ref465248402"/>
      <w:bookmarkStart w:id="422" w:name="_Toc488233517"/>
      <w:r>
        <w:t xml:space="preserve">Tabulka </w:t>
      </w:r>
      <w:r w:rsidR="008965FE">
        <w:fldChar w:fldCharType="begin"/>
      </w:r>
      <w:r w:rsidR="00B33DFE">
        <w:instrText xml:space="preserve"> STYLEREF 1 \s </w:instrText>
      </w:r>
      <w:r w:rsidR="008965FE">
        <w:fldChar w:fldCharType="separate"/>
      </w:r>
      <w:r w:rsidR="00CB29BD">
        <w:t>17</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bookmarkEnd w:id="421"/>
      <w:r>
        <w:t xml:space="preserve">: Přehled vlastnictví lesů v Karlovarském kraji </w:t>
      </w:r>
      <w:r w:rsidRPr="00072758">
        <w:rPr>
          <w:rFonts w:eastAsia="Times New Roman" w:cs="Arial"/>
        </w:rPr>
        <w:t>(stav k roku 2014)</w:t>
      </w:r>
      <w:bookmarkEnd w:id="422"/>
    </w:p>
    <w:tbl>
      <w:tblPr>
        <w:tblW w:w="5000" w:type="pct"/>
        <w:tblCellMar>
          <w:left w:w="70" w:type="dxa"/>
          <w:right w:w="70" w:type="dxa"/>
        </w:tblCellMar>
        <w:tblLook w:val="04A0" w:firstRow="1" w:lastRow="0" w:firstColumn="1" w:lastColumn="0" w:noHBand="0" w:noVBand="1"/>
      </w:tblPr>
      <w:tblGrid>
        <w:gridCol w:w="2260"/>
        <w:gridCol w:w="2237"/>
        <w:gridCol w:w="2401"/>
        <w:gridCol w:w="2314"/>
      </w:tblGrid>
      <w:tr w:rsidR="000302A9" w:rsidRPr="000302A9" w:rsidTr="00FB0342">
        <w:trPr>
          <w:trHeight w:val="315"/>
        </w:trPr>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b/>
                <w:bCs/>
                <w:color w:val="000000"/>
                <w:sz w:val="20"/>
                <w:szCs w:val="20"/>
              </w:rPr>
            </w:pPr>
            <w:r w:rsidRPr="000302A9">
              <w:rPr>
                <w:rFonts w:cs="Times New Roman"/>
                <w:b/>
                <w:bCs/>
                <w:color w:val="000000"/>
                <w:sz w:val="20"/>
                <w:szCs w:val="20"/>
              </w:rPr>
              <w:t>Druh vlastnictví</w:t>
            </w:r>
          </w:p>
        </w:tc>
        <w:tc>
          <w:tcPr>
            <w:tcW w:w="1214" w:type="pct"/>
            <w:tcBorders>
              <w:top w:val="single" w:sz="8" w:space="0" w:color="auto"/>
              <w:left w:val="nil"/>
              <w:bottom w:val="single" w:sz="8" w:space="0" w:color="auto"/>
              <w:right w:val="single" w:sz="8" w:space="0" w:color="auto"/>
            </w:tcBorders>
            <w:shd w:val="clear" w:color="auto" w:fill="auto"/>
            <w:noWrap/>
            <w:vAlign w:val="center"/>
            <w:hideMark/>
          </w:tcPr>
          <w:p w:rsidR="000302A9" w:rsidRPr="000302A9" w:rsidRDefault="00FB0342" w:rsidP="000302A9">
            <w:pPr>
              <w:spacing w:after="0" w:line="240" w:lineRule="auto"/>
              <w:jc w:val="left"/>
              <w:rPr>
                <w:rFonts w:cs="Times New Roman"/>
                <w:b/>
                <w:bCs/>
                <w:color w:val="000000"/>
                <w:sz w:val="20"/>
                <w:szCs w:val="20"/>
              </w:rPr>
            </w:pPr>
            <w:r>
              <w:rPr>
                <w:rFonts w:cs="Times New Roman"/>
                <w:b/>
                <w:bCs/>
                <w:color w:val="000000"/>
                <w:sz w:val="20"/>
                <w:szCs w:val="20"/>
              </w:rPr>
              <w:t>P</w:t>
            </w:r>
            <w:r w:rsidR="000302A9" w:rsidRPr="000302A9">
              <w:rPr>
                <w:rFonts w:cs="Times New Roman"/>
                <w:b/>
                <w:bCs/>
                <w:color w:val="000000"/>
                <w:sz w:val="20"/>
                <w:szCs w:val="20"/>
              </w:rPr>
              <w:t>orostní plocha v ha</w:t>
            </w:r>
          </w:p>
        </w:tc>
        <w:tc>
          <w:tcPr>
            <w:tcW w:w="1303" w:type="pct"/>
            <w:tcBorders>
              <w:top w:val="single" w:sz="8" w:space="0" w:color="auto"/>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b/>
                <w:bCs/>
                <w:color w:val="000000"/>
                <w:sz w:val="20"/>
                <w:szCs w:val="20"/>
              </w:rPr>
            </w:pPr>
            <w:r w:rsidRPr="000302A9">
              <w:rPr>
                <w:rFonts w:cs="Times New Roman"/>
                <w:b/>
                <w:bCs/>
                <w:color w:val="000000"/>
                <w:sz w:val="20"/>
                <w:szCs w:val="20"/>
              </w:rPr>
              <w:t>Druh vlastnictví</w:t>
            </w:r>
          </w:p>
        </w:tc>
        <w:tc>
          <w:tcPr>
            <w:tcW w:w="1257" w:type="pct"/>
            <w:tcBorders>
              <w:top w:val="single" w:sz="8" w:space="0" w:color="auto"/>
              <w:left w:val="nil"/>
              <w:bottom w:val="single" w:sz="8" w:space="0" w:color="auto"/>
              <w:right w:val="single" w:sz="8" w:space="0" w:color="auto"/>
            </w:tcBorders>
            <w:shd w:val="clear" w:color="auto" w:fill="auto"/>
            <w:noWrap/>
            <w:vAlign w:val="center"/>
            <w:hideMark/>
          </w:tcPr>
          <w:p w:rsidR="000302A9" w:rsidRPr="000302A9" w:rsidRDefault="00FB0342" w:rsidP="000302A9">
            <w:pPr>
              <w:spacing w:after="0" w:line="240" w:lineRule="auto"/>
              <w:jc w:val="left"/>
              <w:rPr>
                <w:rFonts w:cs="Times New Roman"/>
                <w:b/>
                <w:bCs/>
                <w:color w:val="000000"/>
                <w:sz w:val="20"/>
                <w:szCs w:val="20"/>
              </w:rPr>
            </w:pPr>
            <w:r>
              <w:rPr>
                <w:rFonts w:cs="Times New Roman"/>
                <w:b/>
                <w:bCs/>
                <w:color w:val="000000"/>
                <w:sz w:val="20"/>
                <w:szCs w:val="20"/>
              </w:rPr>
              <w:t>P</w:t>
            </w:r>
            <w:r w:rsidR="000302A9" w:rsidRPr="000302A9">
              <w:rPr>
                <w:rFonts w:cs="Times New Roman"/>
                <w:b/>
                <w:bCs/>
                <w:color w:val="000000"/>
                <w:sz w:val="20"/>
                <w:szCs w:val="20"/>
              </w:rPr>
              <w:t>orostní plocha v ha</w:t>
            </w:r>
          </w:p>
        </w:tc>
      </w:tr>
      <w:tr w:rsidR="000302A9" w:rsidRPr="000302A9" w:rsidTr="00FB0342">
        <w:trPr>
          <w:trHeight w:val="315"/>
        </w:trPr>
        <w:tc>
          <w:tcPr>
            <w:tcW w:w="1227" w:type="pct"/>
            <w:tcBorders>
              <w:top w:val="nil"/>
              <w:left w:val="single" w:sz="8" w:space="0" w:color="auto"/>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Státní lesy - LČR</w:t>
            </w:r>
          </w:p>
        </w:tc>
        <w:tc>
          <w:tcPr>
            <w:tcW w:w="1214"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​98493,24</w:t>
            </w:r>
          </w:p>
        </w:tc>
        <w:tc>
          <w:tcPr>
            <w:tcW w:w="1303"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Právnické osoby</w:t>
            </w:r>
          </w:p>
        </w:tc>
        <w:tc>
          <w:tcPr>
            <w:tcW w:w="1257"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​1006,61</w:t>
            </w:r>
          </w:p>
        </w:tc>
      </w:tr>
      <w:tr w:rsidR="000302A9" w:rsidRPr="000302A9" w:rsidTr="00FB0342">
        <w:trPr>
          <w:trHeight w:val="315"/>
        </w:trPr>
        <w:tc>
          <w:tcPr>
            <w:tcW w:w="1227" w:type="pct"/>
            <w:tcBorders>
              <w:top w:val="nil"/>
              <w:left w:val="single" w:sz="8" w:space="0" w:color="auto"/>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Státní lesy - VLS</w:t>
            </w:r>
          </w:p>
        </w:tc>
        <w:tc>
          <w:tcPr>
            <w:tcW w:w="1214"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​13241,90</w:t>
            </w:r>
          </w:p>
        </w:tc>
        <w:tc>
          <w:tcPr>
            <w:tcW w:w="1303"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Obecní a městské lesy</w:t>
            </w:r>
          </w:p>
        </w:tc>
        <w:tc>
          <w:tcPr>
            <w:tcW w:w="1257"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​24617,47</w:t>
            </w:r>
          </w:p>
        </w:tc>
      </w:tr>
      <w:tr w:rsidR="000302A9" w:rsidRPr="000302A9" w:rsidTr="00FB0342">
        <w:trPr>
          <w:trHeight w:val="315"/>
        </w:trPr>
        <w:tc>
          <w:tcPr>
            <w:tcW w:w="1227" w:type="pct"/>
            <w:tcBorders>
              <w:top w:val="nil"/>
              <w:left w:val="single" w:sz="8" w:space="0" w:color="auto"/>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Státní lesy - ostatní</w:t>
            </w:r>
          </w:p>
        </w:tc>
        <w:tc>
          <w:tcPr>
            <w:tcW w:w="1214"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​468,81</w:t>
            </w:r>
          </w:p>
        </w:tc>
        <w:tc>
          <w:tcPr>
            <w:tcW w:w="1303"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Církevní lesy</w:t>
            </w:r>
          </w:p>
        </w:tc>
        <w:tc>
          <w:tcPr>
            <w:tcW w:w="1257"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​139,37</w:t>
            </w:r>
          </w:p>
        </w:tc>
      </w:tr>
      <w:tr w:rsidR="000302A9" w:rsidRPr="000302A9" w:rsidTr="00FB0342">
        <w:trPr>
          <w:trHeight w:val="315"/>
        </w:trPr>
        <w:tc>
          <w:tcPr>
            <w:tcW w:w="1227" w:type="pct"/>
            <w:tcBorders>
              <w:top w:val="nil"/>
              <w:left w:val="single" w:sz="8" w:space="0" w:color="auto"/>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Státní lesy - MŽP (AOPK)</w:t>
            </w:r>
          </w:p>
        </w:tc>
        <w:tc>
          <w:tcPr>
            <w:tcW w:w="1214"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​352,76</w:t>
            </w:r>
          </w:p>
        </w:tc>
        <w:tc>
          <w:tcPr>
            <w:tcW w:w="1303"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Fyzické osoby</w:t>
            </w:r>
          </w:p>
        </w:tc>
        <w:tc>
          <w:tcPr>
            <w:tcW w:w="1257"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​193,61</w:t>
            </w:r>
          </w:p>
        </w:tc>
      </w:tr>
      <w:tr w:rsidR="000302A9" w:rsidRPr="000302A9" w:rsidTr="00FB0342">
        <w:trPr>
          <w:trHeight w:val="315"/>
        </w:trPr>
        <w:tc>
          <w:tcPr>
            <w:tcW w:w="1227" w:type="pct"/>
            <w:tcBorders>
              <w:top w:val="nil"/>
              <w:left w:val="single" w:sz="8" w:space="0" w:color="auto"/>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Státní lesy - bývalé</w:t>
            </w:r>
          </w:p>
        </w:tc>
        <w:tc>
          <w:tcPr>
            <w:tcW w:w="1214"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​75,01</w:t>
            </w:r>
          </w:p>
        </w:tc>
        <w:tc>
          <w:tcPr>
            <w:tcW w:w="1303"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LHO a vlastnicky různorodé</w:t>
            </w:r>
          </w:p>
        </w:tc>
        <w:tc>
          <w:tcPr>
            <w:tcW w:w="1257" w:type="pct"/>
            <w:tcBorders>
              <w:top w:val="nil"/>
              <w:left w:val="nil"/>
              <w:bottom w:val="single" w:sz="8" w:space="0" w:color="auto"/>
              <w:right w:val="single" w:sz="8" w:space="0" w:color="auto"/>
            </w:tcBorders>
            <w:shd w:val="clear" w:color="auto" w:fill="auto"/>
            <w:noWrap/>
            <w:vAlign w:val="center"/>
            <w:hideMark/>
          </w:tcPr>
          <w:p w:rsidR="000302A9" w:rsidRPr="000302A9" w:rsidRDefault="000302A9" w:rsidP="000302A9">
            <w:pPr>
              <w:spacing w:after="0" w:line="240" w:lineRule="auto"/>
              <w:jc w:val="left"/>
              <w:rPr>
                <w:rFonts w:cs="Times New Roman"/>
                <w:color w:val="000000"/>
                <w:sz w:val="20"/>
                <w:szCs w:val="20"/>
              </w:rPr>
            </w:pPr>
            <w:r w:rsidRPr="000302A9">
              <w:rPr>
                <w:rFonts w:cs="Times New Roman"/>
                <w:color w:val="000000"/>
                <w:sz w:val="20"/>
                <w:szCs w:val="20"/>
              </w:rPr>
              <w:t>​1567,23</w:t>
            </w:r>
          </w:p>
        </w:tc>
      </w:tr>
    </w:tbl>
    <w:p w:rsidR="009E424D" w:rsidRDefault="002F684C">
      <w:pPr>
        <w:spacing w:before="120"/>
        <w:rPr>
          <w:rStyle w:val="Zdraznnjemn"/>
        </w:rPr>
      </w:pPr>
      <w:r w:rsidRPr="002F684C">
        <w:rPr>
          <w:rStyle w:val="Zdraznnjemn"/>
        </w:rPr>
        <w:t>Zdroj: Ústav pro hospodářskou úpravu lesů</w:t>
      </w:r>
    </w:p>
    <w:p w:rsidR="0001301B" w:rsidRDefault="0001301B" w:rsidP="002C40B2">
      <w:r>
        <w:lastRenderedPageBreak/>
        <w:t>L</w:t>
      </w:r>
      <w:r w:rsidRPr="00674231">
        <w:t xml:space="preserve">esnická produkce </w:t>
      </w:r>
      <w:r>
        <w:t xml:space="preserve">je </w:t>
      </w:r>
      <w:r w:rsidRPr="00674231">
        <w:t>významnou složkou hospodářství ČR</w:t>
      </w:r>
      <w:r>
        <w:t>. V roce 2014 se Karlovarský kraj podílel na těžbě a zpracování dřeva v ČR ze 4,5 %. Lesy jsou rovněž</w:t>
      </w:r>
      <w:r w:rsidRPr="00674231">
        <w:t xml:space="preserve"> důležitým krajinným prvkem pro rekreaci </w:t>
      </w:r>
      <w:r w:rsidR="00DA4247">
        <w:br/>
      </w:r>
      <w:r w:rsidRPr="00674231">
        <w:t>a cestovní ruch.</w:t>
      </w:r>
      <w:r>
        <w:t xml:space="preserve"> </w:t>
      </w:r>
    </w:p>
    <w:p w:rsidR="0001301B" w:rsidRPr="00DA4247" w:rsidRDefault="0001301B" w:rsidP="002C40B2">
      <w:pPr>
        <w:pStyle w:val="Nadpis2"/>
      </w:pPr>
      <w:r w:rsidRPr="00DA4247">
        <w:t>Myslivost</w:t>
      </w:r>
    </w:p>
    <w:p w:rsidR="0001301B" w:rsidRPr="00072758" w:rsidRDefault="0001301B" w:rsidP="002C40B2">
      <w:r w:rsidRPr="00072758">
        <w:t>V roce 201</w:t>
      </w:r>
      <w:r>
        <w:t>5</w:t>
      </w:r>
      <w:r w:rsidRPr="00072758">
        <w:t xml:space="preserve"> se prováděl výkon práva myslivosti na ploše o celkové výměře 25</w:t>
      </w:r>
      <w:r>
        <w:t>6</w:t>
      </w:r>
      <w:r w:rsidRPr="00072758">
        <w:t> </w:t>
      </w:r>
      <w:r>
        <w:t>754</w:t>
      </w:r>
      <w:r w:rsidRPr="00072758">
        <w:t xml:space="preserve"> ha, z čehož činila: zemědělská půda 109 9</w:t>
      </w:r>
      <w:r>
        <w:t>9</w:t>
      </w:r>
      <w:r w:rsidRPr="00072758">
        <w:t>5 ha, lesní půda 12</w:t>
      </w:r>
      <w:r>
        <w:t>9</w:t>
      </w:r>
      <w:r w:rsidRPr="00072758">
        <w:t> </w:t>
      </w:r>
      <w:r>
        <w:t>043</w:t>
      </w:r>
      <w:r w:rsidRPr="00072758">
        <w:t xml:space="preserve"> ha, vodní plocha 2 8</w:t>
      </w:r>
      <w:r>
        <w:t>79</w:t>
      </w:r>
      <w:r w:rsidRPr="00072758">
        <w:t xml:space="preserve"> ha, ostatní pozemky 14 </w:t>
      </w:r>
      <w:r>
        <w:t>837</w:t>
      </w:r>
      <w:r w:rsidRPr="00072758">
        <w:t xml:space="preserve"> ha.</w:t>
      </w:r>
      <w:r>
        <w:t xml:space="preserve"> </w:t>
      </w:r>
      <w:r w:rsidRPr="00072758">
        <w:t xml:space="preserve">Celkem je v Karlovarském kraji uznáno 188 honiteb, z toho je 15 obor a 1 samostatná bažantnice. Převážná část honiteb (147) je vlastních. Právo myslivosti vykonává 2 </w:t>
      </w:r>
      <w:r>
        <w:t>350</w:t>
      </w:r>
      <w:r w:rsidRPr="00072758">
        <w:t xml:space="preserve"> osob. Početní stav psů </w:t>
      </w:r>
      <w:r>
        <w:br/>
      </w:r>
      <w:r w:rsidRPr="00072758">
        <w:t>s loveckou upotřebitelností je 8</w:t>
      </w:r>
      <w:r>
        <w:t>66</w:t>
      </w:r>
      <w:r w:rsidRPr="00072758">
        <w:t xml:space="preserve">. Státní správa myslivosti je vykonávána Krajským úřadem Karlovarského kraje a 7 obecními úřady obcí s rozšířenou působností. V Karlovarském kraji působí </w:t>
      </w:r>
      <w:r>
        <w:br/>
      </w:r>
      <w:r w:rsidRPr="00072758">
        <w:t>3 okresní myslivecké spolky (Karlovy Vary, Sokolov, Cheb).</w:t>
      </w:r>
    </w:p>
    <w:p w:rsidR="0001301B" w:rsidRPr="00DA4247" w:rsidRDefault="0001301B" w:rsidP="002C40B2">
      <w:pPr>
        <w:pStyle w:val="Nadpis2"/>
      </w:pPr>
      <w:r w:rsidRPr="00DA4247">
        <w:t>Rybářství</w:t>
      </w:r>
    </w:p>
    <w:p w:rsidR="0001301B" w:rsidRPr="00072758" w:rsidRDefault="0001301B" w:rsidP="002C40B2">
      <w:r w:rsidRPr="00072758">
        <w:t xml:space="preserve">Na území Karlovarského kraje se nachází 32 pstruhových revírů (přibližná rozloha 233 ha, délka toku 445,6 km) a 30 mimopstruhových revírů (přibližná rozloha 1619 ha, délkou toku 127,5 km). Výkon rybářského práva je u většiny rybářských revírů svěřen Českému rybářskému svazu Západočeskému územnímu svazu Plzeň, který na těchto rybářských revírech hospodaří prostřednictvím místních organizací Českého rybářského svazu. Mezi další uživatele rybářských revírů v </w:t>
      </w:r>
      <w:r w:rsidR="00927551">
        <w:t>K</w:t>
      </w:r>
      <w:r w:rsidRPr="00072758">
        <w:t>arlovarském kraji patří Rybářství Třeboň Hld. a.s., Lázeňské lesy Karlovy Vary a místní organizace Českého rybářského svazu Toužim a Sokolov. </w:t>
      </w:r>
    </w:p>
    <w:p w:rsidR="0001301B" w:rsidRPr="00DA4247" w:rsidRDefault="0001301B" w:rsidP="002C40B2">
      <w:pPr>
        <w:pStyle w:val="Nadpis3"/>
        <w:spacing w:line="276" w:lineRule="auto"/>
      </w:pPr>
      <w:r w:rsidRPr="00DA4247">
        <w:t>Literatura:</w:t>
      </w:r>
    </w:p>
    <w:p w:rsidR="006D7A6B" w:rsidRDefault="00DA4247" w:rsidP="002C40B2">
      <w:r w:rsidRPr="0070627C">
        <w:t xml:space="preserve">ČSÚ. </w:t>
      </w:r>
      <w:r w:rsidR="0001301B" w:rsidRPr="0070627C">
        <w:rPr>
          <w:i/>
        </w:rPr>
        <w:t xml:space="preserve">Statistická ročenka Karlovarského kraje 2011 </w:t>
      </w:r>
      <w:r w:rsidR="0070627C" w:rsidRPr="0070627C">
        <w:rPr>
          <w:i/>
        </w:rPr>
        <w:t>–</w:t>
      </w:r>
      <w:r w:rsidR="0001301B" w:rsidRPr="0070627C">
        <w:rPr>
          <w:i/>
        </w:rPr>
        <w:t xml:space="preserve"> 2015</w:t>
      </w:r>
      <w:r w:rsidR="0070627C" w:rsidRPr="0070627C">
        <w:t xml:space="preserve"> </w:t>
      </w:r>
      <w:r w:rsidR="0070627C" w:rsidRPr="0070627C">
        <w:rPr>
          <w:color w:val="000000"/>
        </w:rPr>
        <w:t>[online</w:t>
      </w:r>
      <w:r w:rsidR="0070627C" w:rsidRPr="0018538F">
        <w:rPr>
          <w:color w:val="000000"/>
        </w:rPr>
        <w:t>]</w:t>
      </w:r>
      <w:r w:rsidR="0070627C" w:rsidRPr="0018538F">
        <w:rPr>
          <w:bCs/>
          <w:i/>
        </w:rPr>
        <w:t>.</w:t>
      </w:r>
      <w:r w:rsidR="0070627C">
        <w:rPr>
          <w:bCs/>
          <w:i/>
        </w:rPr>
        <w:t xml:space="preserve"> </w:t>
      </w:r>
      <w:r w:rsidR="0070627C" w:rsidRPr="0070627C">
        <w:t xml:space="preserve">2011 </w:t>
      </w:r>
      <w:r w:rsidR="0070627C">
        <w:t>–</w:t>
      </w:r>
      <w:r w:rsidR="0070627C" w:rsidRPr="0070627C">
        <w:t xml:space="preserve"> 2015</w:t>
      </w:r>
      <w:r w:rsidR="0070627C">
        <w:t xml:space="preserve">. </w:t>
      </w:r>
      <w:r w:rsidR="0070627C">
        <w:rPr>
          <w:bCs/>
        </w:rPr>
        <w:t xml:space="preserve">Dostupné z: </w:t>
      </w:r>
      <w:hyperlink r:id="rId179" w:history="1">
        <w:r w:rsidR="006D7A6B" w:rsidRPr="00EA7742">
          <w:rPr>
            <w:rStyle w:val="Hypertextovodkaz"/>
          </w:rPr>
          <w:t>https://www.czso.cz/csu/czso/statisticka-rocenka-karlovarskeho-kraje-2015</w:t>
        </w:r>
      </w:hyperlink>
      <w:r w:rsidR="006D7A6B">
        <w:t>.</w:t>
      </w:r>
    </w:p>
    <w:p w:rsidR="00DA4247" w:rsidRDefault="00DA4247" w:rsidP="002C40B2">
      <w:r>
        <w:t xml:space="preserve">CENIA. </w:t>
      </w:r>
      <w:r w:rsidRPr="00DA4247">
        <w:rPr>
          <w:i/>
        </w:rPr>
        <w:t>Zpráva o životním prostředí v Karlovarském kraji 2014</w:t>
      </w:r>
      <w:r>
        <w:t xml:space="preserve"> </w:t>
      </w:r>
      <w:r w:rsidRPr="00D854CC">
        <w:rPr>
          <w:color w:val="000000"/>
        </w:rPr>
        <w:t>[online].</w:t>
      </w:r>
      <w:r>
        <w:t xml:space="preserve"> Praha, 2014. </w:t>
      </w:r>
      <w:r w:rsidRPr="00D854CC">
        <w:t>Dostupné z:</w:t>
      </w:r>
      <w:r>
        <w:t xml:space="preserve"> </w:t>
      </w:r>
      <w:hyperlink r:id="rId180" w:history="1">
        <w:r w:rsidRPr="00DC0265">
          <w:rPr>
            <w:rStyle w:val="Hypertextovodkaz"/>
          </w:rPr>
          <w:t>http://www1.cenia.cz/www/sites/default/files/Karlovarsky.pdf</w:t>
        </w:r>
      </w:hyperlink>
      <w:r>
        <w:t>.</w:t>
      </w:r>
    </w:p>
    <w:p w:rsidR="00DA4247" w:rsidRDefault="00DA4247" w:rsidP="002C40B2">
      <w:pPr>
        <w:rPr>
          <w:szCs w:val="20"/>
        </w:rPr>
      </w:pPr>
      <w:r>
        <w:rPr>
          <w:szCs w:val="20"/>
        </w:rPr>
        <w:t xml:space="preserve">KÚKK. </w:t>
      </w:r>
      <w:r w:rsidRPr="00DA4247">
        <w:rPr>
          <w:i/>
          <w:szCs w:val="20"/>
        </w:rPr>
        <w:t>Územně analytické podklady Karlovarského kraje 2015</w:t>
      </w:r>
      <w:r>
        <w:rPr>
          <w:szCs w:val="20"/>
        </w:rPr>
        <w:t xml:space="preserve"> </w:t>
      </w:r>
      <w:r w:rsidRPr="00D854CC">
        <w:rPr>
          <w:color w:val="000000"/>
        </w:rPr>
        <w:t>[online].</w:t>
      </w:r>
      <w:r w:rsidRPr="00D854CC">
        <w:t xml:space="preserve"> 201</w:t>
      </w:r>
      <w:r>
        <w:t>5</w:t>
      </w:r>
      <w:r w:rsidRPr="00D854CC">
        <w:t>. Dostupné z:</w:t>
      </w:r>
      <w:r>
        <w:t xml:space="preserve"> </w:t>
      </w:r>
      <w:hyperlink r:id="rId181" w:history="1">
        <w:r w:rsidRPr="00DC0265">
          <w:rPr>
            <w:rStyle w:val="Hypertextovodkaz"/>
            <w:szCs w:val="20"/>
          </w:rPr>
          <w:t>http://www.kr-karlovarsky.cz/region/uzem_plan/Stranky/UAP-KK/UAP_Karlovarskeho_kraje.aspx</w:t>
        </w:r>
      </w:hyperlink>
      <w:r>
        <w:rPr>
          <w:szCs w:val="20"/>
        </w:rPr>
        <w:t>.</w:t>
      </w:r>
    </w:p>
    <w:p w:rsidR="0001301B" w:rsidRDefault="0001301B" w:rsidP="002C40B2">
      <w:pPr>
        <w:spacing w:after="160"/>
        <w:jc w:val="left"/>
        <w:rPr>
          <w:rFonts w:ascii="Arial" w:hAnsi="Arial" w:cs="Arial"/>
          <w:color w:val="141414"/>
          <w:sz w:val="20"/>
          <w:szCs w:val="20"/>
        </w:rPr>
      </w:pPr>
      <w:r>
        <w:rPr>
          <w:rFonts w:ascii="Arial" w:hAnsi="Arial" w:cs="Arial"/>
          <w:color w:val="141414"/>
          <w:sz w:val="20"/>
          <w:szCs w:val="20"/>
        </w:rPr>
        <w:br w:type="page"/>
      </w:r>
    </w:p>
    <w:p w:rsidR="0001301B" w:rsidRPr="0001301B" w:rsidRDefault="00D858C7" w:rsidP="00094A5B">
      <w:pPr>
        <w:pStyle w:val="Nadpis1"/>
      </w:pPr>
      <w:bookmarkStart w:id="423" w:name="_Toc321405941"/>
      <w:r>
        <w:lastRenderedPageBreak/>
        <w:t xml:space="preserve"> </w:t>
      </w:r>
      <w:bookmarkStart w:id="424" w:name="_Toc488233403"/>
      <w:r w:rsidR="0001301B" w:rsidRPr="0001301B">
        <w:t>Územní rozdíly v Karlovarském kraji</w:t>
      </w:r>
      <w:bookmarkEnd w:id="423"/>
      <w:bookmarkEnd w:id="424"/>
    </w:p>
    <w:p w:rsidR="0001301B" w:rsidRPr="00AE46CF" w:rsidRDefault="0001301B" w:rsidP="002C40B2">
      <w:pPr>
        <w:rPr>
          <w:szCs w:val="20"/>
        </w:rPr>
      </w:pPr>
      <w:r w:rsidRPr="00AE46CF">
        <w:t>Cílem této kapitoly je zhodnotit územní rozdíly v Karlovarském kraji z pohledu potenciálních možností a hrozeb pro budoucí rozvoj celého regionu. Přestože je Karlovarský kraj nejmenším krajem Č</w:t>
      </w:r>
      <w:r>
        <w:t>R</w:t>
      </w:r>
      <w:r w:rsidRPr="00AE46CF">
        <w:t xml:space="preserve">, lze jeho území označit z fyzicko-geografického i socio-ekonomického hlediska za velmi heterogenní. </w:t>
      </w:r>
      <w:r w:rsidRPr="00AE46CF">
        <w:rPr>
          <w:szCs w:val="20"/>
        </w:rPr>
        <w:t>Existující územní rozdíly v </w:t>
      </w:r>
      <w:r w:rsidR="00A64853">
        <w:rPr>
          <w:szCs w:val="20"/>
        </w:rPr>
        <w:t>KK</w:t>
      </w:r>
      <w:r w:rsidRPr="00AE46CF">
        <w:rPr>
          <w:szCs w:val="20"/>
        </w:rPr>
        <w:t xml:space="preserve"> byly analyzovány na základě údajů za sedm správních obvodů ORP, v některých případech jsou uvedeny údaje za obce. Podrobnější pohled na regionální diferenciaci podaly vedle statistických údajů informace získané z dokumentů zabývajících se regionálním rozvojem na území </w:t>
      </w:r>
      <w:r w:rsidR="00A64853">
        <w:rPr>
          <w:szCs w:val="20"/>
        </w:rPr>
        <w:t>KK</w:t>
      </w:r>
      <w:r w:rsidRPr="00AE46CF">
        <w:rPr>
          <w:szCs w:val="20"/>
        </w:rPr>
        <w:t xml:space="preserve">, zejména Územně analytických podkladů </w:t>
      </w:r>
      <w:r w:rsidR="00A64853">
        <w:rPr>
          <w:szCs w:val="20"/>
        </w:rPr>
        <w:t xml:space="preserve">(ÚAP) </w:t>
      </w:r>
      <w:r w:rsidRPr="00AE46CF">
        <w:rPr>
          <w:szCs w:val="20"/>
        </w:rPr>
        <w:t>a Zásad územního rozvoje Karlovarského kraje (ZÚR</w:t>
      </w:r>
      <w:r>
        <w:rPr>
          <w:szCs w:val="20"/>
        </w:rPr>
        <w:t xml:space="preserve"> KK</w:t>
      </w:r>
      <w:r w:rsidRPr="00AE46CF">
        <w:rPr>
          <w:szCs w:val="20"/>
        </w:rPr>
        <w:t xml:space="preserve">), což umožňuje potřebné propojení strategického a územního plánování. </w:t>
      </w:r>
    </w:p>
    <w:p w:rsidR="0001301B" w:rsidRPr="00AE46CF" w:rsidRDefault="0001301B" w:rsidP="002C40B2">
      <w:pPr>
        <w:rPr>
          <w:i/>
          <w:iCs/>
        </w:rPr>
      </w:pPr>
      <w:r w:rsidRPr="00AE46CF">
        <w:rPr>
          <w:i/>
          <w:iCs/>
        </w:rPr>
        <w:t>Otázky:</w:t>
      </w:r>
    </w:p>
    <w:p w:rsidR="0001301B" w:rsidRPr="00D858C7" w:rsidRDefault="0001301B" w:rsidP="002C40B2">
      <w:pPr>
        <w:pStyle w:val="Odstavecseseznamem"/>
        <w:numPr>
          <w:ilvl w:val="0"/>
          <w:numId w:val="21"/>
        </w:numPr>
        <w:rPr>
          <w:i/>
          <w:iCs/>
        </w:rPr>
      </w:pPr>
      <w:r w:rsidRPr="00D858C7">
        <w:rPr>
          <w:i/>
          <w:szCs w:val="20"/>
        </w:rPr>
        <w:t xml:space="preserve">Jsou v Karlovarském kraji velké nebo malé regionální rozdíly a jaký byl jejich vývoj v posledních letech? Změnil se výrazně jejich charakter či naopak zůstává regionální diferenciace kraje dlouhodobě stabilizovaná? </w:t>
      </w:r>
    </w:p>
    <w:p w:rsidR="0001301B" w:rsidRPr="00D858C7" w:rsidRDefault="0001301B" w:rsidP="002C40B2">
      <w:pPr>
        <w:pStyle w:val="Odstavecseseznamem"/>
        <w:numPr>
          <w:ilvl w:val="0"/>
          <w:numId w:val="21"/>
        </w:numPr>
        <w:rPr>
          <w:i/>
          <w:iCs/>
        </w:rPr>
      </w:pPr>
      <w:r w:rsidRPr="00D858C7">
        <w:rPr>
          <w:i/>
          <w:szCs w:val="20"/>
        </w:rPr>
        <w:t xml:space="preserve">Jak ovlivňuje rozdílný charakter jednotlivých regionů jejich hospodářskou a sociální situaci a rozvojový potenciál? </w:t>
      </w:r>
    </w:p>
    <w:p w:rsidR="0001301B" w:rsidRPr="00D858C7" w:rsidRDefault="0001301B" w:rsidP="002C40B2">
      <w:pPr>
        <w:pStyle w:val="Odstavecseseznamem"/>
        <w:numPr>
          <w:ilvl w:val="0"/>
          <w:numId w:val="21"/>
        </w:numPr>
        <w:rPr>
          <w:i/>
          <w:iCs/>
        </w:rPr>
      </w:pPr>
      <w:r w:rsidRPr="00D858C7">
        <w:rPr>
          <w:i/>
          <w:szCs w:val="20"/>
        </w:rPr>
        <w:t>Lze identifikovat problémové oblasti Karlovarského kraje? Kde a jaké jsou jejich problémy?</w:t>
      </w:r>
    </w:p>
    <w:p w:rsidR="0001301B" w:rsidRPr="00AE46CF" w:rsidRDefault="0001301B" w:rsidP="002C40B2">
      <w:r w:rsidRPr="00AE46CF">
        <w:rPr>
          <w:b/>
        </w:rPr>
        <w:t xml:space="preserve">Základní charakter regionální diferenciace </w:t>
      </w:r>
      <w:r w:rsidR="00A64853">
        <w:rPr>
          <w:b/>
        </w:rPr>
        <w:t>KK</w:t>
      </w:r>
      <w:r w:rsidRPr="00AE46CF">
        <w:t xml:space="preserve"> </w:t>
      </w:r>
      <w:r w:rsidRPr="00C21484">
        <w:rPr>
          <w:b/>
        </w:rPr>
        <w:t>je ovlivněn</w:t>
      </w:r>
      <w:r w:rsidRPr="00AE46CF">
        <w:t xml:space="preserve"> </w:t>
      </w:r>
      <w:r w:rsidRPr="00AE46CF">
        <w:rPr>
          <w:b/>
        </w:rPr>
        <w:t>historickým vývojem</w:t>
      </w:r>
      <w:r w:rsidRPr="00AE46CF">
        <w:t xml:space="preserve"> celého území a vyplývá z </w:t>
      </w:r>
      <w:r w:rsidRPr="00AE46CF">
        <w:rPr>
          <w:b/>
        </w:rPr>
        <w:t>odlišné geografické polohy jednotlivých oblastí, rozdílných přírodních podmínek</w:t>
      </w:r>
      <w:r w:rsidRPr="00AE46CF">
        <w:t xml:space="preserve"> a tím i </w:t>
      </w:r>
      <w:r w:rsidRPr="00AE46CF">
        <w:rPr>
          <w:b/>
        </w:rPr>
        <w:t>charakteru osídlení</w:t>
      </w:r>
      <w:r w:rsidRPr="00AE46CF">
        <w:t xml:space="preserve">. Sídelní strukturu, demografický i socio-ekonomický vývoj celého Karlovarského kraje nejvýznamněji poznamenalo padesátileté období zcela nepřirozeného vývoje ve druhé polovině 20. století. Území </w:t>
      </w:r>
      <w:r w:rsidR="00A64853">
        <w:t>KK</w:t>
      </w:r>
      <w:r w:rsidRPr="00AE46CF">
        <w:t xml:space="preserve"> se historicky vyznačovalo výraznou koncentrací obyvatelstva do měst v příhodnějších přírodních podmínkách a rozptýlenou strukturou venkovských sídel. V průběhu poválečného dosídlování se tato disproporce ještě zvýraznila, když přistěhovalci směřovali především do měst a větších obcí. Opuštěná sídla po 2. světové válce se podařilo dosídlit jen zčásti, mnoho sídel bylo ve vojenském prostoru a hraničním pásmu</w:t>
      </w:r>
      <w:r w:rsidRPr="00C21484">
        <w:t xml:space="preserve"> </w:t>
      </w:r>
      <w:r w:rsidRPr="00AE46CF">
        <w:t xml:space="preserve">zcela zlikvidováno. Na Sokolovsku dále zanikala sídla v důsledku rozšiřování povrchové těžby hnědého uhlí. Uplatnění tzv. střediskové soustavy osídlení přispělo k značnému vylidnění venkovského prostoru a k destrukci ekonomického a sociálního prostředí venkovských sídel. </w:t>
      </w:r>
      <w:r w:rsidR="00A64853">
        <w:t>KK</w:t>
      </w:r>
      <w:r w:rsidRPr="00AE46CF">
        <w:t xml:space="preserve"> jako celek a venkovské oblasti </w:t>
      </w:r>
      <w:r>
        <w:t>především</w:t>
      </w:r>
      <w:r w:rsidRPr="00AE46CF">
        <w:t xml:space="preserve"> lze proto charakterizovat všeobecně nižší sociální a sídelní stabilitou i nižší vzdělanostní úrovní obyvatelstva. Právě </w:t>
      </w:r>
      <w:r w:rsidRPr="00AE46CF">
        <w:rPr>
          <w:b/>
        </w:rPr>
        <w:t>urbanizované oblasti v povodí Ohře a venkovské oblasti v pohraničních oblastech a v jihovýchodní části kraje vytvářejí zásadní polaritu</w:t>
      </w:r>
      <w:r w:rsidRPr="00AE46CF">
        <w:t xml:space="preserve"> </w:t>
      </w:r>
      <w:r w:rsidR="002F684C" w:rsidRPr="002F684C">
        <w:rPr>
          <w:b/>
        </w:rPr>
        <w:t>KK</w:t>
      </w:r>
      <w:r w:rsidRPr="00AE46CF">
        <w:t xml:space="preserve">. Základní pohled na regionální diferenciaci </w:t>
      </w:r>
      <w:r w:rsidR="00A64853">
        <w:t xml:space="preserve">KK </w:t>
      </w:r>
      <w:r w:rsidRPr="00AE46CF">
        <w:t xml:space="preserve">podává analýza </w:t>
      </w:r>
      <w:r>
        <w:t>n</w:t>
      </w:r>
      <w:r w:rsidRPr="00AE46CF">
        <w:t>a úrov</w:t>
      </w:r>
      <w:r>
        <w:t>ni</w:t>
      </w:r>
      <w:r w:rsidRPr="00AE46CF">
        <w:t xml:space="preserve"> správních obvodů ORP.</w:t>
      </w:r>
    </w:p>
    <w:p w:rsidR="0001301B" w:rsidRDefault="00A64853" w:rsidP="002C40B2">
      <w:r>
        <w:t>KK</w:t>
      </w:r>
      <w:r w:rsidR="0001301B">
        <w:t xml:space="preserve"> má nejnižší počet obyvatel ze všech krajů v rámci ČR. Z </w:t>
      </w:r>
      <w:r w:rsidR="004F2330">
        <w:fldChar w:fldCharType="begin"/>
      </w:r>
      <w:r w:rsidR="004F2330">
        <w:instrText xml:space="preserve"> REF _Ref464653898 \h  \* MERGEFORMAT </w:instrText>
      </w:r>
      <w:r w:rsidR="004F2330">
        <w:fldChar w:fldCharType="separate"/>
      </w:r>
      <w:r w:rsidR="00EB0944">
        <w:t>tabulky</w:t>
      </w:r>
      <w:r w:rsidR="00CB29BD">
        <w:t xml:space="preserve"> </w:t>
      </w:r>
      <w:r w:rsidR="00CB29BD">
        <w:rPr>
          <w:noProof/>
        </w:rPr>
        <w:t>18</w:t>
      </w:r>
      <w:r w:rsidR="00CB29BD">
        <w:t>.1</w:t>
      </w:r>
      <w:r w:rsidR="004F2330">
        <w:fldChar w:fldCharType="end"/>
      </w:r>
      <w:r w:rsidR="0001301B">
        <w:t xml:space="preserve"> je patrný pokles počtu obyvatel kraje v roce 2015 o téměř 5 % a předpokládá se, že i nadále počet obyvatel bude klesat. Pokles počtu obyvatel zaznamenaly všechny ORP. Nejvíce dochází k úbytku populace ve správním obvodu Kraslic, a to o 9 %. Počet obyvatel významně klesl i ve správním obvodu Sokolova a Karlových Varů. Naopak k nejmenšímu poklesu populace dochází v ORP Aš a Cheb. Ve zmíněných obvodech má na úbytek počet obyvatel významný vliv migrace, nejvýrazněji se stěhování obyvatel z ORP dotklo Kraslic a Sokolova. Celkový pokles počtu obyvatel ovlivnil i záporný přirozený přírůstek v celém kraji (tzn. vyšší úmrtnost než porodnost). Příznivější hodnoty přirozeného přírůstku vykazují ORP Aš, Cheb, Ostrov a Sokolov.</w:t>
      </w:r>
    </w:p>
    <w:p w:rsidR="0001301B" w:rsidRPr="0025712B" w:rsidRDefault="0001301B" w:rsidP="000B3B9C">
      <w:pPr>
        <w:pStyle w:val="Titulek"/>
      </w:pPr>
      <w:bookmarkStart w:id="425" w:name="_Ref464653898"/>
      <w:bookmarkStart w:id="426" w:name="_Ref310523380"/>
      <w:bookmarkStart w:id="427" w:name="_Toc321406074"/>
      <w:bookmarkStart w:id="428" w:name="_Toc488233518"/>
      <w:r>
        <w:lastRenderedPageBreak/>
        <w:t xml:space="preserve">Tabulka </w:t>
      </w:r>
      <w:r w:rsidR="008965FE">
        <w:fldChar w:fldCharType="begin"/>
      </w:r>
      <w:r w:rsidR="00B33DFE">
        <w:instrText xml:space="preserve"> STYLEREF 1 \s </w:instrText>
      </w:r>
      <w:r w:rsidR="008965FE">
        <w:fldChar w:fldCharType="separate"/>
      </w:r>
      <w:r w:rsidR="00CB29BD">
        <w:t>18</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bookmarkEnd w:id="425"/>
      <w:r w:rsidRPr="0025712B">
        <w:t>: Demografická charakteristika správních obvodů ORP KK (k 31. 12. 2015)</w:t>
      </w:r>
      <w:bookmarkEnd w:id="426"/>
      <w:bookmarkEnd w:id="427"/>
      <w:bookmarkEnd w:id="428"/>
      <w:r w:rsidRPr="0025712B">
        <w:t xml:space="preserve">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235"/>
        <w:gridCol w:w="1236"/>
        <w:gridCol w:w="1236"/>
        <w:gridCol w:w="1236"/>
        <w:gridCol w:w="1236"/>
        <w:gridCol w:w="1236"/>
      </w:tblGrid>
      <w:tr w:rsidR="0001301B" w:rsidRPr="00FE0A4F" w:rsidTr="00E079F9">
        <w:trPr>
          <w:trHeight w:val="281"/>
        </w:trPr>
        <w:tc>
          <w:tcPr>
            <w:tcW w:w="962" w:type="pct"/>
            <w:vMerge w:val="restart"/>
            <w:noWrap/>
            <w:vAlign w:val="center"/>
          </w:tcPr>
          <w:p w:rsidR="0001301B" w:rsidRPr="00FE0A4F" w:rsidRDefault="0001301B" w:rsidP="002C40B2">
            <w:pPr>
              <w:pStyle w:val="Table"/>
              <w:spacing w:after="0"/>
              <w:jc w:val="left"/>
              <w:rPr>
                <w:rFonts w:asciiTheme="minorHAnsi" w:hAnsiTheme="minorHAnsi" w:cs="Calibri"/>
                <w:b/>
                <w:sz w:val="20"/>
              </w:rPr>
            </w:pPr>
            <w:r w:rsidRPr="00FE0A4F">
              <w:rPr>
                <w:rFonts w:asciiTheme="minorHAnsi" w:hAnsiTheme="minorHAnsi" w:cs="Calibri"/>
                <w:b/>
                <w:bCs/>
                <w:sz w:val="20"/>
              </w:rPr>
              <w:t>ORP</w:t>
            </w:r>
          </w:p>
        </w:tc>
        <w:tc>
          <w:tcPr>
            <w:tcW w:w="673" w:type="pct"/>
            <w:vMerge w:val="restart"/>
            <w:noWrap/>
            <w:vAlign w:val="center"/>
          </w:tcPr>
          <w:p w:rsidR="0001301B" w:rsidRPr="00FE0A4F" w:rsidRDefault="0001301B" w:rsidP="002C40B2">
            <w:pPr>
              <w:pStyle w:val="Table"/>
              <w:spacing w:after="0"/>
              <w:jc w:val="center"/>
              <w:rPr>
                <w:rFonts w:asciiTheme="minorHAnsi" w:hAnsiTheme="minorHAnsi" w:cs="Calibri"/>
                <w:b/>
                <w:bCs/>
                <w:sz w:val="20"/>
              </w:rPr>
            </w:pPr>
            <w:r w:rsidRPr="00FE0A4F">
              <w:rPr>
                <w:rFonts w:asciiTheme="minorHAnsi" w:hAnsiTheme="minorHAnsi" w:cs="Calibri"/>
                <w:b/>
                <w:bCs/>
                <w:sz w:val="20"/>
              </w:rPr>
              <w:t>počet obcí</w:t>
            </w:r>
          </w:p>
        </w:tc>
        <w:tc>
          <w:tcPr>
            <w:tcW w:w="673" w:type="pct"/>
            <w:vMerge w:val="restart"/>
            <w:vAlign w:val="center"/>
          </w:tcPr>
          <w:p w:rsidR="0001301B" w:rsidRPr="00FE0A4F" w:rsidRDefault="0001301B" w:rsidP="002C40B2">
            <w:pPr>
              <w:pStyle w:val="Table"/>
              <w:spacing w:after="0"/>
              <w:jc w:val="center"/>
              <w:rPr>
                <w:rFonts w:asciiTheme="minorHAnsi" w:hAnsiTheme="minorHAnsi" w:cs="Calibri"/>
                <w:b/>
                <w:bCs/>
                <w:sz w:val="20"/>
              </w:rPr>
            </w:pPr>
            <w:r w:rsidRPr="00FE0A4F">
              <w:rPr>
                <w:rFonts w:asciiTheme="minorHAnsi" w:hAnsiTheme="minorHAnsi" w:cs="Calibri"/>
                <w:b/>
                <w:bCs/>
                <w:sz w:val="20"/>
              </w:rPr>
              <w:t>výměra v km</w:t>
            </w:r>
            <w:r w:rsidRPr="00FE0A4F">
              <w:rPr>
                <w:rFonts w:asciiTheme="minorHAnsi" w:hAnsiTheme="minorHAnsi" w:cs="Calibri"/>
                <w:b/>
                <w:bCs/>
                <w:sz w:val="20"/>
                <w:vertAlign w:val="superscript"/>
              </w:rPr>
              <w:t>2</w:t>
            </w:r>
          </w:p>
        </w:tc>
        <w:tc>
          <w:tcPr>
            <w:tcW w:w="673" w:type="pct"/>
            <w:vMerge w:val="restart"/>
            <w:vAlign w:val="center"/>
          </w:tcPr>
          <w:p w:rsidR="0001301B" w:rsidRPr="00FE0A4F" w:rsidRDefault="0001301B" w:rsidP="002C40B2">
            <w:pPr>
              <w:pStyle w:val="Table"/>
              <w:spacing w:after="0"/>
              <w:jc w:val="center"/>
              <w:rPr>
                <w:rFonts w:asciiTheme="minorHAnsi" w:hAnsiTheme="minorHAnsi" w:cs="Calibri"/>
                <w:b/>
                <w:bCs/>
                <w:sz w:val="20"/>
              </w:rPr>
            </w:pPr>
            <w:r w:rsidRPr="00FE0A4F">
              <w:rPr>
                <w:rFonts w:asciiTheme="minorHAnsi" w:hAnsiTheme="minorHAnsi" w:cs="Calibri"/>
                <w:b/>
                <w:bCs/>
                <w:sz w:val="20"/>
              </w:rPr>
              <w:t>počet obyvatel</w:t>
            </w:r>
          </w:p>
        </w:tc>
        <w:tc>
          <w:tcPr>
            <w:tcW w:w="673" w:type="pct"/>
            <w:vMerge w:val="restart"/>
            <w:vAlign w:val="center"/>
          </w:tcPr>
          <w:p w:rsidR="0001301B" w:rsidRPr="00FE0A4F" w:rsidRDefault="0001301B" w:rsidP="002C40B2">
            <w:pPr>
              <w:pStyle w:val="Table"/>
              <w:spacing w:after="0"/>
              <w:jc w:val="center"/>
              <w:rPr>
                <w:rFonts w:asciiTheme="minorHAnsi" w:hAnsiTheme="minorHAnsi" w:cs="Calibri"/>
                <w:b/>
                <w:bCs/>
                <w:sz w:val="20"/>
              </w:rPr>
            </w:pPr>
            <w:r w:rsidRPr="00FE0A4F">
              <w:rPr>
                <w:rFonts w:asciiTheme="minorHAnsi" w:hAnsiTheme="minorHAnsi" w:cs="Calibri"/>
                <w:b/>
                <w:bCs/>
                <w:sz w:val="20"/>
              </w:rPr>
              <w:t>přirozený přírůstek</w:t>
            </w:r>
          </w:p>
        </w:tc>
        <w:tc>
          <w:tcPr>
            <w:tcW w:w="673" w:type="pct"/>
            <w:vMerge w:val="restart"/>
            <w:vAlign w:val="center"/>
          </w:tcPr>
          <w:p w:rsidR="0001301B" w:rsidRPr="00FE0A4F" w:rsidRDefault="0001301B" w:rsidP="002C40B2">
            <w:pPr>
              <w:pStyle w:val="Table"/>
              <w:spacing w:after="0"/>
              <w:jc w:val="center"/>
              <w:rPr>
                <w:rFonts w:asciiTheme="minorHAnsi" w:hAnsiTheme="minorHAnsi" w:cs="Calibri"/>
                <w:b/>
                <w:bCs/>
                <w:sz w:val="20"/>
              </w:rPr>
            </w:pPr>
            <w:r w:rsidRPr="00FE0A4F">
              <w:rPr>
                <w:rFonts w:asciiTheme="minorHAnsi" w:hAnsiTheme="minorHAnsi" w:cs="Calibri"/>
                <w:b/>
                <w:bCs/>
                <w:sz w:val="20"/>
              </w:rPr>
              <w:t>migrační saldo</w:t>
            </w:r>
          </w:p>
        </w:tc>
        <w:tc>
          <w:tcPr>
            <w:tcW w:w="673" w:type="pct"/>
            <w:vMerge w:val="restart"/>
            <w:vAlign w:val="center"/>
          </w:tcPr>
          <w:p w:rsidR="0001301B" w:rsidRPr="00FE0A4F" w:rsidRDefault="0001301B" w:rsidP="002C40B2">
            <w:pPr>
              <w:pStyle w:val="Table"/>
              <w:spacing w:after="0"/>
              <w:jc w:val="center"/>
              <w:rPr>
                <w:rFonts w:asciiTheme="minorHAnsi" w:hAnsiTheme="minorHAnsi" w:cs="Calibri"/>
                <w:b/>
                <w:bCs/>
                <w:sz w:val="20"/>
              </w:rPr>
            </w:pPr>
            <w:r w:rsidRPr="00FE0A4F">
              <w:rPr>
                <w:rFonts w:asciiTheme="minorHAnsi" w:hAnsiTheme="minorHAnsi" w:cs="Calibri"/>
                <w:b/>
                <w:bCs/>
                <w:sz w:val="20"/>
              </w:rPr>
              <w:t>celkový přírůstek</w:t>
            </w:r>
          </w:p>
        </w:tc>
      </w:tr>
      <w:tr w:rsidR="0001301B" w:rsidRPr="00FE0A4F" w:rsidTr="00E079F9">
        <w:trPr>
          <w:trHeight w:val="281"/>
        </w:trPr>
        <w:tc>
          <w:tcPr>
            <w:tcW w:w="962" w:type="pct"/>
            <w:vMerge/>
            <w:noWrap/>
            <w:vAlign w:val="center"/>
          </w:tcPr>
          <w:p w:rsidR="0001301B" w:rsidRPr="00FE0A4F" w:rsidRDefault="0001301B" w:rsidP="002C40B2">
            <w:pPr>
              <w:pStyle w:val="Table"/>
              <w:spacing w:after="0"/>
              <w:jc w:val="center"/>
              <w:rPr>
                <w:rFonts w:asciiTheme="minorHAnsi" w:hAnsiTheme="minorHAnsi" w:cs="Calibri"/>
                <w:b/>
                <w:bCs/>
                <w:sz w:val="20"/>
              </w:rPr>
            </w:pPr>
          </w:p>
        </w:tc>
        <w:tc>
          <w:tcPr>
            <w:tcW w:w="673" w:type="pct"/>
            <w:vMerge/>
            <w:noWrap/>
            <w:vAlign w:val="center"/>
          </w:tcPr>
          <w:p w:rsidR="0001301B" w:rsidRPr="00FE0A4F" w:rsidRDefault="0001301B" w:rsidP="002C40B2">
            <w:pPr>
              <w:pStyle w:val="Table"/>
              <w:spacing w:after="0"/>
              <w:jc w:val="center"/>
              <w:rPr>
                <w:rFonts w:asciiTheme="minorHAnsi" w:hAnsiTheme="minorHAnsi" w:cs="Calibri"/>
                <w:b/>
                <w:bCs/>
                <w:sz w:val="20"/>
              </w:rPr>
            </w:pPr>
          </w:p>
        </w:tc>
        <w:tc>
          <w:tcPr>
            <w:tcW w:w="673" w:type="pct"/>
            <w:vMerge/>
            <w:vAlign w:val="center"/>
          </w:tcPr>
          <w:p w:rsidR="0001301B" w:rsidRPr="00FE0A4F" w:rsidRDefault="0001301B" w:rsidP="002C40B2">
            <w:pPr>
              <w:pStyle w:val="Table"/>
              <w:spacing w:after="0"/>
              <w:jc w:val="center"/>
              <w:rPr>
                <w:rFonts w:asciiTheme="minorHAnsi" w:hAnsiTheme="minorHAnsi" w:cs="Calibri"/>
                <w:b/>
                <w:bCs/>
                <w:sz w:val="20"/>
              </w:rPr>
            </w:pPr>
          </w:p>
        </w:tc>
        <w:tc>
          <w:tcPr>
            <w:tcW w:w="673" w:type="pct"/>
            <w:vMerge/>
            <w:vAlign w:val="center"/>
          </w:tcPr>
          <w:p w:rsidR="0001301B" w:rsidRPr="00FE0A4F" w:rsidRDefault="0001301B" w:rsidP="002C40B2">
            <w:pPr>
              <w:pStyle w:val="Table"/>
              <w:spacing w:after="0"/>
              <w:jc w:val="center"/>
              <w:rPr>
                <w:rFonts w:asciiTheme="minorHAnsi" w:hAnsiTheme="minorHAnsi" w:cs="Calibri"/>
                <w:b/>
                <w:bCs/>
                <w:sz w:val="20"/>
              </w:rPr>
            </w:pPr>
          </w:p>
        </w:tc>
        <w:tc>
          <w:tcPr>
            <w:tcW w:w="673" w:type="pct"/>
            <w:vMerge/>
            <w:vAlign w:val="center"/>
          </w:tcPr>
          <w:p w:rsidR="0001301B" w:rsidRPr="00FE0A4F" w:rsidRDefault="0001301B" w:rsidP="002C40B2">
            <w:pPr>
              <w:pStyle w:val="Table"/>
              <w:spacing w:after="0"/>
              <w:jc w:val="center"/>
              <w:rPr>
                <w:rFonts w:asciiTheme="minorHAnsi" w:hAnsiTheme="minorHAnsi" w:cs="Calibri"/>
                <w:b/>
                <w:bCs/>
                <w:sz w:val="20"/>
              </w:rPr>
            </w:pPr>
          </w:p>
        </w:tc>
        <w:tc>
          <w:tcPr>
            <w:tcW w:w="673" w:type="pct"/>
            <w:vMerge/>
            <w:vAlign w:val="center"/>
          </w:tcPr>
          <w:p w:rsidR="0001301B" w:rsidRPr="00FE0A4F" w:rsidRDefault="0001301B" w:rsidP="002C40B2">
            <w:pPr>
              <w:pStyle w:val="Table"/>
              <w:spacing w:after="0"/>
              <w:jc w:val="center"/>
              <w:rPr>
                <w:rFonts w:asciiTheme="minorHAnsi" w:hAnsiTheme="minorHAnsi" w:cs="Calibri"/>
                <w:b/>
                <w:bCs/>
                <w:sz w:val="20"/>
              </w:rPr>
            </w:pPr>
          </w:p>
        </w:tc>
        <w:tc>
          <w:tcPr>
            <w:tcW w:w="673" w:type="pct"/>
            <w:vMerge/>
            <w:vAlign w:val="center"/>
          </w:tcPr>
          <w:p w:rsidR="0001301B" w:rsidRPr="00FE0A4F" w:rsidRDefault="0001301B" w:rsidP="002C40B2">
            <w:pPr>
              <w:pStyle w:val="Table"/>
              <w:spacing w:after="0"/>
              <w:jc w:val="center"/>
              <w:rPr>
                <w:rFonts w:asciiTheme="minorHAnsi" w:hAnsiTheme="minorHAnsi" w:cs="Calibri"/>
                <w:b/>
                <w:bCs/>
                <w:sz w:val="20"/>
              </w:rPr>
            </w:pPr>
          </w:p>
        </w:tc>
      </w:tr>
      <w:tr w:rsidR="00FE0A4F" w:rsidRPr="00FE0A4F" w:rsidTr="00E079F9">
        <w:tc>
          <w:tcPr>
            <w:tcW w:w="962" w:type="pct"/>
            <w:noWrap/>
            <w:vAlign w:val="center"/>
          </w:tcPr>
          <w:p w:rsidR="0001301B" w:rsidRPr="00FE0A4F" w:rsidRDefault="0001301B" w:rsidP="002C40B2">
            <w:pPr>
              <w:spacing w:after="0"/>
              <w:rPr>
                <w:rFonts w:asciiTheme="minorHAnsi" w:hAnsiTheme="minorHAnsi"/>
                <w:sz w:val="20"/>
                <w:szCs w:val="20"/>
              </w:rPr>
            </w:pPr>
            <w:r w:rsidRPr="00FE0A4F">
              <w:rPr>
                <w:rFonts w:asciiTheme="minorHAnsi" w:hAnsiTheme="minorHAnsi"/>
                <w:sz w:val="20"/>
                <w:szCs w:val="20"/>
              </w:rPr>
              <w:t>Aš</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5</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14 375</w:t>
            </w:r>
          </w:p>
        </w:tc>
        <w:tc>
          <w:tcPr>
            <w:tcW w:w="673" w:type="pct"/>
            <w:noWrap/>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cs="Arial"/>
                <w:sz w:val="20"/>
                <w:szCs w:val="20"/>
              </w:rPr>
              <w:t>17640</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-0,1</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-0,7</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-0,8</w:t>
            </w:r>
          </w:p>
        </w:tc>
      </w:tr>
      <w:tr w:rsidR="00FE0A4F" w:rsidRPr="00FE0A4F" w:rsidTr="00E079F9">
        <w:tc>
          <w:tcPr>
            <w:tcW w:w="962" w:type="pct"/>
            <w:noWrap/>
            <w:vAlign w:val="center"/>
          </w:tcPr>
          <w:p w:rsidR="0001301B" w:rsidRPr="00FE0A4F" w:rsidRDefault="0001301B" w:rsidP="002C40B2">
            <w:pPr>
              <w:spacing w:after="0"/>
              <w:rPr>
                <w:rFonts w:asciiTheme="minorHAnsi" w:hAnsiTheme="minorHAnsi"/>
                <w:sz w:val="20"/>
                <w:szCs w:val="20"/>
              </w:rPr>
            </w:pPr>
            <w:r w:rsidRPr="00FE0A4F">
              <w:rPr>
                <w:rFonts w:asciiTheme="minorHAnsi" w:hAnsiTheme="minorHAnsi"/>
                <w:sz w:val="20"/>
                <w:szCs w:val="20"/>
              </w:rPr>
              <w:t>Cheb</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21</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49 688</w:t>
            </w:r>
          </w:p>
        </w:tc>
        <w:tc>
          <w:tcPr>
            <w:tcW w:w="673" w:type="pct"/>
            <w:noWrap/>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cs="Arial"/>
                <w:sz w:val="20"/>
                <w:szCs w:val="20"/>
              </w:rPr>
              <w:t>50072</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-0,4</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-1,3</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-1,7</w:t>
            </w:r>
          </w:p>
        </w:tc>
      </w:tr>
      <w:tr w:rsidR="00FE0A4F" w:rsidRPr="00FE0A4F" w:rsidTr="00E079F9">
        <w:tc>
          <w:tcPr>
            <w:tcW w:w="962" w:type="pct"/>
            <w:noWrap/>
            <w:vAlign w:val="center"/>
          </w:tcPr>
          <w:p w:rsidR="0001301B" w:rsidRPr="00FE0A4F" w:rsidRDefault="0001301B" w:rsidP="002C40B2">
            <w:pPr>
              <w:spacing w:after="0"/>
              <w:rPr>
                <w:rFonts w:asciiTheme="minorHAnsi" w:hAnsiTheme="minorHAnsi"/>
                <w:sz w:val="20"/>
                <w:szCs w:val="20"/>
              </w:rPr>
            </w:pPr>
            <w:r w:rsidRPr="00FE0A4F">
              <w:rPr>
                <w:rFonts w:asciiTheme="minorHAnsi" w:hAnsiTheme="minorHAnsi"/>
                <w:sz w:val="20"/>
                <w:szCs w:val="20"/>
              </w:rPr>
              <w:t>Karlovy Vary</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40</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119 640</w:t>
            </w:r>
          </w:p>
        </w:tc>
        <w:tc>
          <w:tcPr>
            <w:tcW w:w="673" w:type="pct"/>
            <w:noWrap/>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cs="Arial"/>
                <w:sz w:val="20"/>
                <w:szCs w:val="20"/>
              </w:rPr>
              <w:t>88048</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-2,5</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-3,7</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-6,2</w:t>
            </w:r>
          </w:p>
        </w:tc>
      </w:tr>
      <w:tr w:rsidR="00FE0A4F" w:rsidRPr="00FE0A4F" w:rsidTr="00E079F9">
        <w:tc>
          <w:tcPr>
            <w:tcW w:w="962" w:type="pct"/>
            <w:noWrap/>
            <w:vAlign w:val="center"/>
          </w:tcPr>
          <w:p w:rsidR="0001301B" w:rsidRPr="00FE0A4F" w:rsidRDefault="0001301B" w:rsidP="002C40B2">
            <w:pPr>
              <w:spacing w:after="0"/>
              <w:rPr>
                <w:rFonts w:asciiTheme="minorHAnsi" w:hAnsiTheme="minorHAnsi"/>
                <w:sz w:val="20"/>
                <w:szCs w:val="20"/>
              </w:rPr>
            </w:pPr>
            <w:r w:rsidRPr="00FE0A4F">
              <w:rPr>
                <w:rFonts w:asciiTheme="minorHAnsi" w:hAnsiTheme="minorHAnsi"/>
                <w:sz w:val="20"/>
                <w:szCs w:val="20"/>
              </w:rPr>
              <w:t>Kraslice</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8</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26 463</w:t>
            </w:r>
          </w:p>
        </w:tc>
        <w:tc>
          <w:tcPr>
            <w:tcW w:w="673" w:type="pct"/>
            <w:noWrap/>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cs="Arial"/>
                <w:sz w:val="20"/>
                <w:szCs w:val="20"/>
              </w:rPr>
              <w:t>13408</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-3,7</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-5,4</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-9,1</w:t>
            </w:r>
          </w:p>
        </w:tc>
      </w:tr>
      <w:tr w:rsidR="00FE0A4F" w:rsidRPr="00FE0A4F" w:rsidTr="00E079F9">
        <w:tc>
          <w:tcPr>
            <w:tcW w:w="962" w:type="pct"/>
            <w:noWrap/>
            <w:vAlign w:val="center"/>
          </w:tcPr>
          <w:p w:rsidR="0001301B" w:rsidRPr="00FE0A4F" w:rsidRDefault="0001301B" w:rsidP="002C40B2">
            <w:pPr>
              <w:spacing w:after="0"/>
              <w:rPr>
                <w:rFonts w:asciiTheme="minorHAnsi" w:hAnsiTheme="minorHAnsi"/>
                <w:sz w:val="20"/>
                <w:szCs w:val="20"/>
              </w:rPr>
            </w:pPr>
            <w:r w:rsidRPr="00FE0A4F">
              <w:rPr>
                <w:rFonts w:asciiTheme="minorHAnsi" w:hAnsiTheme="minorHAnsi"/>
                <w:sz w:val="20"/>
                <w:szCs w:val="20"/>
              </w:rPr>
              <w:t>Mariánské Lázně</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14</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40 530</w:t>
            </w:r>
          </w:p>
        </w:tc>
        <w:tc>
          <w:tcPr>
            <w:tcW w:w="673" w:type="pct"/>
            <w:noWrap/>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cs="Arial"/>
                <w:sz w:val="20"/>
                <w:szCs w:val="20"/>
              </w:rPr>
              <w:t>24139</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-2,9</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0,0</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-2,9</w:t>
            </w:r>
          </w:p>
        </w:tc>
      </w:tr>
      <w:tr w:rsidR="00FE0A4F" w:rsidRPr="00FE0A4F" w:rsidTr="00E079F9">
        <w:tc>
          <w:tcPr>
            <w:tcW w:w="962" w:type="pct"/>
            <w:noWrap/>
            <w:vAlign w:val="center"/>
          </w:tcPr>
          <w:p w:rsidR="0001301B" w:rsidRPr="00FE0A4F" w:rsidRDefault="0001301B" w:rsidP="002C40B2">
            <w:pPr>
              <w:spacing w:after="0"/>
              <w:rPr>
                <w:rFonts w:asciiTheme="minorHAnsi" w:hAnsiTheme="minorHAnsi"/>
                <w:sz w:val="20"/>
                <w:szCs w:val="20"/>
              </w:rPr>
            </w:pPr>
            <w:r w:rsidRPr="00FE0A4F">
              <w:rPr>
                <w:rFonts w:asciiTheme="minorHAnsi" w:hAnsiTheme="minorHAnsi"/>
                <w:sz w:val="20"/>
                <w:szCs w:val="20"/>
              </w:rPr>
              <w:t>Ostrov</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14</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31 846</w:t>
            </w:r>
          </w:p>
        </w:tc>
        <w:tc>
          <w:tcPr>
            <w:tcW w:w="673" w:type="pct"/>
            <w:noWrap/>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cs="Arial"/>
                <w:sz w:val="20"/>
                <w:szCs w:val="20"/>
              </w:rPr>
              <w:t>28316</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-1,2</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-2,6</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-3,8</w:t>
            </w:r>
          </w:p>
        </w:tc>
      </w:tr>
      <w:tr w:rsidR="00FE0A4F" w:rsidRPr="00FE0A4F" w:rsidTr="00E079F9">
        <w:tc>
          <w:tcPr>
            <w:tcW w:w="962" w:type="pct"/>
            <w:noWrap/>
            <w:vAlign w:val="center"/>
          </w:tcPr>
          <w:p w:rsidR="0001301B" w:rsidRPr="00FE0A4F" w:rsidRDefault="0001301B" w:rsidP="002C40B2">
            <w:pPr>
              <w:spacing w:after="0"/>
              <w:rPr>
                <w:rFonts w:asciiTheme="minorHAnsi" w:hAnsiTheme="minorHAnsi"/>
                <w:sz w:val="20"/>
                <w:szCs w:val="20"/>
              </w:rPr>
            </w:pPr>
            <w:r w:rsidRPr="00FE0A4F">
              <w:rPr>
                <w:rFonts w:asciiTheme="minorHAnsi" w:hAnsiTheme="minorHAnsi"/>
                <w:sz w:val="20"/>
                <w:szCs w:val="20"/>
              </w:rPr>
              <w:t>Sokolov</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30</w:t>
            </w:r>
          </w:p>
        </w:tc>
        <w:tc>
          <w:tcPr>
            <w:tcW w:w="673" w:type="pct"/>
            <w:noWrap/>
            <w:vAlign w:val="center"/>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48 895</w:t>
            </w:r>
          </w:p>
        </w:tc>
        <w:tc>
          <w:tcPr>
            <w:tcW w:w="673" w:type="pct"/>
            <w:noWrap/>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cs="Arial"/>
                <w:sz w:val="20"/>
                <w:szCs w:val="20"/>
              </w:rPr>
              <w:t>76205</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-1,9</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-5,0</w:t>
            </w:r>
          </w:p>
        </w:tc>
        <w:tc>
          <w:tcPr>
            <w:tcW w:w="673" w:type="pct"/>
            <w:vAlign w:val="bottom"/>
          </w:tcPr>
          <w:p w:rsidR="0001301B" w:rsidRPr="00FE0A4F" w:rsidRDefault="0001301B" w:rsidP="002C40B2">
            <w:pPr>
              <w:spacing w:after="0"/>
              <w:jc w:val="center"/>
              <w:rPr>
                <w:rFonts w:asciiTheme="minorHAnsi" w:hAnsiTheme="minorHAnsi"/>
                <w:sz w:val="20"/>
                <w:szCs w:val="20"/>
              </w:rPr>
            </w:pPr>
            <w:r w:rsidRPr="00FE0A4F">
              <w:rPr>
                <w:rFonts w:asciiTheme="minorHAnsi" w:hAnsiTheme="minorHAnsi"/>
                <w:sz w:val="20"/>
                <w:szCs w:val="20"/>
              </w:rPr>
              <w:t>-6,9</w:t>
            </w:r>
          </w:p>
        </w:tc>
      </w:tr>
      <w:tr w:rsidR="0001301B" w:rsidRPr="00FE0A4F" w:rsidTr="00E079F9">
        <w:tc>
          <w:tcPr>
            <w:tcW w:w="962" w:type="pct"/>
            <w:noWrap/>
            <w:vAlign w:val="center"/>
          </w:tcPr>
          <w:p w:rsidR="0001301B" w:rsidRPr="00FE0A4F" w:rsidRDefault="0001301B" w:rsidP="002C40B2">
            <w:pPr>
              <w:pStyle w:val="Table"/>
              <w:spacing w:after="0"/>
              <w:jc w:val="left"/>
              <w:rPr>
                <w:rFonts w:asciiTheme="minorHAnsi" w:hAnsiTheme="minorHAnsi" w:cs="Calibri"/>
                <w:b/>
                <w:bCs/>
                <w:sz w:val="20"/>
              </w:rPr>
            </w:pPr>
            <w:r w:rsidRPr="00FE0A4F">
              <w:rPr>
                <w:rFonts w:asciiTheme="minorHAnsi" w:hAnsiTheme="minorHAnsi" w:cs="Calibri"/>
                <w:b/>
                <w:bCs/>
                <w:sz w:val="20"/>
              </w:rPr>
              <w:t>Karlovarský kraj</w:t>
            </w:r>
          </w:p>
        </w:tc>
        <w:tc>
          <w:tcPr>
            <w:tcW w:w="673" w:type="pct"/>
            <w:noWrap/>
            <w:vAlign w:val="center"/>
          </w:tcPr>
          <w:p w:rsidR="0001301B" w:rsidRPr="00FE0A4F" w:rsidRDefault="0001301B" w:rsidP="002C40B2">
            <w:pPr>
              <w:spacing w:after="0"/>
              <w:jc w:val="center"/>
              <w:rPr>
                <w:rFonts w:asciiTheme="minorHAnsi" w:hAnsiTheme="minorHAnsi"/>
                <w:b/>
                <w:bCs/>
                <w:sz w:val="20"/>
                <w:szCs w:val="20"/>
              </w:rPr>
            </w:pPr>
            <w:r w:rsidRPr="00FE0A4F">
              <w:rPr>
                <w:rFonts w:asciiTheme="minorHAnsi" w:hAnsiTheme="minorHAnsi"/>
                <w:b/>
                <w:bCs/>
                <w:sz w:val="20"/>
                <w:szCs w:val="20"/>
              </w:rPr>
              <w:t>132</w:t>
            </w:r>
          </w:p>
        </w:tc>
        <w:tc>
          <w:tcPr>
            <w:tcW w:w="673" w:type="pct"/>
            <w:noWrap/>
            <w:vAlign w:val="center"/>
          </w:tcPr>
          <w:p w:rsidR="0001301B" w:rsidRPr="00FE0A4F" w:rsidRDefault="0001301B" w:rsidP="002C40B2">
            <w:pPr>
              <w:spacing w:after="0"/>
              <w:jc w:val="center"/>
              <w:rPr>
                <w:rFonts w:asciiTheme="minorHAnsi" w:hAnsiTheme="minorHAnsi"/>
                <w:b/>
                <w:bCs/>
                <w:sz w:val="20"/>
                <w:szCs w:val="20"/>
              </w:rPr>
            </w:pPr>
            <w:r w:rsidRPr="00FE0A4F">
              <w:rPr>
                <w:rFonts w:asciiTheme="minorHAnsi" w:hAnsiTheme="minorHAnsi"/>
                <w:b/>
                <w:bCs/>
                <w:sz w:val="20"/>
                <w:szCs w:val="20"/>
              </w:rPr>
              <w:t>331 437</w:t>
            </w:r>
          </w:p>
        </w:tc>
        <w:tc>
          <w:tcPr>
            <w:tcW w:w="673" w:type="pct"/>
            <w:noWrap/>
            <w:vAlign w:val="center"/>
          </w:tcPr>
          <w:p w:rsidR="0001301B" w:rsidRPr="00FE0A4F" w:rsidRDefault="0001301B" w:rsidP="002C40B2">
            <w:pPr>
              <w:spacing w:after="0"/>
              <w:jc w:val="center"/>
              <w:rPr>
                <w:rFonts w:asciiTheme="minorHAnsi" w:hAnsiTheme="minorHAnsi" w:cs="Arial"/>
                <w:b/>
                <w:sz w:val="20"/>
                <w:szCs w:val="20"/>
              </w:rPr>
            </w:pPr>
            <w:r w:rsidRPr="00FE0A4F">
              <w:rPr>
                <w:rFonts w:asciiTheme="minorHAnsi" w:hAnsiTheme="minorHAnsi" w:cs="Arial"/>
                <w:b/>
                <w:sz w:val="20"/>
                <w:szCs w:val="20"/>
              </w:rPr>
              <w:t>297 828</w:t>
            </w:r>
          </w:p>
        </w:tc>
        <w:tc>
          <w:tcPr>
            <w:tcW w:w="673" w:type="pct"/>
            <w:vAlign w:val="center"/>
          </w:tcPr>
          <w:p w:rsidR="0001301B" w:rsidRPr="00FE0A4F" w:rsidRDefault="0001301B" w:rsidP="002C40B2">
            <w:pPr>
              <w:spacing w:after="0"/>
              <w:jc w:val="center"/>
              <w:rPr>
                <w:rFonts w:asciiTheme="minorHAnsi" w:hAnsiTheme="minorHAnsi"/>
                <w:b/>
                <w:bCs/>
                <w:sz w:val="20"/>
                <w:szCs w:val="20"/>
              </w:rPr>
            </w:pPr>
            <w:r w:rsidRPr="00FE0A4F">
              <w:rPr>
                <w:rFonts w:asciiTheme="minorHAnsi" w:hAnsiTheme="minorHAnsi"/>
                <w:b/>
                <w:bCs/>
                <w:sz w:val="20"/>
                <w:szCs w:val="20"/>
              </w:rPr>
              <w:t>-1,8</w:t>
            </w:r>
          </w:p>
        </w:tc>
        <w:tc>
          <w:tcPr>
            <w:tcW w:w="673" w:type="pct"/>
            <w:vAlign w:val="center"/>
          </w:tcPr>
          <w:p w:rsidR="0001301B" w:rsidRPr="00FE0A4F" w:rsidRDefault="0001301B" w:rsidP="002C40B2">
            <w:pPr>
              <w:spacing w:after="0"/>
              <w:jc w:val="center"/>
              <w:rPr>
                <w:rFonts w:asciiTheme="minorHAnsi" w:hAnsiTheme="minorHAnsi"/>
                <w:b/>
                <w:bCs/>
                <w:sz w:val="20"/>
                <w:szCs w:val="20"/>
              </w:rPr>
            </w:pPr>
            <w:r w:rsidRPr="00FE0A4F">
              <w:rPr>
                <w:rFonts w:asciiTheme="minorHAnsi" w:hAnsiTheme="minorHAnsi"/>
                <w:b/>
                <w:bCs/>
                <w:sz w:val="20"/>
                <w:szCs w:val="20"/>
              </w:rPr>
              <w:t>-3,1</w:t>
            </w:r>
          </w:p>
        </w:tc>
        <w:tc>
          <w:tcPr>
            <w:tcW w:w="673" w:type="pct"/>
            <w:vAlign w:val="center"/>
          </w:tcPr>
          <w:p w:rsidR="0001301B" w:rsidRPr="00FE0A4F" w:rsidRDefault="0001301B" w:rsidP="002C40B2">
            <w:pPr>
              <w:spacing w:after="0"/>
              <w:jc w:val="center"/>
              <w:rPr>
                <w:rFonts w:asciiTheme="minorHAnsi" w:hAnsiTheme="minorHAnsi"/>
                <w:b/>
                <w:bCs/>
                <w:sz w:val="20"/>
                <w:szCs w:val="20"/>
              </w:rPr>
            </w:pPr>
            <w:r w:rsidRPr="00FE0A4F">
              <w:rPr>
                <w:rFonts w:asciiTheme="minorHAnsi" w:hAnsiTheme="minorHAnsi"/>
                <w:b/>
                <w:bCs/>
                <w:sz w:val="20"/>
                <w:szCs w:val="20"/>
              </w:rPr>
              <w:t>-4,9</w:t>
            </w:r>
          </w:p>
        </w:tc>
      </w:tr>
    </w:tbl>
    <w:p w:rsidR="0001301B" w:rsidRPr="00C21484" w:rsidRDefault="0001301B" w:rsidP="002C40B2">
      <w:pPr>
        <w:pStyle w:val="poznzdroj"/>
        <w:spacing w:after="0" w:line="276" w:lineRule="auto"/>
      </w:pPr>
      <w:r w:rsidRPr="00C21484">
        <w:t xml:space="preserve">Poznámka: Přirozený přírůstek, migrační saldo i celkový přírůstek jsou uvedeny v hodnotách na 1 000 obyvatel středního stavu. </w:t>
      </w:r>
    </w:p>
    <w:p w:rsidR="0001301B" w:rsidRDefault="0001301B" w:rsidP="002C40B2">
      <w:pPr>
        <w:pStyle w:val="poznzdroj"/>
        <w:spacing w:before="0" w:line="276" w:lineRule="auto"/>
        <w:rPr>
          <w:rFonts w:cs="Segoe UI"/>
          <w:color w:val="000000"/>
          <w:lang w:eastAsia="en-US"/>
        </w:rPr>
      </w:pPr>
      <w:r w:rsidRPr="00C21484">
        <w:t>Zdroj: ČSÚ</w:t>
      </w:r>
      <w:r w:rsidR="000B3B9C">
        <w:t xml:space="preserve"> - </w:t>
      </w:r>
      <w:r w:rsidRPr="00C21484">
        <w:t>Územně analytické podklady</w:t>
      </w:r>
    </w:p>
    <w:p w:rsidR="009E424D" w:rsidRDefault="0001301B">
      <w:pPr>
        <w:rPr>
          <w:rFonts w:eastAsia="Calibri"/>
          <w:b/>
          <w:bCs/>
          <w:szCs w:val="20"/>
          <w:lang w:eastAsia="en-US"/>
        </w:rPr>
      </w:pPr>
      <w:r>
        <w:t xml:space="preserve">Dlouhodobý vývoj počtu obyvatel </w:t>
      </w:r>
      <w:r w:rsidR="00A64853">
        <w:t>KK</w:t>
      </w:r>
      <w:r>
        <w:t xml:space="preserve"> ukazuje</w:t>
      </w:r>
      <w:r w:rsidR="003E6BE0">
        <w:t xml:space="preserve"> obrázek níže</w:t>
      </w:r>
      <w:r>
        <w:t xml:space="preserve">. V rámci ORP došlo mezi lety 2010 – 2015 k poklesu počtu obyvatel, nejvíce se pokles počtu obyvatel projevil na Kraslicku a Chebsku. Hodnoty vývoje počtu obyvatel v ORP jsou však velmi vyrovnané. </w:t>
      </w:r>
      <w:r w:rsidRPr="009E3BBA">
        <w:t xml:space="preserve">Přírůstek počtu obyvatel ve sledovaném období zaznamenaly především </w:t>
      </w:r>
      <w:r>
        <w:t xml:space="preserve">jednotlivé </w:t>
      </w:r>
      <w:r w:rsidRPr="009E3BBA">
        <w:t>obce v zázemí Chebu a Karlových Varů. Nejvyšší přírůstek obyvatel mají obce Pomezí nad Ohří a Jenišov, a to v souvislosti se suburbanizačním trendem. Přírůstek obyvatel vlivem suburbanizace se v menší míře ukazuje i v obcích Krušných hor, a to v ORP Ostrov a Karlovy Vary. Nižší přírůstek pak lze sledovat v severní části ORP Sokolov. Zaznamenány jsou poklesy počtu obyvatel většiny velkých měst - Karlovy Vary, Sokolov, Cheb, Mariánské Lázně. To potvrzuje již zmíněná suburbanizační tendence v jejich okolí. Naopak významnější úbytek počtu obyvatel je zřejmý v západní části Krušných hor, v </w:t>
      </w:r>
      <w:r w:rsidR="00DD25AB">
        <w:t>S</w:t>
      </w:r>
      <w:r w:rsidRPr="009E3BBA">
        <w:t>okolovské pánvi s přesahem do Slavkovského lesa a v okolí Žlutic, a to vzhledem k nepříznivým demografickým podmínkám těchto odlehlejších oblastí.</w:t>
      </w:r>
      <w:bookmarkStart w:id="429" w:name="_Ref464654580"/>
      <w:bookmarkStart w:id="430" w:name="_Ref310523640"/>
      <w:bookmarkStart w:id="431" w:name="_Toc321406445"/>
    </w:p>
    <w:p w:rsidR="0001301B" w:rsidRPr="00E2326C" w:rsidRDefault="0001301B" w:rsidP="000B3B9C">
      <w:pPr>
        <w:pStyle w:val="Titulek"/>
      </w:pPr>
      <w:bookmarkStart w:id="432" w:name="_Toc488234403"/>
      <w:r>
        <w:t xml:space="preserve">Obrázek </w:t>
      </w:r>
      <w:r w:rsidR="008965FE">
        <w:fldChar w:fldCharType="begin"/>
      </w:r>
      <w:r w:rsidR="00564668">
        <w:instrText xml:space="preserve"> STYLEREF 1 \s </w:instrText>
      </w:r>
      <w:r w:rsidR="008965FE">
        <w:fldChar w:fldCharType="separate"/>
      </w:r>
      <w:r w:rsidR="00CB29BD">
        <w:t>18</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1</w:t>
      </w:r>
      <w:r w:rsidR="008965FE">
        <w:fldChar w:fldCharType="end"/>
      </w:r>
      <w:bookmarkEnd w:id="429"/>
      <w:r w:rsidRPr="00AE46CF">
        <w:t xml:space="preserve">: Vývoj </w:t>
      </w:r>
      <w:r>
        <w:t>počtu obyvatel v</w:t>
      </w:r>
      <w:r w:rsidRPr="00AE46CF">
        <w:t xml:space="preserve"> ORP </w:t>
      </w:r>
      <w:r>
        <w:t xml:space="preserve">a obcích </w:t>
      </w:r>
      <w:r w:rsidRPr="00AE46CF">
        <w:t>Karlovarského kraje</w:t>
      </w:r>
      <w:bookmarkEnd w:id="430"/>
      <w:bookmarkEnd w:id="431"/>
      <w:r>
        <w:t xml:space="preserve"> mezi lety 2010 - 2015</w:t>
      </w:r>
      <w:bookmarkEnd w:id="432"/>
    </w:p>
    <w:p w:rsidR="0001301B" w:rsidRPr="00AE46CF" w:rsidRDefault="0001301B" w:rsidP="002C40B2">
      <w:pPr>
        <w:spacing w:after="0"/>
      </w:pPr>
      <w:r>
        <w:rPr>
          <w:noProof/>
        </w:rPr>
        <w:drawing>
          <wp:anchor distT="0" distB="0" distL="114300" distR="114300" simplePos="0" relativeHeight="251666432" behindDoc="1" locked="0" layoutInCell="1" allowOverlap="1">
            <wp:simplePos x="0" y="0"/>
            <wp:positionH relativeFrom="margin">
              <wp:posOffset>2959686</wp:posOffset>
            </wp:positionH>
            <wp:positionV relativeFrom="paragraph">
              <wp:posOffset>30167</wp:posOffset>
            </wp:positionV>
            <wp:extent cx="2786753" cy="2576945"/>
            <wp:effectExtent l="19050" t="19050" r="13970" b="13970"/>
            <wp:wrapNone/>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a:stretch/>
                  </pic:blipFill>
                  <pic:spPr bwMode="auto">
                    <a:xfrm>
                      <a:off x="0" y="0"/>
                      <a:ext cx="2786753" cy="25769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noProof/>
        </w:rPr>
        <w:drawing>
          <wp:inline distT="0" distB="0" distL="0" distR="0">
            <wp:extent cx="2932716" cy="2600696"/>
            <wp:effectExtent l="19050" t="19050" r="20320" b="2857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a:stretch/>
                  </pic:blipFill>
                  <pic:spPr bwMode="auto">
                    <a:xfrm>
                      <a:off x="0" y="0"/>
                      <a:ext cx="2965487" cy="262975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50447" w:rsidRDefault="00550447" w:rsidP="002C40B2">
      <w:pPr>
        <w:pStyle w:val="poznzdroj"/>
        <w:spacing w:line="276" w:lineRule="auto"/>
        <w:rPr>
          <w:rFonts w:cs="Segoe UI"/>
          <w:color w:val="000000"/>
          <w:lang w:eastAsia="en-US"/>
        </w:rPr>
      </w:pPr>
      <w:r w:rsidRPr="00C21484">
        <w:t>Zdroj: ČSÚ</w:t>
      </w:r>
      <w:r w:rsidR="00D40792">
        <w:t xml:space="preserve"> -</w:t>
      </w:r>
      <w:r>
        <w:t xml:space="preserve"> </w:t>
      </w:r>
      <w:r w:rsidRPr="00C21484">
        <w:t>Územně analytické podklady</w:t>
      </w:r>
    </w:p>
    <w:p w:rsidR="0001301B" w:rsidRPr="00AE46CF" w:rsidRDefault="0001301B" w:rsidP="002C40B2">
      <w:r>
        <w:lastRenderedPageBreak/>
        <w:t>Významnější územní diferenciaci v </w:t>
      </w:r>
      <w:r w:rsidR="00A64853">
        <w:t>KK</w:t>
      </w:r>
      <w:r>
        <w:t xml:space="preserve"> lze pozorovat na základě h</w:t>
      </w:r>
      <w:r w:rsidRPr="00AE46CF">
        <w:t xml:space="preserve">odnoty míry nezaměstnanosti jako </w:t>
      </w:r>
      <w:r w:rsidRPr="00AE46CF">
        <w:rPr>
          <w:szCs w:val="20"/>
        </w:rPr>
        <w:t>ne</w:t>
      </w:r>
      <w:r>
        <w:rPr>
          <w:szCs w:val="20"/>
        </w:rPr>
        <w:t xml:space="preserve">jvíce </w:t>
      </w:r>
      <w:r w:rsidRPr="00AE46CF">
        <w:rPr>
          <w:szCs w:val="20"/>
        </w:rPr>
        <w:t>vy</w:t>
      </w:r>
      <w:r>
        <w:rPr>
          <w:szCs w:val="20"/>
        </w:rPr>
        <w:t>povídajícího</w:t>
      </w:r>
      <w:r w:rsidRPr="00AE46CF">
        <w:rPr>
          <w:szCs w:val="20"/>
        </w:rPr>
        <w:t xml:space="preserve"> syntetického ukazatele </w:t>
      </w:r>
      <w:r w:rsidRPr="00AE46CF">
        <w:t>hospodářské prosperity i socio-ekonomických podmínek</w:t>
      </w:r>
      <w:r>
        <w:t xml:space="preserve">. </w:t>
      </w:r>
      <w:r>
        <w:rPr>
          <w:szCs w:val="20"/>
        </w:rPr>
        <w:t xml:space="preserve">Při hodnocení vývoje nezaměstnanosti je potřeba vzít v úvahu novou metodiku sledování tohoto ukazatele od roku 2013. Mezi lety 2011 a 2013 tak pokles tohoto ukazatele nelze považovat za dostatečně vypovídající o skutečném vývoji nezaměstnanosti v kraji. </w:t>
      </w:r>
      <w:r>
        <w:t xml:space="preserve">Míra nezaměstnanosti a další </w:t>
      </w:r>
      <w:r w:rsidRPr="00AE46CF">
        <w:t xml:space="preserve">hodnoty základních socio-ekonomických charakteristik </w:t>
      </w:r>
      <w:r>
        <w:t>n</w:t>
      </w:r>
      <w:r w:rsidRPr="00AE46CF">
        <w:t xml:space="preserve">a nejnižší </w:t>
      </w:r>
      <w:r>
        <w:t xml:space="preserve">sledované </w:t>
      </w:r>
      <w:r w:rsidRPr="00AE46CF">
        <w:t>územní úrovni</w:t>
      </w:r>
      <w:r>
        <w:t xml:space="preserve"> (ORP) je uvedena v </w:t>
      </w:r>
      <w:r w:rsidR="004F2330">
        <w:fldChar w:fldCharType="begin"/>
      </w:r>
      <w:r w:rsidR="004F2330">
        <w:instrText xml:space="preserve"> REF _Ref464655586 \h  \* MERGEFORMAT </w:instrText>
      </w:r>
      <w:r w:rsidR="004F2330">
        <w:fldChar w:fldCharType="separate"/>
      </w:r>
      <w:r w:rsidR="00EB0944">
        <w:t>tabulce</w:t>
      </w:r>
      <w:r w:rsidR="00CB29BD">
        <w:t xml:space="preserve"> </w:t>
      </w:r>
      <w:r w:rsidR="00CB29BD">
        <w:rPr>
          <w:noProof/>
        </w:rPr>
        <w:t>18</w:t>
      </w:r>
      <w:r w:rsidR="00CB29BD">
        <w:t>.2</w:t>
      </w:r>
      <w:r w:rsidR="004F2330">
        <w:fldChar w:fldCharType="end"/>
      </w:r>
      <w:r>
        <w:t xml:space="preserve">. </w:t>
      </w:r>
      <w:r>
        <w:rPr>
          <w:szCs w:val="20"/>
        </w:rPr>
        <w:t>Po období krize mezi lety 2007 - 2010 se v roce 2011 zastavil růst nezaměstnanosti a v</w:t>
      </w:r>
      <w:r w:rsidRPr="00AE46CF">
        <w:t xml:space="preserve"> časové řadě od roku 20</w:t>
      </w:r>
      <w:r>
        <w:t>11 do roku 2015 lze pozorovat</w:t>
      </w:r>
      <w:r w:rsidRPr="00AE46CF">
        <w:t xml:space="preserve"> klesající tendenci míry nezaměstnanosti</w:t>
      </w:r>
      <w:r w:rsidRPr="00AE46CF">
        <w:rPr>
          <w:szCs w:val="20"/>
        </w:rPr>
        <w:t>.</w:t>
      </w:r>
      <w:r>
        <w:rPr>
          <w:szCs w:val="20"/>
        </w:rPr>
        <w:t xml:space="preserve"> Avšak i přes patrný pokles se </w:t>
      </w:r>
      <w:r w:rsidR="00A64853">
        <w:rPr>
          <w:szCs w:val="20"/>
        </w:rPr>
        <w:t>KK</w:t>
      </w:r>
      <w:r>
        <w:rPr>
          <w:szCs w:val="20"/>
        </w:rPr>
        <w:t xml:space="preserve"> řadí k regionům s největší mírou nezaměstnanosti a jsou zde patrné velké rozdíly v nezaměstnanosti uvnitř regionu.</w:t>
      </w:r>
      <w:r w:rsidRPr="00AE46CF">
        <w:rPr>
          <w:szCs w:val="20"/>
        </w:rPr>
        <w:t xml:space="preserve"> </w:t>
      </w:r>
      <w:r w:rsidRPr="00AE46CF">
        <w:rPr>
          <w:b/>
          <w:szCs w:val="20"/>
        </w:rPr>
        <w:t>Nejproblémovějšími regiony z hlediska vysoké míry nezaměstnanosti zůstávají obvody ORP Sokolov</w:t>
      </w:r>
      <w:r>
        <w:rPr>
          <w:b/>
          <w:szCs w:val="20"/>
        </w:rPr>
        <w:t xml:space="preserve"> (8,7 %), Kraslice (8,1 %) a Ostrov (7,1 %).</w:t>
      </w:r>
      <w:r w:rsidRPr="00AE46CF">
        <w:rPr>
          <w:szCs w:val="20"/>
        </w:rPr>
        <w:t xml:space="preserve"> Nepříznivou situaci v ORP Kraslice </w:t>
      </w:r>
      <w:r>
        <w:rPr>
          <w:szCs w:val="20"/>
        </w:rPr>
        <w:t xml:space="preserve">a Sokolov </w:t>
      </w:r>
      <w:r w:rsidRPr="00AE46CF">
        <w:rPr>
          <w:szCs w:val="20"/>
        </w:rPr>
        <w:t xml:space="preserve">dokládá také údaj o počtu uchazečů na jedno volné pracovní místo, který </w:t>
      </w:r>
      <w:r>
        <w:rPr>
          <w:szCs w:val="20"/>
        </w:rPr>
        <w:t>několika</w:t>
      </w:r>
      <w:r w:rsidRPr="00AE46CF">
        <w:rPr>
          <w:szCs w:val="20"/>
        </w:rPr>
        <w:t xml:space="preserve">násobně překračuje hodnoty v ostatních </w:t>
      </w:r>
      <w:r>
        <w:rPr>
          <w:szCs w:val="20"/>
        </w:rPr>
        <w:t>ORP</w:t>
      </w:r>
      <w:r w:rsidRPr="00AE46CF">
        <w:rPr>
          <w:szCs w:val="20"/>
        </w:rPr>
        <w:t>.</w:t>
      </w:r>
    </w:p>
    <w:p w:rsidR="0001301B" w:rsidRPr="00AE46CF" w:rsidRDefault="0001301B" w:rsidP="000B3B9C">
      <w:pPr>
        <w:pStyle w:val="Titulek"/>
      </w:pPr>
      <w:bookmarkStart w:id="433" w:name="_Ref464655586"/>
      <w:bookmarkStart w:id="434" w:name="_Toc488233519"/>
      <w:bookmarkStart w:id="435" w:name="_Ref310523383"/>
      <w:bookmarkStart w:id="436" w:name="_Toc321406075"/>
      <w:r>
        <w:t xml:space="preserve">Tabulka </w:t>
      </w:r>
      <w:r w:rsidR="008965FE">
        <w:fldChar w:fldCharType="begin"/>
      </w:r>
      <w:r w:rsidR="00B33DFE">
        <w:instrText xml:space="preserve"> STYLEREF 1 \s </w:instrText>
      </w:r>
      <w:r w:rsidR="008965FE">
        <w:fldChar w:fldCharType="separate"/>
      </w:r>
      <w:r w:rsidR="00CB29BD">
        <w:t>18</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433"/>
      <w:r w:rsidRPr="00AE46CF">
        <w:t>: Socio-ekonomická charakteristika správních obvodů ORP Karlovarského kraje</w:t>
      </w:r>
      <w:bookmarkEnd w:id="434"/>
      <w:r w:rsidRPr="00AE46CF">
        <w:t xml:space="preserve"> </w:t>
      </w:r>
      <w:bookmarkEnd w:id="435"/>
      <w:bookmarkEnd w:id="43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725"/>
        <w:gridCol w:w="727"/>
        <w:gridCol w:w="727"/>
        <w:gridCol w:w="727"/>
        <w:gridCol w:w="1089"/>
        <w:gridCol w:w="1089"/>
        <w:gridCol w:w="918"/>
        <w:gridCol w:w="918"/>
        <w:gridCol w:w="918"/>
      </w:tblGrid>
      <w:tr w:rsidR="0001301B" w:rsidRPr="00550447" w:rsidTr="00E079F9">
        <w:trPr>
          <w:trHeight w:val="1136"/>
        </w:trPr>
        <w:tc>
          <w:tcPr>
            <w:tcW w:w="731" w:type="pct"/>
            <w:vMerge w:val="restart"/>
            <w:noWrap/>
            <w:vAlign w:val="center"/>
          </w:tcPr>
          <w:p w:rsidR="0001301B" w:rsidRPr="00550447" w:rsidRDefault="0001301B" w:rsidP="00E079F9">
            <w:pPr>
              <w:pStyle w:val="Table"/>
              <w:spacing w:after="0"/>
              <w:jc w:val="center"/>
              <w:rPr>
                <w:rFonts w:asciiTheme="minorHAnsi" w:hAnsiTheme="minorHAnsi" w:cs="Calibri"/>
                <w:b/>
                <w:sz w:val="20"/>
              </w:rPr>
            </w:pPr>
            <w:r w:rsidRPr="00550447">
              <w:rPr>
                <w:rFonts w:asciiTheme="minorHAnsi" w:hAnsiTheme="minorHAnsi" w:cs="Calibri"/>
                <w:b/>
                <w:bCs/>
                <w:sz w:val="20"/>
              </w:rPr>
              <w:t>ORP</w:t>
            </w:r>
          </w:p>
        </w:tc>
        <w:tc>
          <w:tcPr>
            <w:tcW w:w="1583" w:type="pct"/>
            <w:gridSpan w:val="4"/>
            <w:noWrap/>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míra nezaměstnanosti</w:t>
            </w:r>
          </w:p>
        </w:tc>
        <w:tc>
          <w:tcPr>
            <w:tcW w:w="593" w:type="pct"/>
            <w:vAlign w:val="center"/>
          </w:tcPr>
          <w:p w:rsidR="0001301B" w:rsidRPr="00550447" w:rsidRDefault="00550447"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U</w:t>
            </w:r>
            <w:r w:rsidR="0001301B" w:rsidRPr="00550447">
              <w:rPr>
                <w:rFonts w:asciiTheme="minorHAnsi" w:hAnsiTheme="minorHAnsi" w:cs="Calibri"/>
                <w:b/>
                <w:bCs/>
                <w:sz w:val="20"/>
              </w:rPr>
              <w:t>chazeči</w:t>
            </w:r>
            <w:r>
              <w:rPr>
                <w:rFonts w:asciiTheme="minorHAnsi" w:hAnsiTheme="minorHAnsi" w:cs="Calibri"/>
                <w:b/>
                <w:bCs/>
                <w:sz w:val="20"/>
              </w:rPr>
              <w:t xml:space="preserve"> </w:t>
            </w:r>
            <w:r w:rsidR="0001301B" w:rsidRPr="00550447">
              <w:rPr>
                <w:rFonts w:asciiTheme="minorHAnsi" w:hAnsiTheme="minorHAnsi" w:cs="Calibri"/>
                <w:b/>
                <w:bCs/>
                <w:sz w:val="20"/>
              </w:rPr>
              <w:t>o zaměst</w:t>
            </w:r>
            <w:r>
              <w:rPr>
                <w:rFonts w:asciiTheme="minorHAnsi" w:hAnsiTheme="minorHAnsi" w:cs="Calibri"/>
                <w:b/>
                <w:bCs/>
                <w:sz w:val="20"/>
              </w:rPr>
              <w:t>-</w:t>
            </w:r>
            <w:r w:rsidR="0001301B" w:rsidRPr="00550447">
              <w:rPr>
                <w:rFonts w:asciiTheme="minorHAnsi" w:hAnsiTheme="minorHAnsi" w:cs="Calibri"/>
                <w:b/>
                <w:bCs/>
                <w:sz w:val="20"/>
              </w:rPr>
              <w:t>nání</w:t>
            </w:r>
          </w:p>
        </w:tc>
        <w:tc>
          <w:tcPr>
            <w:tcW w:w="593"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počet uchazečů</w:t>
            </w:r>
          </w:p>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na 1 volné místo</w:t>
            </w:r>
          </w:p>
        </w:tc>
        <w:tc>
          <w:tcPr>
            <w:tcW w:w="1501" w:type="pct"/>
            <w:gridSpan w:val="3"/>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ekonomické subjekty</w:t>
            </w:r>
          </w:p>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k  31. 12. 2014</w:t>
            </w:r>
          </w:p>
        </w:tc>
      </w:tr>
      <w:tr w:rsidR="00550447" w:rsidRPr="00550447" w:rsidTr="00E079F9">
        <w:trPr>
          <w:trHeight w:val="335"/>
        </w:trPr>
        <w:tc>
          <w:tcPr>
            <w:tcW w:w="731" w:type="pct"/>
            <w:vMerge/>
            <w:noWrap/>
            <w:vAlign w:val="center"/>
          </w:tcPr>
          <w:p w:rsidR="0001301B" w:rsidRPr="00550447" w:rsidRDefault="0001301B" w:rsidP="00E079F9">
            <w:pPr>
              <w:pStyle w:val="Table"/>
              <w:spacing w:after="0"/>
              <w:jc w:val="center"/>
              <w:rPr>
                <w:rFonts w:asciiTheme="minorHAnsi" w:hAnsiTheme="minorHAnsi" w:cs="Calibri"/>
                <w:b/>
                <w:bCs/>
                <w:sz w:val="20"/>
              </w:rPr>
            </w:pPr>
          </w:p>
        </w:tc>
        <w:tc>
          <w:tcPr>
            <w:tcW w:w="395" w:type="pct"/>
            <w:noWrap/>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2011</w:t>
            </w:r>
          </w:p>
        </w:tc>
        <w:tc>
          <w:tcPr>
            <w:tcW w:w="396"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2013</w:t>
            </w:r>
          </w:p>
        </w:tc>
        <w:tc>
          <w:tcPr>
            <w:tcW w:w="396"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2014</w:t>
            </w:r>
          </w:p>
        </w:tc>
        <w:tc>
          <w:tcPr>
            <w:tcW w:w="396"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2015</w:t>
            </w:r>
          </w:p>
        </w:tc>
        <w:tc>
          <w:tcPr>
            <w:tcW w:w="592"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2015</w:t>
            </w:r>
          </w:p>
        </w:tc>
        <w:tc>
          <w:tcPr>
            <w:tcW w:w="593"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2014</w:t>
            </w:r>
          </w:p>
        </w:tc>
        <w:tc>
          <w:tcPr>
            <w:tcW w:w="500"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celkem</w:t>
            </w:r>
          </w:p>
        </w:tc>
        <w:tc>
          <w:tcPr>
            <w:tcW w:w="500"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FO</w:t>
            </w:r>
          </w:p>
        </w:tc>
        <w:tc>
          <w:tcPr>
            <w:tcW w:w="501" w:type="pct"/>
            <w:vAlign w:val="center"/>
          </w:tcPr>
          <w:p w:rsidR="0001301B" w:rsidRPr="00550447" w:rsidRDefault="0001301B" w:rsidP="00E079F9">
            <w:pPr>
              <w:pStyle w:val="Table"/>
              <w:spacing w:after="0"/>
              <w:jc w:val="center"/>
              <w:rPr>
                <w:rFonts w:asciiTheme="minorHAnsi" w:hAnsiTheme="minorHAnsi" w:cs="Calibri"/>
                <w:b/>
                <w:bCs/>
                <w:sz w:val="20"/>
              </w:rPr>
            </w:pPr>
            <w:r w:rsidRPr="00550447">
              <w:rPr>
                <w:rFonts w:asciiTheme="minorHAnsi" w:hAnsiTheme="minorHAnsi" w:cs="Calibri"/>
                <w:b/>
                <w:bCs/>
                <w:sz w:val="20"/>
              </w:rPr>
              <w:t>PO</w:t>
            </w:r>
          </w:p>
        </w:tc>
      </w:tr>
      <w:tr w:rsidR="00550447" w:rsidRPr="00550447" w:rsidTr="00E079F9">
        <w:trPr>
          <w:trHeight w:val="426"/>
        </w:trPr>
        <w:tc>
          <w:tcPr>
            <w:tcW w:w="731" w:type="pct"/>
            <w:noWrap/>
            <w:vAlign w:val="center"/>
          </w:tcPr>
          <w:p w:rsidR="0001301B" w:rsidRPr="00550447" w:rsidRDefault="0001301B" w:rsidP="002C40B2">
            <w:pPr>
              <w:spacing w:after="0"/>
              <w:rPr>
                <w:rFonts w:asciiTheme="minorHAnsi" w:hAnsiTheme="minorHAnsi"/>
                <w:sz w:val="20"/>
                <w:szCs w:val="20"/>
              </w:rPr>
            </w:pPr>
            <w:r w:rsidRPr="00550447">
              <w:rPr>
                <w:rFonts w:asciiTheme="minorHAnsi" w:hAnsiTheme="minorHAnsi"/>
                <w:sz w:val="20"/>
                <w:szCs w:val="20"/>
              </w:rPr>
              <w:t>Aš</w:t>
            </w:r>
          </w:p>
        </w:tc>
        <w:tc>
          <w:tcPr>
            <w:tcW w:w="395"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color w:val="000000"/>
                <w:sz w:val="20"/>
                <w:szCs w:val="20"/>
              </w:rPr>
              <w:t>7,7</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6,4</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4,8</w:t>
            </w:r>
          </w:p>
        </w:tc>
        <w:tc>
          <w:tcPr>
            <w:tcW w:w="396"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3,9</w:t>
            </w:r>
          </w:p>
        </w:tc>
        <w:tc>
          <w:tcPr>
            <w:tcW w:w="592"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508</w:t>
            </w:r>
          </w:p>
        </w:tc>
        <w:tc>
          <w:tcPr>
            <w:tcW w:w="593"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3,1</w:t>
            </w:r>
          </w:p>
        </w:tc>
        <w:tc>
          <w:tcPr>
            <w:tcW w:w="500" w:type="pct"/>
            <w:vAlign w:val="center"/>
          </w:tcPr>
          <w:p w:rsidR="0001301B" w:rsidRPr="00550447" w:rsidRDefault="0001301B" w:rsidP="002C40B2">
            <w:pPr>
              <w:spacing w:after="0"/>
              <w:jc w:val="center"/>
              <w:rPr>
                <w:rFonts w:asciiTheme="minorHAnsi" w:hAnsiTheme="minorHAnsi"/>
                <w:bCs/>
                <w:sz w:val="20"/>
                <w:szCs w:val="20"/>
              </w:rPr>
            </w:pPr>
            <w:r w:rsidRPr="00550447">
              <w:rPr>
                <w:rFonts w:asciiTheme="minorHAnsi" w:hAnsiTheme="minorHAnsi"/>
                <w:bCs/>
                <w:sz w:val="20"/>
                <w:szCs w:val="20"/>
              </w:rPr>
              <w:t>4 073</w:t>
            </w:r>
          </w:p>
        </w:tc>
        <w:tc>
          <w:tcPr>
            <w:tcW w:w="500"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3 053</w:t>
            </w:r>
          </w:p>
        </w:tc>
        <w:tc>
          <w:tcPr>
            <w:tcW w:w="501"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1 020</w:t>
            </w:r>
          </w:p>
        </w:tc>
      </w:tr>
      <w:tr w:rsidR="00550447" w:rsidRPr="00550447" w:rsidTr="00E079F9">
        <w:trPr>
          <w:trHeight w:val="426"/>
        </w:trPr>
        <w:tc>
          <w:tcPr>
            <w:tcW w:w="731" w:type="pct"/>
            <w:noWrap/>
            <w:vAlign w:val="center"/>
          </w:tcPr>
          <w:p w:rsidR="0001301B" w:rsidRPr="00550447" w:rsidRDefault="0001301B" w:rsidP="002C40B2">
            <w:pPr>
              <w:spacing w:after="0"/>
              <w:rPr>
                <w:rFonts w:asciiTheme="minorHAnsi" w:hAnsiTheme="minorHAnsi"/>
                <w:sz w:val="20"/>
                <w:szCs w:val="20"/>
              </w:rPr>
            </w:pPr>
            <w:r w:rsidRPr="00550447">
              <w:rPr>
                <w:rFonts w:asciiTheme="minorHAnsi" w:hAnsiTheme="minorHAnsi"/>
                <w:sz w:val="20"/>
                <w:szCs w:val="20"/>
              </w:rPr>
              <w:t>Cheb</w:t>
            </w:r>
          </w:p>
        </w:tc>
        <w:tc>
          <w:tcPr>
            <w:tcW w:w="395"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color w:val="000000"/>
                <w:sz w:val="20"/>
                <w:szCs w:val="20"/>
              </w:rPr>
              <w:t>10</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8,5</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7,3</w:t>
            </w:r>
          </w:p>
        </w:tc>
        <w:tc>
          <w:tcPr>
            <w:tcW w:w="396"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6,5</w:t>
            </w:r>
          </w:p>
        </w:tc>
        <w:tc>
          <w:tcPr>
            <w:tcW w:w="592"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2 296</w:t>
            </w:r>
          </w:p>
        </w:tc>
        <w:tc>
          <w:tcPr>
            <w:tcW w:w="593"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5,9</w:t>
            </w:r>
          </w:p>
        </w:tc>
        <w:tc>
          <w:tcPr>
            <w:tcW w:w="500" w:type="pct"/>
            <w:vAlign w:val="center"/>
          </w:tcPr>
          <w:p w:rsidR="0001301B" w:rsidRPr="00550447" w:rsidRDefault="0001301B" w:rsidP="002C40B2">
            <w:pPr>
              <w:spacing w:after="0"/>
              <w:jc w:val="center"/>
              <w:rPr>
                <w:rFonts w:asciiTheme="minorHAnsi" w:hAnsiTheme="minorHAnsi"/>
                <w:bCs/>
                <w:sz w:val="20"/>
                <w:szCs w:val="20"/>
              </w:rPr>
            </w:pPr>
            <w:r w:rsidRPr="00550447">
              <w:rPr>
                <w:rFonts w:asciiTheme="minorHAnsi" w:hAnsiTheme="minorHAnsi"/>
                <w:bCs/>
                <w:sz w:val="20"/>
                <w:szCs w:val="20"/>
              </w:rPr>
              <w:t>12 973</w:t>
            </w:r>
          </w:p>
        </w:tc>
        <w:tc>
          <w:tcPr>
            <w:tcW w:w="500"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9 980</w:t>
            </w:r>
          </w:p>
        </w:tc>
        <w:tc>
          <w:tcPr>
            <w:tcW w:w="501"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2 993</w:t>
            </w:r>
          </w:p>
        </w:tc>
      </w:tr>
      <w:tr w:rsidR="00550447" w:rsidRPr="00550447" w:rsidTr="00E079F9">
        <w:trPr>
          <w:trHeight w:val="426"/>
        </w:trPr>
        <w:tc>
          <w:tcPr>
            <w:tcW w:w="731" w:type="pct"/>
            <w:noWrap/>
            <w:vAlign w:val="center"/>
          </w:tcPr>
          <w:p w:rsidR="0001301B" w:rsidRPr="00550447" w:rsidRDefault="0001301B" w:rsidP="002C40B2">
            <w:pPr>
              <w:spacing w:after="0"/>
              <w:rPr>
                <w:rFonts w:asciiTheme="minorHAnsi" w:hAnsiTheme="minorHAnsi"/>
                <w:sz w:val="20"/>
                <w:szCs w:val="20"/>
              </w:rPr>
            </w:pPr>
            <w:r w:rsidRPr="00550447">
              <w:rPr>
                <w:rFonts w:asciiTheme="minorHAnsi" w:hAnsiTheme="minorHAnsi"/>
                <w:sz w:val="20"/>
                <w:szCs w:val="20"/>
              </w:rPr>
              <w:t>Karlovy Vary</w:t>
            </w:r>
          </w:p>
        </w:tc>
        <w:tc>
          <w:tcPr>
            <w:tcW w:w="395"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color w:val="000000"/>
                <w:sz w:val="20"/>
                <w:szCs w:val="20"/>
              </w:rPr>
              <w:t>9,8</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8,9</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7,9</w:t>
            </w:r>
          </w:p>
        </w:tc>
        <w:tc>
          <w:tcPr>
            <w:tcW w:w="396"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6,8</w:t>
            </w:r>
          </w:p>
        </w:tc>
        <w:tc>
          <w:tcPr>
            <w:tcW w:w="592"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4 299</w:t>
            </w:r>
          </w:p>
        </w:tc>
        <w:tc>
          <w:tcPr>
            <w:tcW w:w="593"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9,9</w:t>
            </w:r>
          </w:p>
        </w:tc>
        <w:tc>
          <w:tcPr>
            <w:tcW w:w="500" w:type="pct"/>
            <w:vAlign w:val="center"/>
          </w:tcPr>
          <w:p w:rsidR="0001301B" w:rsidRPr="00550447" w:rsidRDefault="0001301B" w:rsidP="002C40B2">
            <w:pPr>
              <w:spacing w:after="0"/>
              <w:jc w:val="center"/>
              <w:rPr>
                <w:rFonts w:asciiTheme="minorHAnsi" w:hAnsiTheme="minorHAnsi"/>
                <w:bCs/>
                <w:sz w:val="20"/>
                <w:szCs w:val="20"/>
              </w:rPr>
            </w:pPr>
            <w:r w:rsidRPr="00550447">
              <w:rPr>
                <w:rFonts w:asciiTheme="minorHAnsi" w:hAnsiTheme="minorHAnsi"/>
                <w:bCs/>
                <w:sz w:val="20"/>
                <w:szCs w:val="20"/>
              </w:rPr>
              <w:t>27 006</w:t>
            </w:r>
          </w:p>
        </w:tc>
        <w:tc>
          <w:tcPr>
            <w:tcW w:w="500"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18 829</w:t>
            </w:r>
          </w:p>
        </w:tc>
        <w:tc>
          <w:tcPr>
            <w:tcW w:w="501"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8 177</w:t>
            </w:r>
          </w:p>
        </w:tc>
      </w:tr>
      <w:tr w:rsidR="00550447" w:rsidRPr="00550447" w:rsidTr="00E079F9">
        <w:trPr>
          <w:trHeight w:val="426"/>
        </w:trPr>
        <w:tc>
          <w:tcPr>
            <w:tcW w:w="731" w:type="pct"/>
            <w:noWrap/>
            <w:vAlign w:val="center"/>
          </w:tcPr>
          <w:p w:rsidR="0001301B" w:rsidRPr="00550447" w:rsidRDefault="0001301B" w:rsidP="002C40B2">
            <w:pPr>
              <w:spacing w:after="0"/>
              <w:rPr>
                <w:rFonts w:asciiTheme="minorHAnsi" w:hAnsiTheme="minorHAnsi"/>
                <w:sz w:val="20"/>
                <w:szCs w:val="20"/>
              </w:rPr>
            </w:pPr>
            <w:r w:rsidRPr="00550447">
              <w:rPr>
                <w:rFonts w:asciiTheme="minorHAnsi" w:hAnsiTheme="minorHAnsi"/>
                <w:sz w:val="20"/>
                <w:szCs w:val="20"/>
              </w:rPr>
              <w:t>Kraslice</w:t>
            </w:r>
          </w:p>
        </w:tc>
        <w:tc>
          <w:tcPr>
            <w:tcW w:w="395"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color w:val="000000"/>
                <w:sz w:val="20"/>
                <w:szCs w:val="20"/>
              </w:rPr>
              <w:t>14,4</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10,6</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9,7</w:t>
            </w:r>
          </w:p>
        </w:tc>
        <w:tc>
          <w:tcPr>
            <w:tcW w:w="396"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8,1</w:t>
            </w:r>
          </w:p>
        </w:tc>
        <w:tc>
          <w:tcPr>
            <w:tcW w:w="592"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766</w:t>
            </w:r>
          </w:p>
        </w:tc>
        <w:tc>
          <w:tcPr>
            <w:tcW w:w="593"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65,9</w:t>
            </w:r>
          </w:p>
        </w:tc>
        <w:tc>
          <w:tcPr>
            <w:tcW w:w="500" w:type="pct"/>
            <w:vAlign w:val="center"/>
          </w:tcPr>
          <w:p w:rsidR="0001301B" w:rsidRPr="00550447" w:rsidRDefault="0001301B" w:rsidP="002C40B2">
            <w:pPr>
              <w:spacing w:after="0"/>
              <w:jc w:val="center"/>
              <w:rPr>
                <w:rFonts w:asciiTheme="minorHAnsi" w:hAnsiTheme="minorHAnsi"/>
                <w:bCs/>
                <w:sz w:val="20"/>
                <w:szCs w:val="20"/>
              </w:rPr>
            </w:pPr>
            <w:r w:rsidRPr="00550447">
              <w:rPr>
                <w:rFonts w:asciiTheme="minorHAnsi" w:hAnsiTheme="minorHAnsi"/>
                <w:bCs/>
                <w:sz w:val="20"/>
                <w:szCs w:val="20"/>
              </w:rPr>
              <w:t>2 877</w:t>
            </w:r>
          </w:p>
        </w:tc>
        <w:tc>
          <w:tcPr>
            <w:tcW w:w="500"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2 407</w:t>
            </w:r>
          </w:p>
        </w:tc>
        <w:tc>
          <w:tcPr>
            <w:tcW w:w="501"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470</w:t>
            </w:r>
          </w:p>
        </w:tc>
      </w:tr>
      <w:tr w:rsidR="00550447" w:rsidRPr="00550447" w:rsidTr="00E079F9">
        <w:trPr>
          <w:trHeight w:val="426"/>
        </w:trPr>
        <w:tc>
          <w:tcPr>
            <w:tcW w:w="731" w:type="pct"/>
            <w:noWrap/>
            <w:vAlign w:val="center"/>
          </w:tcPr>
          <w:p w:rsidR="0001301B" w:rsidRPr="00550447" w:rsidRDefault="0001301B" w:rsidP="002C40B2">
            <w:pPr>
              <w:spacing w:after="0"/>
              <w:rPr>
                <w:rFonts w:asciiTheme="minorHAnsi" w:hAnsiTheme="minorHAnsi"/>
                <w:sz w:val="20"/>
                <w:szCs w:val="20"/>
              </w:rPr>
            </w:pPr>
            <w:r w:rsidRPr="00550447">
              <w:rPr>
                <w:rFonts w:asciiTheme="minorHAnsi" w:hAnsiTheme="minorHAnsi"/>
                <w:sz w:val="20"/>
                <w:szCs w:val="20"/>
              </w:rPr>
              <w:t>Mariánské Lázně</w:t>
            </w:r>
          </w:p>
        </w:tc>
        <w:tc>
          <w:tcPr>
            <w:tcW w:w="395"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color w:val="000000"/>
                <w:sz w:val="20"/>
                <w:szCs w:val="20"/>
              </w:rPr>
              <w:t>7,8</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6,2</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5,4</w:t>
            </w:r>
          </w:p>
        </w:tc>
        <w:tc>
          <w:tcPr>
            <w:tcW w:w="396"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4,2</w:t>
            </w:r>
          </w:p>
        </w:tc>
        <w:tc>
          <w:tcPr>
            <w:tcW w:w="592"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732</w:t>
            </w:r>
          </w:p>
        </w:tc>
        <w:tc>
          <w:tcPr>
            <w:tcW w:w="593"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4,0</w:t>
            </w:r>
          </w:p>
        </w:tc>
        <w:tc>
          <w:tcPr>
            <w:tcW w:w="500" w:type="pct"/>
            <w:vAlign w:val="center"/>
          </w:tcPr>
          <w:p w:rsidR="0001301B" w:rsidRPr="00550447" w:rsidRDefault="0001301B" w:rsidP="002C40B2">
            <w:pPr>
              <w:spacing w:after="0"/>
              <w:jc w:val="center"/>
              <w:rPr>
                <w:rFonts w:asciiTheme="minorHAnsi" w:hAnsiTheme="minorHAnsi"/>
                <w:bCs/>
                <w:sz w:val="20"/>
                <w:szCs w:val="20"/>
              </w:rPr>
            </w:pPr>
            <w:r w:rsidRPr="00550447">
              <w:rPr>
                <w:rFonts w:asciiTheme="minorHAnsi" w:hAnsiTheme="minorHAnsi"/>
                <w:bCs/>
                <w:sz w:val="20"/>
                <w:szCs w:val="20"/>
              </w:rPr>
              <w:t>7 534</w:t>
            </w:r>
          </w:p>
        </w:tc>
        <w:tc>
          <w:tcPr>
            <w:tcW w:w="500"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5 594</w:t>
            </w:r>
          </w:p>
        </w:tc>
        <w:tc>
          <w:tcPr>
            <w:tcW w:w="501"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1 940</w:t>
            </w:r>
          </w:p>
        </w:tc>
      </w:tr>
      <w:tr w:rsidR="00550447" w:rsidRPr="00550447" w:rsidTr="00E079F9">
        <w:trPr>
          <w:trHeight w:val="426"/>
        </w:trPr>
        <w:tc>
          <w:tcPr>
            <w:tcW w:w="731" w:type="pct"/>
            <w:noWrap/>
            <w:vAlign w:val="center"/>
          </w:tcPr>
          <w:p w:rsidR="0001301B" w:rsidRPr="00550447" w:rsidRDefault="0001301B" w:rsidP="002C40B2">
            <w:pPr>
              <w:spacing w:after="0"/>
              <w:rPr>
                <w:rFonts w:asciiTheme="minorHAnsi" w:hAnsiTheme="minorHAnsi"/>
                <w:sz w:val="20"/>
                <w:szCs w:val="20"/>
              </w:rPr>
            </w:pPr>
            <w:r w:rsidRPr="00550447">
              <w:rPr>
                <w:rFonts w:asciiTheme="minorHAnsi" w:hAnsiTheme="minorHAnsi"/>
                <w:sz w:val="20"/>
                <w:szCs w:val="20"/>
              </w:rPr>
              <w:t>Ostrov</w:t>
            </w:r>
          </w:p>
        </w:tc>
        <w:tc>
          <w:tcPr>
            <w:tcW w:w="395"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color w:val="000000"/>
                <w:sz w:val="20"/>
                <w:szCs w:val="20"/>
              </w:rPr>
              <w:t>11,4</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9,2</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8,5</w:t>
            </w:r>
          </w:p>
        </w:tc>
        <w:tc>
          <w:tcPr>
            <w:tcW w:w="396"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7,1</w:t>
            </w:r>
          </w:p>
        </w:tc>
        <w:tc>
          <w:tcPr>
            <w:tcW w:w="592"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1 426</w:t>
            </w:r>
          </w:p>
        </w:tc>
        <w:tc>
          <w:tcPr>
            <w:tcW w:w="593"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18</w:t>
            </w:r>
          </w:p>
        </w:tc>
        <w:tc>
          <w:tcPr>
            <w:tcW w:w="500" w:type="pct"/>
            <w:vAlign w:val="center"/>
          </w:tcPr>
          <w:p w:rsidR="0001301B" w:rsidRPr="00550447" w:rsidRDefault="0001301B" w:rsidP="002C40B2">
            <w:pPr>
              <w:spacing w:after="0"/>
              <w:jc w:val="center"/>
              <w:rPr>
                <w:rFonts w:asciiTheme="minorHAnsi" w:hAnsiTheme="minorHAnsi"/>
                <w:bCs/>
                <w:sz w:val="20"/>
                <w:szCs w:val="20"/>
              </w:rPr>
            </w:pPr>
            <w:r w:rsidRPr="00550447">
              <w:rPr>
                <w:rFonts w:asciiTheme="minorHAnsi" w:hAnsiTheme="minorHAnsi"/>
                <w:bCs/>
                <w:sz w:val="20"/>
                <w:szCs w:val="20"/>
              </w:rPr>
              <w:t>7 242</w:t>
            </w:r>
          </w:p>
        </w:tc>
        <w:tc>
          <w:tcPr>
            <w:tcW w:w="500"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5 927</w:t>
            </w:r>
          </w:p>
        </w:tc>
        <w:tc>
          <w:tcPr>
            <w:tcW w:w="501"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1 315</w:t>
            </w:r>
          </w:p>
        </w:tc>
      </w:tr>
      <w:tr w:rsidR="00550447" w:rsidRPr="00550447" w:rsidTr="00E079F9">
        <w:trPr>
          <w:trHeight w:val="426"/>
        </w:trPr>
        <w:tc>
          <w:tcPr>
            <w:tcW w:w="731" w:type="pct"/>
            <w:noWrap/>
            <w:vAlign w:val="center"/>
          </w:tcPr>
          <w:p w:rsidR="0001301B" w:rsidRPr="00550447" w:rsidRDefault="0001301B" w:rsidP="002C40B2">
            <w:pPr>
              <w:spacing w:after="0"/>
              <w:rPr>
                <w:rFonts w:asciiTheme="minorHAnsi" w:hAnsiTheme="minorHAnsi"/>
                <w:sz w:val="20"/>
                <w:szCs w:val="20"/>
              </w:rPr>
            </w:pPr>
            <w:r w:rsidRPr="00550447">
              <w:rPr>
                <w:rFonts w:asciiTheme="minorHAnsi" w:hAnsiTheme="minorHAnsi"/>
                <w:sz w:val="20"/>
                <w:szCs w:val="20"/>
              </w:rPr>
              <w:t>Sokolov</w:t>
            </w:r>
          </w:p>
        </w:tc>
        <w:tc>
          <w:tcPr>
            <w:tcW w:w="395"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color w:val="000000"/>
                <w:sz w:val="20"/>
                <w:szCs w:val="20"/>
              </w:rPr>
              <w:t>11,9</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10,6</w:t>
            </w:r>
          </w:p>
        </w:tc>
        <w:tc>
          <w:tcPr>
            <w:tcW w:w="396" w:type="pct"/>
            <w:noWrap/>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9,7</w:t>
            </w:r>
          </w:p>
        </w:tc>
        <w:tc>
          <w:tcPr>
            <w:tcW w:w="396"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8,7</w:t>
            </w:r>
          </w:p>
        </w:tc>
        <w:tc>
          <w:tcPr>
            <w:tcW w:w="592"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4 756</w:t>
            </w:r>
          </w:p>
        </w:tc>
        <w:tc>
          <w:tcPr>
            <w:tcW w:w="593" w:type="pct"/>
            <w:vAlign w:val="center"/>
          </w:tcPr>
          <w:p w:rsidR="0001301B" w:rsidRPr="00550447" w:rsidRDefault="0001301B" w:rsidP="002C40B2">
            <w:pPr>
              <w:spacing w:after="0"/>
              <w:jc w:val="center"/>
              <w:rPr>
                <w:rFonts w:asciiTheme="minorHAnsi" w:hAnsiTheme="minorHAnsi"/>
                <w:sz w:val="20"/>
                <w:szCs w:val="20"/>
              </w:rPr>
            </w:pPr>
            <w:r w:rsidRPr="00550447">
              <w:rPr>
                <w:rFonts w:asciiTheme="minorHAnsi" w:hAnsiTheme="minorHAnsi"/>
                <w:sz w:val="20"/>
                <w:szCs w:val="20"/>
              </w:rPr>
              <w:t>32,6</w:t>
            </w:r>
          </w:p>
        </w:tc>
        <w:tc>
          <w:tcPr>
            <w:tcW w:w="500" w:type="pct"/>
            <w:vAlign w:val="center"/>
          </w:tcPr>
          <w:p w:rsidR="0001301B" w:rsidRPr="00550447" w:rsidRDefault="0001301B" w:rsidP="002C40B2">
            <w:pPr>
              <w:spacing w:after="0"/>
              <w:jc w:val="center"/>
              <w:rPr>
                <w:rFonts w:asciiTheme="minorHAnsi" w:hAnsiTheme="minorHAnsi"/>
                <w:bCs/>
                <w:sz w:val="20"/>
                <w:szCs w:val="20"/>
              </w:rPr>
            </w:pPr>
            <w:r w:rsidRPr="00550447">
              <w:rPr>
                <w:rFonts w:asciiTheme="minorHAnsi" w:hAnsiTheme="minorHAnsi"/>
                <w:bCs/>
                <w:sz w:val="20"/>
                <w:szCs w:val="20"/>
              </w:rPr>
              <w:t>14 897</w:t>
            </w:r>
          </w:p>
        </w:tc>
        <w:tc>
          <w:tcPr>
            <w:tcW w:w="500"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11 961</w:t>
            </w:r>
          </w:p>
        </w:tc>
        <w:tc>
          <w:tcPr>
            <w:tcW w:w="501" w:type="pct"/>
            <w:vAlign w:val="center"/>
          </w:tcPr>
          <w:p w:rsidR="0001301B" w:rsidRPr="00550447" w:rsidRDefault="0001301B" w:rsidP="002C40B2">
            <w:pPr>
              <w:spacing w:after="0"/>
              <w:jc w:val="center"/>
              <w:rPr>
                <w:rFonts w:asciiTheme="minorHAnsi" w:hAnsiTheme="minorHAnsi"/>
                <w:color w:val="000000"/>
                <w:sz w:val="20"/>
                <w:szCs w:val="20"/>
              </w:rPr>
            </w:pPr>
            <w:r w:rsidRPr="00550447">
              <w:rPr>
                <w:rFonts w:asciiTheme="minorHAnsi" w:hAnsiTheme="minorHAnsi"/>
                <w:color w:val="000000"/>
                <w:sz w:val="20"/>
                <w:szCs w:val="20"/>
              </w:rPr>
              <w:t>2 936</w:t>
            </w:r>
          </w:p>
        </w:tc>
      </w:tr>
      <w:tr w:rsidR="00550447" w:rsidRPr="00550447" w:rsidTr="00E079F9">
        <w:trPr>
          <w:trHeight w:val="426"/>
        </w:trPr>
        <w:tc>
          <w:tcPr>
            <w:tcW w:w="731" w:type="pct"/>
            <w:noWrap/>
            <w:vAlign w:val="center"/>
          </w:tcPr>
          <w:p w:rsidR="0001301B" w:rsidRPr="00550447" w:rsidRDefault="00550447" w:rsidP="002C40B2">
            <w:pPr>
              <w:pStyle w:val="Table"/>
              <w:spacing w:after="0"/>
              <w:jc w:val="left"/>
              <w:rPr>
                <w:rFonts w:asciiTheme="minorHAnsi" w:hAnsiTheme="minorHAnsi" w:cs="Calibri"/>
                <w:b/>
                <w:bCs/>
                <w:sz w:val="20"/>
              </w:rPr>
            </w:pPr>
            <w:r>
              <w:rPr>
                <w:rFonts w:asciiTheme="minorHAnsi" w:hAnsiTheme="minorHAnsi" w:cs="Calibri"/>
                <w:b/>
                <w:bCs/>
                <w:sz w:val="20"/>
              </w:rPr>
              <w:t>KK</w:t>
            </w:r>
          </w:p>
        </w:tc>
        <w:tc>
          <w:tcPr>
            <w:tcW w:w="395" w:type="pct"/>
            <w:noWrap/>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9,8</w:t>
            </w:r>
          </w:p>
        </w:tc>
        <w:tc>
          <w:tcPr>
            <w:tcW w:w="396" w:type="pct"/>
            <w:noWrap/>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9</w:t>
            </w:r>
          </w:p>
        </w:tc>
        <w:tc>
          <w:tcPr>
            <w:tcW w:w="396" w:type="pct"/>
            <w:noWrap/>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8</w:t>
            </w:r>
          </w:p>
        </w:tc>
        <w:tc>
          <w:tcPr>
            <w:tcW w:w="396" w:type="pct"/>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6,9</w:t>
            </w:r>
          </w:p>
        </w:tc>
        <w:tc>
          <w:tcPr>
            <w:tcW w:w="592" w:type="pct"/>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14 783</w:t>
            </w:r>
          </w:p>
        </w:tc>
        <w:tc>
          <w:tcPr>
            <w:tcW w:w="593" w:type="pct"/>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10,4</w:t>
            </w:r>
          </w:p>
        </w:tc>
        <w:tc>
          <w:tcPr>
            <w:tcW w:w="500" w:type="pct"/>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76 602</w:t>
            </w:r>
          </w:p>
        </w:tc>
        <w:tc>
          <w:tcPr>
            <w:tcW w:w="500" w:type="pct"/>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57 916</w:t>
            </w:r>
          </w:p>
        </w:tc>
        <w:tc>
          <w:tcPr>
            <w:tcW w:w="501" w:type="pct"/>
            <w:vAlign w:val="center"/>
          </w:tcPr>
          <w:p w:rsidR="0001301B" w:rsidRPr="00550447" w:rsidRDefault="0001301B" w:rsidP="002C40B2">
            <w:pPr>
              <w:spacing w:after="0"/>
              <w:jc w:val="center"/>
              <w:rPr>
                <w:rFonts w:asciiTheme="minorHAnsi" w:hAnsiTheme="minorHAnsi"/>
                <w:b/>
                <w:bCs/>
                <w:sz w:val="20"/>
                <w:szCs w:val="20"/>
              </w:rPr>
            </w:pPr>
            <w:r w:rsidRPr="00550447">
              <w:rPr>
                <w:rFonts w:asciiTheme="minorHAnsi" w:hAnsiTheme="minorHAnsi"/>
                <w:b/>
                <w:bCs/>
                <w:sz w:val="20"/>
                <w:szCs w:val="20"/>
              </w:rPr>
              <w:t>18 851</w:t>
            </w:r>
          </w:p>
        </w:tc>
      </w:tr>
    </w:tbl>
    <w:p w:rsidR="00550447" w:rsidRDefault="0001301B" w:rsidP="002C40B2">
      <w:pPr>
        <w:pStyle w:val="Zdroj"/>
        <w:spacing w:before="120" w:line="276" w:lineRule="auto"/>
        <w:rPr>
          <w:rStyle w:val="Zdraznnjemn"/>
        </w:rPr>
      </w:pPr>
      <w:r w:rsidRPr="00550447">
        <w:rPr>
          <w:rStyle w:val="Zdraznnjemn"/>
        </w:rPr>
        <w:t>Poznámka: Míra nezaměstnanosti od roku 2013 využívá nový ukazatel Podíl nezaměstnaných osob-dosažitelných. Údaje za rok 2012 nebyly k dispozici. Počet uchazečů o zaměstnání je počet evidovaných na úřadu práce. Ekonomické subjekty evidované v RES podle vybraných právních forem: FO = Fyzická osoba podnikající dle živnostenského zákon nezaregistrované v obchodním r</w:t>
      </w:r>
      <w:r w:rsidR="00550447">
        <w:rPr>
          <w:rStyle w:val="Zdraznnjemn"/>
        </w:rPr>
        <w:t>ejstříku, PO = Právnická osoba.</w:t>
      </w:r>
    </w:p>
    <w:p w:rsidR="00550447" w:rsidRPr="00550447" w:rsidRDefault="00D40792" w:rsidP="002C40B2">
      <w:pPr>
        <w:pStyle w:val="Zdroj"/>
        <w:spacing w:before="120" w:line="276" w:lineRule="auto"/>
        <w:rPr>
          <w:rStyle w:val="Zdraznnjemn"/>
        </w:rPr>
      </w:pPr>
      <w:r>
        <w:rPr>
          <w:rStyle w:val="Zdraznnjemn"/>
        </w:rPr>
        <w:t>Zdroj: ČSÚ -</w:t>
      </w:r>
      <w:r w:rsidR="00550447" w:rsidRPr="00550447">
        <w:rPr>
          <w:rStyle w:val="Zdraznnjemn"/>
        </w:rPr>
        <w:t xml:space="preserve"> Územně analytické podklady</w:t>
      </w:r>
    </w:p>
    <w:p w:rsidR="0001301B" w:rsidRPr="00AE46CF" w:rsidRDefault="0001301B" w:rsidP="000B3B9C">
      <w:pPr>
        <w:pStyle w:val="Titulek"/>
      </w:pPr>
      <w:bookmarkStart w:id="437" w:name="_Ref310523641"/>
      <w:bookmarkStart w:id="438" w:name="_Toc321406446"/>
      <w:r>
        <w:lastRenderedPageBreak/>
        <w:t xml:space="preserve">Obrázek </w:t>
      </w:r>
      <w:r w:rsidR="008965FE">
        <w:fldChar w:fldCharType="begin"/>
      </w:r>
      <w:r w:rsidR="00564668">
        <w:instrText xml:space="preserve"> STYLEREF 1 \s </w:instrText>
      </w:r>
      <w:r w:rsidR="008965FE">
        <w:fldChar w:fldCharType="separate"/>
      </w:r>
      <w:r w:rsidR="00CB29BD">
        <w:t>18</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2</w:t>
      </w:r>
      <w:r w:rsidR="008965FE">
        <w:fldChar w:fldCharType="end"/>
      </w:r>
      <w:r w:rsidRPr="00AE46CF">
        <w:t xml:space="preserve">: </w:t>
      </w:r>
      <w:r>
        <w:t>M</w:t>
      </w:r>
      <w:r w:rsidRPr="00AE46CF">
        <w:t>íra nezaměstnanosti v</w:t>
      </w:r>
      <w:r>
        <w:t>e správních obvodech ORP a</w:t>
      </w:r>
      <w:r w:rsidRPr="00AE46CF">
        <w:t xml:space="preserve"> obcích Karlovarského kraje</w:t>
      </w:r>
      <w:bookmarkEnd w:id="437"/>
      <w:bookmarkEnd w:id="438"/>
    </w:p>
    <w:p w:rsidR="0001301B" w:rsidRPr="00AE46CF" w:rsidRDefault="0001301B" w:rsidP="002C40B2">
      <w:pPr>
        <w:spacing w:after="0"/>
      </w:pPr>
      <w:r>
        <w:rPr>
          <w:noProof/>
        </w:rPr>
        <w:drawing>
          <wp:anchor distT="0" distB="0" distL="114300" distR="114300" simplePos="0" relativeHeight="251667456" behindDoc="1" locked="0" layoutInCell="1" allowOverlap="1">
            <wp:simplePos x="0" y="0"/>
            <wp:positionH relativeFrom="column">
              <wp:posOffset>2995311</wp:posOffset>
            </wp:positionH>
            <wp:positionV relativeFrom="paragraph">
              <wp:posOffset>33795</wp:posOffset>
            </wp:positionV>
            <wp:extent cx="2742239" cy="2564765"/>
            <wp:effectExtent l="19050" t="19050" r="20320" b="26035"/>
            <wp:wrapNone/>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a:stretch/>
                  </pic:blipFill>
                  <pic:spPr bwMode="auto">
                    <a:xfrm>
                      <a:off x="0" y="0"/>
                      <a:ext cx="2773168" cy="25936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noProof/>
        </w:rPr>
        <w:drawing>
          <wp:inline distT="0" distB="0" distL="0" distR="0">
            <wp:extent cx="2967639" cy="2576640"/>
            <wp:effectExtent l="19050" t="19050" r="23495" b="14605"/>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a:stretch/>
                  </pic:blipFill>
                  <pic:spPr bwMode="auto">
                    <a:xfrm>
                      <a:off x="0" y="0"/>
                      <a:ext cx="3015570" cy="26182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1301B" w:rsidRPr="00E079F9" w:rsidRDefault="0001301B" w:rsidP="002C40B2">
      <w:pPr>
        <w:pStyle w:val="Zdroj"/>
        <w:spacing w:before="120" w:line="276" w:lineRule="auto"/>
        <w:jc w:val="left"/>
        <w:rPr>
          <w:rFonts w:asciiTheme="minorHAnsi" w:hAnsiTheme="minorHAnsi"/>
          <w:i/>
          <w:sz w:val="20"/>
          <w:szCs w:val="18"/>
        </w:rPr>
      </w:pPr>
      <w:r w:rsidRPr="00E079F9">
        <w:rPr>
          <w:rFonts w:asciiTheme="minorHAnsi" w:hAnsiTheme="minorHAnsi"/>
          <w:i/>
          <w:sz w:val="20"/>
          <w:szCs w:val="18"/>
        </w:rPr>
        <w:t xml:space="preserve">Zdroj: ČSÚ - Územně analytické podklady za obce České republiky </w:t>
      </w:r>
    </w:p>
    <w:p w:rsidR="0001301B" w:rsidRPr="00255A6E" w:rsidRDefault="0001301B" w:rsidP="002C40B2">
      <w:r w:rsidRPr="00114D92">
        <w:t xml:space="preserve">Analýza územní diferenciace </w:t>
      </w:r>
      <w:r w:rsidR="00EF3DB3">
        <w:t>KK</w:t>
      </w:r>
      <w:r w:rsidRPr="00114D92">
        <w:t xml:space="preserve"> na úrovni ORP ukazuje na základní charakter regionálních rozdílů v </w:t>
      </w:r>
      <w:r w:rsidR="00EF3DB3">
        <w:t>KK</w:t>
      </w:r>
      <w:r w:rsidRPr="00114D92">
        <w:t xml:space="preserve"> v posledních letech, který je potřeba v mnoha ohledech doplnit o detailnější pohled. Obecně lze konstatovat, že na úrovni ORP je vidět výraznější rozdíl v ORP Kraslice a Sokolov, které se v porovnání </w:t>
      </w:r>
      <w:r w:rsidRPr="00255A6E">
        <w:t xml:space="preserve">s ostatními ORP </w:t>
      </w:r>
      <w:r w:rsidR="00EF3DB3">
        <w:t>KK</w:t>
      </w:r>
      <w:r w:rsidRPr="00255A6E">
        <w:t xml:space="preserve"> vyznačují horší </w:t>
      </w:r>
      <w:r w:rsidRPr="00CA3B1C">
        <w:t>demograficko</w:t>
      </w:r>
      <w:r w:rsidRPr="00114D92">
        <w:t>u strukturu i hospodářskou situací. Nejlépe jsou na tom v těchto parametrech ORP Aš a Mariánské Lázně. Celkově</w:t>
      </w:r>
      <w:r>
        <w:t xml:space="preserve"> je nejtíživější situace Sokolovska, které dlouhodobě dosahuje nejhorších hodnot prakticky ve všech socioekonomických ukazatelích v rámci </w:t>
      </w:r>
      <w:r w:rsidR="00EF3DB3">
        <w:t>KK</w:t>
      </w:r>
      <w:r>
        <w:t>.</w:t>
      </w:r>
      <w:r w:rsidRPr="00114D92">
        <w:t xml:space="preserve"> I proto byl</w:t>
      </w:r>
      <w:r>
        <w:t>o</w:t>
      </w:r>
      <w:r w:rsidR="007858AC">
        <w:t xml:space="preserve"> </w:t>
      </w:r>
      <w:r w:rsidRPr="00114D92">
        <w:t>v programovém období 2007 - 2013 vybrán</w:t>
      </w:r>
      <w:r>
        <w:t>o</w:t>
      </w:r>
      <w:r w:rsidRPr="00114D92">
        <w:t xml:space="preserve"> mezi okresy se soustředěnou podpor</w:t>
      </w:r>
      <w:r w:rsidR="00EF3DB3">
        <w:t>o</w:t>
      </w:r>
      <w:r w:rsidRPr="00114D92">
        <w:t xml:space="preserve">u státu. </w:t>
      </w:r>
      <w:r>
        <w:t>Pro</w:t>
      </w:r>
      <w:r w:rsidRPr="00114D92">
        <w:t xml:space="preserve"> programové období 2016 – 2020 </w:t>
      </w:r>
      <w:r>
        <w:t xml:space="preserve">nebyla zvýšená podpora vztažena na ORP, ale na nejvíce strukturálně postižené </w:t>
      </w:r>
      <w:r w:rsidRPr="00114D92">
        <w:t xml:space="preserve">kraje </w:t>
      </w:r>
      <w:r>
        <w:t>v rámci ČR. Mezi kraje s největšími ekonomickými, sociálními a environmentálními problémy</w:t>
      </w:r>
      <w:r w:rsidRPr="00114D92">
        <w:t xml:space="preserve"> </w:t>
      </w:r>
      <w:r>
        <w:t xml:space="preserve">patří kraj </w:t>
      </w:r>
      <w:r w:rsidRPr="009A437E">
        <w:t>Karlovarský, Ústecký a Moravskoslezský</w:t>
      </w:r>
      <w:r w:rsidRPr="00114D92">
        <w:t xml:space="preserve"> (blíže viz </w:t>
      </w:r>
      <w:r>
        <w:t>v</w:t>
      </w:r>
      <w:r w:rsidRPr="00D063C6">
        <w:t xml:space="preserve">stupní analýza </w:t>
      </w:r>
      <w:r w:rsidRPr="007858AC">
        <w:t>Strategie hospodářské restrukturalizace Ústeckého, Moravskoslezského a Karlovarského kraje</w:t>
      </w:r>
      <w:r w:rsidRPr="00D063C6">
        <w:t>)</w:t>
      </w:r>
      <w:r w:rsidRPr="00255A6E">
        <w:t xml:space="preserve">. </w:t>
      </w:r>
    </w:p>
    <w:p w:rsidR="0001301B" w:rsidRPr="00CA3B1C" w:rsidRDefault="0001301B" w:rsidP="002C40B2">
      <w:pPr>
        <w:rPr>
          <w:rFonts w:eastAsiaTheme="minorHAnsi"/>
          <w:color w:val="000000"/>
          <w:lang w:eastAsia="en-US"/>
        </w:rPr>
      </w:pPr>
      <w:r w:rsidRPr="00CA3B1C">
        <w:rPr>
          <w:rFonts w:eastAsiaTheme="minorHAnsi"/>
          <w:color w:val="000000"/>
          <w:lang w:eastAsia="en-US"/>
        </w:rPr>
        <w:t>Pro regionální plánování je vhodné území kraje rozdělit obecně na urbanizované oblasti a venkovské (horské a periferní) regiony s odlišným typem rozvojových možností a hrozeb.</w:t>
      </w:r>
    </w:p>
    <w:p w:rsidR="0001301B" w:rsidRPr="00C31229" w:rsidRDefault="0001301B" w:rsidP="002C40B2">
      <w:pPr>
        <w:pStyle w:val="Nadpis2"/>
      </w:pPr>
      <w:bookmarkStart w:id="439" w:name="_Toc310436086"/>
      <w:r w:rsidRPr="00C31229">
        <w:t>Urbanizované oblasti v údolí Ohře</w:t>
      </w:r>
      <w:bookmarkEnd w:id="439"/>
    </w:p>
    <w:p w:rsidR="0001301B" w:rsidRPr="00AE46CF" w:rsidRDefault="0001301B" w:rsidP="002C40B2">
      <w:r w:rsidRPr="00AE46CF">
        <w:t xml:space="preserve">Historicky se hlavní sídla v kraji soustředí do pásu údolí Ohře od Chebu, přes Kynšperk nad Ohří, Sokolov, Karlovy Vary až k Ostrovu. Řetězec uvedených sídel vytváří hlavní rozvojovou osu </w:t>
      </w:r>
      <w:r w:rsidR="00EF3DB3">
        <w:t>KK</w:t>
      </w:r>
      <w:r w:rsidRPr="00AE46CF">
        <w:t xml:space="preserve">, která se kryje s rozvojovou osou dle Politiky územního rozvoje České republiky (Ústí nad Labem – Most – Chomutov – Karlovy Vary – Cheb – hranice České republiky). </w:t>
      </w:r>
      <w:r w:rsidRPr="00AE46CF">
        <w:rPr>
          <w:b/>
        </w:rPr>
        <w:t xml:space="preserve">Oblast Chebské </w:t>
      </w:r>
      <w:r>
        <w:rPr>
          <w:b/>
        </w:rPr>
        <w:t xml:space="preserve">a </w:t>
      </w:r>
      <w:r w:rsidRPr="00AE46CF">
        <w:rPr>
          <w:b/>
        </w:rPr>
        <w:t>Sokolovské pánve</w:t>
      </w:r>
      <w:r>
        <w:rPr>
          <w:b/>
        </w:rPr>
        <w:t xml:space="preserve"> a Karlových Varů</w:t>
      </w:r>
      <w:r w:rsidRPr="00AE46CF">
        <w:t xml:space="preserve"> je silně urbanizovaná a vytváří </w:t>
      </w:r>
      <w:r w:rsidRPr="00AE46CF">
        <w:rPr>
          <w:b/>
        </w:rPr>
        <w:t xml:space="preserve">prostor s největším potenciálem budoucího rozvoje </w:t>
      </w:r>
      <w:r w:rsidR="00DD25AB">
        <w:rPr>
          <w:b/>
        </w:rPr>
        <w:t>KK</w:t>
      </w:r>
      <w:r w:rsidRPr="00AE46CF">
        <w:t xml:space="preserve">. </w:t>
      </w:r>
    </w:p>
    <w:p w:rsidR="0001301B" w:rsidRDefault="0001301B" w:rsidP="002C40B2">
      <w:r w:rsidRPr="00AE46CF">
        <w:rPr>
          <w:b/>
        </w:rPr>
        <w:t xml:space="preserve">Urbanizované rozvojové oblasti a osy </w:t>
      </w:r>
      <w:r w:rsidR="00DD25AB">
        <w:rPr>
          <w:b/>
        </w:rPr>
        <w:t>KK</w:t>
      </w:r>
      <w:r w:rsidRPr="00AE46CF">
        <w:t xml:space="preserve"> jsou z hlediska nabídky pracovních příležitostí a veřejných služeb důležitým centrem celého </w:t>
      </w:r>
      <w:r w:rsidR="00DD25AB">
        <w:t>KK</w:t>
      </w:r>
      <w:r w:rsidRPr="00AE46CF">
        <w:t xml:space="preserve">, do kterého mají přirozenou spádovost více venkovské regiony v horských oblastech. </w:t>
      </w:r>
      <w:r>
        <w:t xml:space="preserve">Vymezení urbanizovaných oblastí a os vychází z identifikace přirozených spádových regionů na základě výsledků socio-geografické regionalizace a vymezení metropolitních </w:t>
      </w:r>
      <w:r>
        <w:lastRenderedPageBreak/>
        <w:t>oblastí (aglomerací). Regionalizace je založena na vyhledání přirozených funkčních prostorových vazeb mezi centrem (sídlem) a zázemím (jeho okolím) s využitím dat o dojížďce ze Sčítání lidu, domů a bytů. V </w:t>
      </w:r>
      <w:r w:rsidR="00DD25AB">
        <w:t>KK</w:t>
      </w:r>
      <w:r>
        <w:t xml:space="preserve"> bylo takto vymezeno celkem pět mikroregionů se svými centry (Karlovy Vary, Sokolov, Cheb, Ostrov, Mariánské Lázně).</w:t>
      </w:r>
      <w:r w:rsidRPr="007B7206">
        <w:t xml:space="preserve"> </w:t>
      </w:r>
      <w:r w:rsidRPr="00AE46CF">
        <w:t>U Mariánských Lázní je nadřazeným střediskem Cheb, u ostatních Karlovy Vary, které mají</w:t>
      </w:r>
      <w:r>
        <w:t xml:space="preserve"> přirozenou spádovost na Prahu (Hampl 2005; Hampl, Marada 2015). </w:t>
      </w:r>
      <w:r w:rsidRPr="00AE46CF">
        <w:t>Rozsah autonomní střediskové působnosti Karlových Varů jako mez</w:t>
      </w:r>
      <w:r>
        <w:t>o</w:t>
      </w:r>
      <w:r w:rsidRPr="00AE46CF">
        <w:t>regionálního střediska v roce 20</w:t>
      </w:r>
      <w:r>
        <w:t>1</w:t>
      </w:r>
      <w:r w:rsidRPr="00AE46CF">
        <w:t>1 přibližně odpovídal administrativnímu vymezení kraje.</w:t>
      </w:r>
      <w:r>
        <w:t xml:space="preserve"> Pouze území Toužimska se spádovostí zařadilo k mikroregionu Plzně, což je jedinou výraznější změnou v přirozené regionalizaci od roku 2001. I přes to se jedná o</w:t>
      </w:r>
      <w:r w:rsidRPr="00AE46CF">
        <w:t xml:space="preserve"> stabilní stav a výrazné změny </w:t>
      </w:r>
      <w:r>
        <w:t>vymezení regionů</w:t>
      </w:r>
      <w:r w:rsidRPr="00AE46CF">
        <w:t xml:space="preserve"> </w:t>
      </w:r>
      <w:r>
        <w:t xml:space="preserve">alespoň v nejbližších letech </w:t>
      </w:r>
      <w:r w:rsidRPr="00AE46CF">
        <w:t xml:space="preserve">nelze očekávat. </w:t>
      </w:r>
      <w:r w:rsidRPr="000D31CE">
        <w:t xml:space="preserve">K další koncentraci </w:t>
      </w:r>
      <w:r w:rsidRPr="00997A83">
        <w:t>obyvatel do měst</w:t>
      </w:r>
      <w:r w:rsidRPr="000D31CE">
        <w:t xml:space="preserve"> již nedochází</w:t>
      </w:r>
      <w:r w:rsidRPr="00997A83">
        <w:t>, spíše se zvyšuje vzájemná dojížďka mezi jednotlivými městy v</w:t>
      </w:r>
      <w:r w:rsidRPr="009C27AC">
        <w:t> metropolitních oblastech (příp. urbanizovaných oblastech)</w:t>
      </w:r>
      <w:r>
        <w:t xml:space="preserve">. Podobných metod jako u regionalizace bylo využito při stanovení přirozeného metropolitního areálu. Na území </w:t>
      </w:r>
      <w:r w:rsidR="00DD25AB">
        <w:t>KK</w:t>
      </w:r>
      <w:r>
        <w:t xml:space="preserve"> byl v roce 2001 vymezen metropolitní areál Karlových Varů zahrnující střediska Ostrov, Jáchymov, Sokolov, Chodov, Kynšperk nad Ohří a Nové Sedlo (Hampl 2005). I mezi dalšími městy a obcemi v zázemí Karlových Varů jsou vytvářeny intenzivní funkční vazby a předpokládá se, že budou nadále posilovat. </w:t>
      </w:r>
    </w:p>
    <w:p w:rsidR="0001301B" w:rsidRPr="00997A83" w:rsidRDefault="0001301B" w:rsidP="002C40B2">
      <w:r>
        <w:t>Na základě těchto poznatků jsou v </w:t>
      </w:r>
      <w:r w:rsidR="00DD25AB">
        <w:t>KK</w:t>
      </w:r>
      <w:r>
        <w:t xml:space="preserve"> vymezeny rozvojové urbanizované oblasti v </w:t>
      </w:r>
      <w:r w:rsidRPr="00F3222B">
        <w:rPr>
          <w:i/>
        </w:rPr>
        <w:t>Zásadách územního rozvoje</w:t>
      </w:r>
      <w:r>
        <w:t xml:space="preserve">, a to nadregionální oblast Karlových varů a zázemí a další oblasti a osy regionálního významu. </w:t>
      </w:r>
      <w:r w:rsidRPr="00AE46CF">
        <w:t>Z tohoto pohledu je potřeba v těchto oblastech a centrech v souladu se závěry ZÚR</w:t>
      </w:r>
      <w:r>
        <w:t xml:space="preserve"> KK</w:t>
      </w:r>
      <w:r w:rsidRPr="00AE46CF">
        <w:t xml:space="preserve"> </w:t>
      </w:r>
      <w:r w:rsidRPr="00AE46CF">
        <w:rPr>
          <w:b/>
        </w:rPr>
        <w:t>vytvářet</w:t>
      </w:r>
      <w:r w:rsidRPr="00AE46CF">
        <w:t xml:space="preserve"> </w:t>
      </w:r>
      <w:r w:rsidRPr="00AE46CF">
        <w:rPr>
          <w:b/>
        </w:rPr>
        <w:t>podmínky pro lokalizaci strategických komerčních a výrobních funkcí a posílit nabídku pracovních příležitostí</w:t>
      </w:r>
      <w:r w:rsidRPr="00AE46CF">
        <w:t>. Současně musí být brán ohled na ochranu aktivit spojených s lázeňstvím, které má pro celý kraj prioritní význam. V oblasti Sokolovska je nezbytné počítat</w:t>
      </w:r>
      <w:r w:rsidR="00DD25AB">
        <w:t xml:space="preserve"> </w:t>
      </w:r>
      <w:r w:rsidRPr="00AE46CF">
        <w:t>s pokračující těžbou uhlí a využitím ostatních nerostných surovin, ale současně již vytvářet předpoklady pro restrukturalizaci nabídky pracovních příležitostí v důsledku chystaného ukončení těžby uhlí.</w:t>
      </w:r>
    </w:p>
    <w:p w:rsidR="0001301B" w:rsidRPr="00C31229" w:rsidRDefault="0001301B" w:rsidP="002C40B2">
      <w:pPr>
        <w:pStyle w:val="Nadpis2"/>
      </w:pPr>
      <w:bookmarkStart w:id="440" w:name="_Toc310436087"/>
      <w:r w:rsidRPr="00C31229">
        <w:t>Venkovské oblasti Karlovarského kraje</w:t>
      </w:r>
      <w:bookmarkEnd w:id="440"/>
    </w:p>
    <w:p w:rsidR="0001301B" w:rsidRDefault="0001301B" w:rsidP="002C40B2">
      <w:r w:rsidRPr="00AE46CF">
        <w:t xml:space="preserve">Mimo urbanizovanou oblast se na území </w:t>
      </w:r>
      <w:r w:rsidR="00DD25AB">
        <w:t>KK</w:t>
      </w:r>
      <w:r w:rsidRPr="00AE46CF">
        <w:t xml:space="preserve"> setkáme především s </w:t>
      </w:r>
      <w:r w:rsidRPr="00AE46CF">
        <w:rPr>
          <w:b/>
        </w:rPr>
        <w:t>rozvolněným venkovským osídlením</w:t>
      </w:r>
      <w:r w:rsidRPr="00AE46CF">
        <w:t xml:space="preserve">. Zejména okrajové horské polohy jsou osídleny řídce a jejich potenciál se týká hlavně rozvoje rekreační funkce. Pokud označíme za venkovské obce všechny obce s velikostí do 2 000 obyvatel, pak venkovský prostor v rámci </w:t>
      </w:r>
      <w:r w:rsidR="00DD25AB">
        <w:t xml:space="preserve">KK </w:t>
      </w:r>
      <w:r w:rsidRPr="00AE46CF">
        <w:t>zaujímá přibližně 6</w:t>
      </w:r>
      <w:r>
        <w:t>4</w:t>
      </w:r>
      <w:r w:rsidRPr="00AE46CF">
        <w:t xml:space="preserve"> % rozlohy kraje </w:t>
      </w:r>
      <w:r w:rsidR="000B48E5">
        <w:br/>
      </w:r>
      <w:r w:rsidRPr="00AE46CF">
        <w:t>a patří do něj 10</w:t>
      </w:r>
      <w:r>
        <w:t>6</w:t>
      </w:r>
      <w:r w:rsidRPr="00AE46CF">
        <w:t>, tj. téměř 80 % obcí (údaje k 31. 12. 201</w:t>
      </w:r>
      <w:r>
        <w:t>4</w:t>
      </w:r>
      <w:r w:rsidRPr="00AE46CF">
        <w:t xml:space="preserve">). </w:t>
      </w:r>
      <w:r>
        <w:t xml:space="preserve">Na základě vymezení typologie českého venkova dle více </w:t>
      </w:r>
      <w:r w:rsidRPr="004440C1">
        <w:t xml:space="preserve">ukazatelů </w:t>
      </w:r>
      <w:r>
        <w:t xml:space="preserve">a potenciálu rozvoje území </w:t>
      </w:r>
      <w:r w:rsidRPr="00D063C6">
        <w:t>(Perlín 2010</w:t>
      </w:r>
      <w:r w:rsidRPr="004440C1">
        <w:t>)</w:t>
      </w:r>
      <w:r>
        <w:t xml:space="preserve"> se </w:t>
      </w:r>
      <w:r w:rsidR="00DD25AB">
        <w:t>KK</w:t>
      </w:r>
      <w:r>
        <w:t xml:space="preserve"> člení na </w:t>
      </w:r>
      <w:r w:rsidRPr="00D063C6">
        <w:rPr>
          <w:b/>
        </w:rPr>
        <w:t>problémový rekreační venkov</w:t>
      </w:r>
      <w:r>
        <w:t xml:space="preserve"> (obce s POÚ Kraslice, Nejdek, Ostrov, Žlutice), na </w:t>
      </w:r>
      <w:r w:rsidRPr="00D063C6">
        <w:rPr>
          <w:b/>
        </w:rPr>
        <w:t>strukturálně postižený průmyslový venkov</w:t>
      </w:r>
      <w:r>
        <w:t xml:space="preserve"> (obce s POÚ Sokolov, Chodov, Horní Slavkov, Loket, Karlovy Vary, Mariánské Lázně) a </w:t>
      </w:r>
      <w:r w:rsidRPr="00D063C6">
        <w:rPr>
          <w:b/>
        </w:rPr>
        <w:t>neprofilovaný venkov</w:t>
      </w:r>
      <w:r>
        <w:t xml:space="preserve"> (obce s POÚ Aš, Cheb, Kynšperk nad Ohří, Toužim).</w:t>
      </w:r>
    </w:p>
    <w:p w:rsidR="0001301B" w:rsidRPr="00AE46CF" w:rsidRDefault="0001301B" w:rsidP="002C40B2">
      <w:r w:rsidRPr="00AE46CF">
        <w:t xml:space="preserve">Pro obyvatele </w:t>
      </w:r>
      <w:r w:rsidR="00DD25AB">
        <w:t>KK</w:t>
      </w:r>
      <w:r w:rsidRPr="00AE46CF">
        <w:t xml:space="preserve">, zejména venkovských oblastí, je z pohledu jejich potřeb spojených s veřejnou správou, zdravotní péčí, školstvím a dalšími službami v rámci občanské vybavenosti důležitá dobrá </w:t>
      </w:r>
      <w:r w:rsidRPr="00AE46CF">
        <w:rPr>
          <w:b/>
        </w:rPr>
        <w:t>dostupnost správního sídla ORP a sídla kraje</w:t>
      </w:r>
      <w:r w:rsidRPr="00AE46CF">
        <w:t xml:space="preserve">. Velikost kraje, poloha krajského města, ale také hustota a kvalita silniční sítě ovlivňují časovou dostupnost sídla kraje. </w:t>
      </w:r>
      <w:r>
        <w:t xml:space="preserve">Na </w:t>
      </w:r>
      <w:r w:rsidR="004F2330">
        <w:fldChar w:fldCharType="begin"/>
      </w:r>
      <w:r w:rsidR="004F2330">
        <w:instrText xml:space="preserve"> REF _Ref464724806 \h  \* MERGEFORMAT </w:instrText>
      </w:r>
      <w:r w:rsidR="004F2330">
        <w:fldChar w:fldCharType="separate"/>
      </w:r>
      <w:r w:rsidR="003E6BE0">
        <w:t>obráz</w:t>
      </w:r>
      <w:r w:rsidR="00CB29BD">
        <w:t>k</w:t>
      </w:r>
      <w:r w:rsidR="003E6BE0">
        <w:t>u</w:t>
      </w:r>
      <w:r w:rsidR="00CB29BD">
        <w:t xml:space="preserve"> </w:t>
      </w:r>
      <w:r w:rsidR="00CB29BD">
        <w:rPr>
          <w:noProof/>
        </w:rPr>
        <w:t>18</w:t>
      </w:r>
      <w:r w:rsidR="00CB29BD">
        <w:t>.3</w:t>
      </w:r>
      <w:r w:rsidR="004F2330">
        <w:fldChar w:fldCharType="end"/>
      </w:r>
      <w:r>
        <w:t xml:space="preserve"> je zobrazena časová dostupnost krajského města a</w:t>
      </w:r>
      <w:r w:rsidRPr="00AE46CF">
        <w:t xml:space="preserve"> správního sídla ORP</w:t>
      </w:r>
      <w:r>
        <w:t xml:space="preserve"> po silniční síti</w:t>
      </w:r>
      <w:r w:rsidRPr="00AE46CF">
        <w:t>.</w:t>
      </w:r>
      <w:r>
        <w:t xml:space="preserve"> Obyvatelé převážně venkovského území Kraslicka, Chebska, Ašska a Mariánských Lázní se do krajského města dostanou obtížněji, a to v rozmezí 40 až 60 minut. Poměrně dobře dostupné je krajské město silnicí D6 z města Chebu, Sokolova a nejbližších obcí, a to do 30 minut jízdy. Město Ostrov je od Karlových Varů </w:t>
      </w:r>
      <w:r>
        <w:lastRenderedPageBreak/>
        <w:t xml:space="preserve">vzdálené pouze 10 minut jízdy autem. Z hlediska dostupnosti sídla </w:t>
      </w:r>
      <w:r w:rsidRPr="00AE46CF">
        <w:t>správního obvodu</w:t>
      </w:r>
      <w:r>
        <w:t xml:space="preserve"> je nejobtížněji</w:t>
      </w:r>
      <w:r w:rsidRPr="00AE46CF">
        <w:t xml:space="preserve"> dostupné pro obyvatele venkovských obcí v ORP Karlovy Vary, kde obyvatelům </w:t>
      </w:r>
      <w:r>
        <w:t>některých</w:t>
      </w:r>
      <w:r w:rsidRPr="00AE46CF">
        <w:t xml:space="preserve"> obcí trvá cesta více než 30 minut. </w:t>
      </w:r>
      <w:r>
        <w:t>Nejdostupnější je správní sídlo v ORP Aš a Cheb. Dojezdová vzdálenost mezi hlavními sídly kraje hraje významnou roli při posilování vzájemných funkčních vazeb.</w:t>
      </w:r>
    </w:p>
    <w:p w:rsidR="0001301B" w:rsidRDefault="0001301B" w:rsidP="000B3B9C">
      <w:pPr>
        <w:pStyle w:val="Titulek"/>
      </w:pPr>
      <w:bookmarkStart w:id="441" w:name="_Ref464724806"/>
      <w:bookmarkStart w:id="442" w:name="_Ref310523385"/>
      <w:bookmarkStart w:id="443" w:name="_Toc321406076"/>
      <w:bookmarkStart w:id="444" w:name="_Toc488234404"/>
      <w:r>
        <w:t xml:space="preserve">Obrázek </w:t>
      </w:r>
      <w:r w:rsidR="008965FE">
        <w:fldChar w:fldCharType="begin"/>
      </w:r>
      <w:r w:rsidR="00564668">
        <w:instrText xml:space="preserve"> STYLEREF 1 \s </w:instrText>
      </w:r>
      <w:r w:rsidR="008965FE">
        <w:fldChar w:fldCharType="separate"/>
      </w:r>
      <w:r w:rsidR="00CB29BD">
        <w:t>18</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3</w:t>
      </w:r>
      <w:r w:rsidR="008965FE">
        <w:fldChar w:fldCharType="end"/>
      </w:r>
      <w:bookmarkEnd w:id="441"/>
      <w:r w:rsidRPr="00AE46CF">
        <w:t>: Časová dostupnost sídla kraje</w:t>
      </w:r>
      <w:bookmarkEnd w:id="442"/>
      <w:bookmarkEnd w:id="443"/>
      <w:r w:rsidRPr="00AE46CF">
        <w:t xml:space="preserve"> </w:t>
      </w:r>
      <w:r>
        <w:t>a správního obvodu ORP</w:t>
      </w:r>
      <w:bookmarkEnd w:id="444"/>
      <w:r>
        <w:t xml:space="preserve"> </w:t>
      </w:r>
    </w:p>
    <w:p w:rsidR="0001301B" w:rsidRDefault="0001301B" w:rsidP="002C40B2">
      <w:r>
        <w:rPr>
          <w:noProof/>
        </w:rPr>
        <w:drawing>
          <wp:anchor distT="0" distB="0" distL="114300" distR="114300" simplePos="0" relativeHeight="251668480" behindDoc="0" locked="0" layoutInCell="1" allowOverlap="1">
            <wp:simplePos x="0" y="0"/>
            <wp:positionH relativeFrom="column">
              <wp:posOffset>2805430</wp:posOffset>
            </wp:positionH>
            <wp:positionV relativeFrom="paragraph">
              <wp:posOffset>18415</wp:posOffset>
            </wp:positionV>
            <wp:extent cx="2894330" cy="2294890"/>
            <wp:effectExtent l="19050" t="19050" r="20320" b="1016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Pk - schema_dostupnost_orp.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894330" cy="2294890"/>
                    </a:xfrm>
                    <a:prstGeom prst="rect">
                      <a:avLst/>
                    </a:prstGeom>
                    <a:ln>
                      <a:solidFill>
                        <a:schemeClr val="tx1"/>
                      </a:solidFill>
                    </a:ln>
                  </pic:spPr>
                </pic:pic>
              </a:graphicData>
            </a:graphic>
          </wp:anchor>
        </w:drawing>
      </w:r>
      <w:r>
        <w:rPr>
          <w:noProof/>
        </w:rPr>
        <w:drawing>
          <wp:inline distT="0" distB="0" distL="0" distR="0">
            <wp:extent cx="2790825" cy="2294890"/>
            <wp:effectExtent l="19050" t="19050" r="28575" b="1016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APk - schema_dostupnost_kr.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810645" cy="2311188"/>
                    </a:xfrm>
                    <a:prstGeom prst="rect">
                      <a:avLst/>
                    </a:prstGeom>
                    <a:ln>
                      <a:solidFill>
                        <a:schemeClr val="tx1"/>
                      </a:solidFill>
                    </a:ln>
                  </pic:spPr>
                </pic:pic>
              </a:graphicData>
            </a:graphic>
          </wp:inline>
        </w:drawing>
      </w:r>
    </w:p>
    <w:p w:rsidR="0001301B" w:rsidRPr="001F57E3" w:rsidRDefault="0001301B" w:rsidP="002C40B2">
      <w:pPr>
        <w:pStyle w:val="poznzdroj"/>
        <w:spacing w:after="0" w:line="276" w:lineRule="auto"/>
      </w:pPr>
      <w:r w:rsidRPr="001F57E3">
        <w:t>Poznámka: Časová dostupnost byla vymezena na základě síťové analýzy v programu ArcGIS Desktop na základě dostupnosti silniční sítě.</w:t>
      </w:r>
    </w:p>
    <w:p w:rsidR="0001301B" w:rsidRPr="001F57E3" w:rsidRDefault="0001301B" w:rsidP="002C40B2">
      <w:pPr>
        <w:pStyle w:val="poznzdroj"/>
        <w:spacing w:before="0" w:line="276" w:lineRule="auto"/>
      </w:pPr>
      <w:r w:rsidRPr="001F57E3">
        <w:t xml:space="preserve">Zdroj: ÚAP </w:t>
      </w:r>
      <w:r w:rsidR="00C51C1A">
        <w:t>2015</w:t>
      </w:r>
    </w:p>
    <w:p w:rsidR="0001301B" w:rsidRPr="00AE46CF" w:rsidRDefault="0001301B" w:rsidP="002C40B2">
      <w:pPr>
        <w:rPr>
          <w:b/>
          <w:u w:val="single"/>
        </w:rPr>
      </w:pPr>
      <w:r>
        <w:t xml:space="preserve">Nedostatkem venkovského prostoru </w:t>
      </w:r>
      <w:r w:rsidR="00DD25AB">
        <w:t>KK</w:t>
      </w:r>
      <w:r w:rsidRPr="00AE46CF">
        <w:t xml:space="preserve"> je </w:t>
      </w:r>
      <w:r w:rsidRPr="00AE46CF">
        <w:rPr>
          <w:b/>
        </w:rPr>
        <w:t>velký rozsah území s nízkou hustotou zalidnění a se slabými lokálními centry</w:t>
      </w:r>
      <w:r w:rsidRPr="00AE46CF">
        <w:t xml:space="preserve">. Jedná se zejména o horské oblasti </w:t>
      </w:r>
      <w:r w:rsidR="00DD25AB">
        <w:t>KK</w:t>
      </w:r>
      <w:r w:rsidRPr="00AE46CF">
        <w:t xml:space="preserve"> částečně znevýhodněné fyzicko-geografickými podmínkami a dále oblast tzv. vnitřní periferie v jihovýchodní části </w:t>
      </w:r>
      <w:r w:rsidR="00DD25AB">
        <w:t>KK</w:t>
      </w:r>
      <w:r w:rsidRPr="00AE46CF">
        <w:t xml:space="preserve">. Těmto specifickým oblastem je nezbytné z hlediska celokrajských územních souvislostí věnovat zvláštní podporu, aby nedocházelo k populačním úbytkům, destabilizaci sociální soudržnosti a celkové degradaci území, což by mělo dopad na rozvoj celého </w:t>
      </w:r>
      <w:r w:rsidR="00DD25AB">
        <w:t>KK</w:t>
      </w:r>
      <w:r w:rsidRPr="00AE46CF">
        <w:t>. Ve shodě se ZÚR</w:t>
      </w:r>
      <w:r>
        <w:t xml:space="preserve"> KK</w:t>
      </w:r>
      <w:r w:rsidRPr="00AE46CF">
        <w:t xml:space="preserve"> lze tvrdit, že předpokladem pro stabilizaci obyvatel na venkově je vyvážená míra kompenzace nevýhod rozvolněného osídlení, zejména zajištění</w:t>
      </w:r>
      <w:r>
        <w:t>:</w:t>
      </w:r>
      <w:r w:rsidRPr="00AE46CF">
        <w:t xml:space="preserve"> dopravních služeb, kvalitní technické infrastruktury včetně telekomunikací a možností internetového připojení a kvalitního obytného prostředí sídel. </w:t>
      </w:r>
    </w:p>
    <w:p w:rsidR="0001301B" w:rsidRPr="00AE46CF" w:rsidRDefault="0001301B" w:rsidP="002C40B2">
      <w:r>
        <w:t>Analýzou</w:t>
      </w:r>
      <w:r w:rsidRPr="001615B7">
        <w:t xml:space="preserve"> rozvojových možností čtyř </w:t>
      </w:r>
      <w:r>
        <w:t xml:space="preserve">venkovských </w:t>
      </w:r>
      <w:r w:rsidRPr="001615B7">
        <w:t xml:space="preserve">území, mezi něž patří Krušné hory, Ašsko, Český les a Slavkovský les </w:t>
      </w:r>
      <w:r>
        <w:t xml:space="preserve">se zabývala </w:t>
      </w:r>
      <w:r w:rsidRPr="00D063C6">
        <w:rPr>
          <w:i/>
        </w:rPr>
        <w:t>Územní studie Horských oblastí</w:t>
      </w:r>
      <w:r>
        <w:t xml:space="preserve"> v roce 2011</w:t>
      </w:r>
      <w:r w:rsidRPr="001615B7">
        <w:t>. Jako hlavní problémy těchto horských oblastí byly identifikovány podvybavenost veřejnou infrastrukturou, nevyhovující stav silnic II. a III. třídy (zejména povrch, krajnice, průtahy sídly, nevyhovující šířka, směrové parametry, vybavení), existující průmyslové, zeměděl</w:t>
      </w:r>
      <w:r w:rsidRPr="00295211">
        <w:t xml:space="preserve">ské a těžební „brownfieldy“ a výskyt deprivovaných malých sídel se špatnou dopravní dostupností. Horské oblasti </w:t>
      </w:r>
      <w:r>
        <w:t>mají obecně špatnou sociální strukturu. J</w:t>
      </w:r>
      <w:r w:rsidRPr="00295211">
        <w:t>sou postiženy vysokou mírou nezaměstnanosti</w:t>
      </w:r>
      <w:r>
        <w:t>,</w:t>
      </w:r>
      <w:r w:rsidRPr="00295211">
        <w:t xml:space="preserve"> populace je charakteristická narušenou sociální skladbou a populačním poklesem některých obcí, nízkou vzdělanostní (kvalifikační) strukturou.</w:t>
      </w:r>
      <w:r>
        <w:t xml:space="preserve"> Výsledky z této studie byly využity i ve zpracování ZÚR KK.</w:t>
      </w:r>
    </w:p>
    <w:p w:rsidR="0001301B" w:rsidRDefault="0001301B" w:rsidP="002C40B2">
      <w:r w:rsidRPr="001F57E3">
        <w:t>Vnitřní periferie jsou vymezeny v rámci ZÚR KK jako specifické oblasti</w:t>
      </w:r>
      <w:r>
        <w:t>. Tyto oblasti</w:t>
      </w:r>
      <w:r w:rsidRPr="00AE46CF">
        <w:t xml:space="preserve"> vykazují relativně vyšší míru problémů z hlediska udržitelného rozvoje území. Jedná se o území na jihovýchodě </w:t>
      </w:r>
      <w:r w:rsidR="00DD25AB">
        <w:t xml:space="preserve">KK </w:t>
      </w:r>
      <w:r w:rsidRPr="00AE46CF">
        <w:t>– Žluticko a Tepelsko – Toužimsko</w:t>
      </w:r>
      <w:r>
        <w:t>.</w:t>
      </w:r>
      <w:r w:rsidRPr="00AE46CF">
        <w:t xml:space="preserve"> Toto území lze charakterizovat nízkou hustotou osídlení a problémy </w:t>
      </w:r>
      <w:r w:rsidRPr="00AE46CF">
        <w:lastRenderedPageBreak/>
        <w:t xml:space="preserve">spojenými s výrazným sociálním a hospodářským útlumem, jejichž rozsah přesahuje hranice uvedených obcí i kraje a ovlivňuje vyvážený udržitelný rozvoj širší oblasti. Za zásadní problémy se považují vysoká míra nezaměstnanosti, nevyvážená vzdělanostní struktura, nízká úroveň mezd a omezená mobilita obyvatel za prací. Je třeba dodat, že proces úpadku uvedených oblastí vnitřní periferie má kořeny ve 30. letech minulého století a v jistém smyslu se tedy jedná o dlouhodobý přirozený proces, který souvisí s postupnou prostorovou přeměnou a hierarchickou diferenciací území ČR. </w:t>
      </w:r>
    </w:p>
    <w:p w:rsidR="0001301B" w:rsidRPr="000B48E5" w:rsidRDefault="0001301B" w:rsidP="002C40B2">
      <w:pPr>
        <w:pStyle w:val="Nadpis2"/>
      </w:pPr>
      <w:r w:rsidRPr="000B48E5">
        <w:t>Klíčové výzvy/problémy</w:t>
      </w:r>
    </w:p>
    <w:p w:rsidR="0001301B" w:rsidRPr="00207879" w:rsidRDefault="0001301B" w:rsidP="002C40B2">
      <w:pPr>
        <w:rPr>
          <w:b/>
        </w:rPr>
      </w:pPr>
      <w:r w:rsidRPr="00207879">
        <w:rPr>
          <w:b/>
        </w:rPr>
        <w:t>Velká rozdílnost a bezprostřední blízkost urban</w:t>
      </w:r>
      <w:r>
        <w:rPr>
          <w:b/>
        </w:rPr>
        <w:t>izovaných a venkovských regionů</w:t>
      </w:r>
    </w:p>
    <w:p w:rsidR="0001301B" w:rsidRPr="00207879" w:rsidRDefault="0001301B" w:rsidP="002C40B2">
      <w:r w:rsidRPr="00207879">
        <w:t xml:space="preserve">Základní charakter regionální diferenciace </w:t>
      </w:r>
      <w:r w:rsidR="001D286C">
        <w:t>KK</w:t>
      </w:r>
      <w:r w:rsidRPr="00207879">
        <w:t xml:space="preserve"> je ovlivněn odlišnou geografickou polohou a přírodními podmínkami jednotlivých oblastí, což má za následek v první řadě velmi rozdílný charakter osídlení. Zásadní polarita v </w:t>
      </w:r>
      <w:r w:rsidR="001D286C">
        <w:t>KK</w:t>
      </w:r>
      <w:r w:rsidRPr="00207879">
        <w:t xml:space="preserve"> je proto mezi urbanizovaným, hustě osídleným územím v povodí Ohře a venkovskými oblastmi v pohraničních oblastech a v jihový</w:t>
      </w:r>
      <w:r w:rsidR="00E4431D">
        <w:t>chodní části kraje.</w:t>
      </w:r>
    </w:p>
    <w:p w:rsidR="0001301B" w:rsidRPr="00207879" w:rsidRDefault="0001301B" w:rsidP="002C40B2">
      <w:r w:rsidRPr="00207879">
        <w:t xml:space="preserve">Zcela rozdílný charakter území ovlivňující rozvojové možnosti jednotlivých regionů je ještě zvýrazněn blízkostí uvedených dvou typů oblastí, kdy na silně urbanizované oblasti bezprostředně navazuje velmi řídce osídlené území hor a tzv. vnitřní periferie. Na rozdíl od ostatních regionálních center v ČR se suburbanizační procesy posledních 20 let odehrávaly převážně v nejtěsnější blízkosti měst </w:t>
      </w:r>
      <w:r w:rsidR="001D286C">
        <w:t>KK,</w:t>
      </w:r>
      <w:r>
        <w:t xml:space="preserve"> a to v menším rozsahu</w:t>
      </w:r>
      <w:r w:rsidRPr="00207879">
        <w:t xml:space="preserve"> než v jiných krajích. Na jedné straně tedy existují v těsném zázemí center kraje potenciálně atraktivní přírodní území vhodná pro bydlení v dobrém prostředí v zázemí měst, na druhou stranu je jejich atraktivita snižována nedostatečně rozvinutou infrastrukturou a zhoršenou dopravní dostupností. Významnou roli patrně také hraje celkově nižší dynamika suburbanizačních procesů v kraji, která může být mimo jiné dána kombinací horší sociální skladby populace a ekonomické situace kraje. </w:t>
      </w:r>
    </w:p>
    <w:p w:rsidR="0001301B" w:rsidRPr="00207879" w:rsidRDefault="0001301B" w:rsidP="002C40B2">
      <w:r w:rsidRPr="00207879">
        <w:t>Urbanizované a venkovské regiony se potýkají se specifickými problémy. Urbanizované regiony potřebují diverzifikovat ekonomické činnosti, zvýšit produktivitu práce, rozšířit inovační podnikání atd</w:t>
      </w:r>
      <w:r>
        <w:t>.</w:t>
      </w:r>
      <w:r w:rsidRPr="00207879">
        <w:t>, což je předpokladem pro nastartování ekonomiky celého kraje. To bude mít pozitivní vliv také na venkovské oblasti, ve kterých je v současné době nutné usilovat zejména o stabilizaci obyvatelstva, podporu vzniku nových pracovních příležitostí a zlepšení dopravní dostupnosti umožňující snadné dojíždění za prací. Hlavním ekonomickým problémem venkovských regionů totiž je vysoká míra nezaměstnanosti daná kombinací nedostatku pracovních míst a horší dostupností středisek kraje.</w:t>
      </w:r>
    </w:p>
    <w:p w:rsidR="0001301B" w:rsidRPr="003426D8" w:rsidRDefault="0001301B" w:rsidP="002C40B2">
      <w:pPr>
        <w:rPr>
          <w:b/>
          <w:i/>
        </w:rPr>
      </w:pPr>
      <w:r>
        <w:rPr>
          <w:b/>
          <w:i/>
        </w:rPr>
        <w:t>Příčiny</w:t>
      </w:r>
    </w:p>
    <w:p w:rsidR="001D286C" w:rsidRDefault="0001301B" w:rsidP="00E079F9">
      <w:r w:rsidRPr="00207879">
        <w:t xml:space="preserve">Ekonomika urbanizované oblasti </w:t>
      </w:r>
      <w:r w:rsidR="001D286C">
        <w:t>KK</w:t>
      </w:r>
      <w:r w:rsidRPr="00207879">
        <w:t xml:space="preserve"> jako centra celého regionu není natolik silná, aby měl její rozvoj a aktivity dopad i na širší okolí. Ani Karlovy Vary jako mezoregionální centrum negenerují tolik pracovních příležitostí, které by v dostatečné míře „nasávaly“ pracovní sílu z venkovských oblastí a tak podpořily jejich rozvoj. Na druhou stranu díky koncentraci obyvatel a ekonomických činností do uvedených oblastí se rozvoj stále soustředí do velkých měst a jejich suburbánních zón a horské a periferní oblasti s rozvolněným osídlením z mnoha investic nijak neprofitují. </w:t>
      </w:r>
    </w:p>
    <w:p w:rsidR="001D286C" w:rsidRDefault="001D286C">
      <w:pPr>
        <w:spacing w:after="160" w:line="259" w:lineRule="auto"/>
        <w:jc w:val="left"/>
      </w:pPr>
      <w:r>
        <w:br w:type="page"/>
      </w:r>
    </w:p>
    <w:p w:rsidR="0001301B" w:rsidRPr="003426D8" w:rsidRDefault="0001301B" w:rsidP="002C40B2">
      <w:pPr>
        <w:rPr>
          <w:b/>
          <w:i/>
        </w:rPr>
      </w:pPr>
      <w:r>
        <w:rPr>
          <w:b/>
          <w:i/>
        </w:rPr>
        <w:lastRenderedPageBreak/>
        <w:t>Důsledky</w:t>
      </w:r>
    </w:p>
    <w:p w:rsidR="0001301B" w:rsidRPr="00207879" w:rsidRDefault="0001301B" w:rsidP="002C40B2">
      <w:r w:rsidRPr="00E4431D">
        <w:t>Další soustředění rozvojových aktivit do urbanizovaných oblastí, které nebudou mít širší dopad na území, bude přispívat ke zvýšení regionálních rozdílů a může mít za následek pokračující destabilizaci obyvatelstva venkovských regionů. Vzhledem k nízkému přirozenému hospodářskému potenciálu venkovských oblastí lze očekávat, že bez podpory směřované do oživení místní ekonomiky a vzniku nových aktivit bude většina periferních oblastí dále upadat. Pokud totiž obyvatelé nebudou mít možnost získat práci v blízkosti bydliště a dobrá dopravní dostupnost jim neumožní snadné dojíždění za prací (nikoliv ve smyslu délky trvání cesty, ale spíše frekvence spojení), lze očekávat v těchto oblastech úbytek počtu obyvatel, který s sebou ponese další nepříznivé důsledky pro území a povede</w:t>
      </w:r>
      <w:r w:rsidRPr="00207879">
        <w:t xml:space="preserve"> k jeho degradaci. </w:t>
      </w:r>
    </w:p>
    <w:p w:rsidR="0001301B" w:rsidRPr="00E4431D" w:rsidRDefault="0001301B" w:rsidP="002C40B2">
      <w:pPr>
        <w:pStyle w:val="Nadpis3"/>
        <w:spacing w:line="276" w:lineRule="auto"/>
      </w:pPr>
      <w:r w:rsidRPr="00E4431D">
        <w:t>Literatura:</w:t>
      </w:r>
    </w:p>
    <w:p w:rsidR="008E380E" w:rsidRDefault="008E380E" w:rsidP="00E079F9">
      <w:pPr>
        <w:spacing w:after="120"/>
        <w:jc w:val="left"/>
      </w:pPr>
      <w:bookmarkStart w:id="445" w:name="_Toc317514201"/>
      <w:bookmarkStart w:id="446" w:name="_Toc317514264"/>
      <w:bookmarkStart w:id="447" w:name="_Toc317525475"/>
      <w:bookmarkStart w:id="448" w:name="_Toc317525476"/>
      <w:bookmarkStart w:id="449" w:name="_Toc317525477"/>
      <w:bookmarkStart w:id="450" w:name="_Toc317525478"/>
      <w:bookmarkStart w:id="451" w:name="_Toc317525479"/>
      <w:bookmarkStart w:id="452" w:name="_Toc317525480"/>
      <w:bookmarkStart w:id="453" w:name="_Toc317525481"/>
      <w:bookmarkStart w:id="454" w:name="_Toc317525482"/>
      <w:bookmarkStart w:id="455" w:name="_Toc317525483"/>
      <w:bookmarkStart w:id="456" w:name="_Toc317525484"/>
      <w:bookmarkStart w:id="457" w:name="_Toc317525485"/>
      <w:bookmarkStart w:id="458" w:name="_Toc317525486"/>
      <w:bookmarkStart w:id="459" w:name="_Toc317525487"/>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1305BB">
        <w:t xml:space="preserve">Berman Group. </w:t>
      </w:r>
      <w:r w:rsidRPr="005E5675">
        <w:rPr>
          <w:i/>
        </w:rPr>
        <w:t>Vstupní analýza</w:t>
      </w:r>
      <w:r>
        <w:t xml:space="preserve"> </w:t>
      </w:r>
      <w:r w:rsidRPr="001305BB">
        <w:rPr>
          <w:i/>
        </w:rPr>
        <w:t>Strategie hospodářské restrukturalizace Ústeckého, Moravskoslezského a Karlovarského kraje</w:t>
      </w:r>
      <w:r w:rsidRPr="001305BB">
        <w:rPr>
          <w:color w:val="000000"/>
        </w:rPr>
        <w:t xml:space="preserve"> [online].</w:t>
      </w:r>
      <w:r w:rsidRPr="001305BB">
        <w:t xml:space="preserve"> 2016. Dostupné z: </w:t>
      </w:r>
      <w:hyperlink r:id="rId188" w:history="1">
        <w:r w:rsidRPr="001305BB">
          <w:rPr>
            <w:rStyle w:val="Hypertextovodkaz"/>
          </w:rPr>
          <w:t>http://rskuk.cz/files/Zapis-20160331/prilohy/20160316_Vstupni-analyza-Strategie-hospodarske-restrukturalizace-ULK-MS....pdf</w:t>
        </w:r>
      </w:hyperlink>
      <w:r w:rsidRPr="001305BB">
        <w:t>.</w:t>
      </w:r>
    </w:p>
    <w:p w:rsidR="008E380E" w:rsidRPr="001F57E3" w:rsidRDefault="008E380E" w:rsidP="00E079F9">
      <w:pPr>
        <w:jc w:val="left"/>
      </w:pPr>
      <w:r w:rsidRPr="001F57E3">
        <w:t>Hampl</w:t>
      </w:r>
      <w:r>
        <w:t>, M.</w:t>
      </w:r>
      <w:r w:rsidRPr="001F57E3">
        <w:t xml:space="preserve"> </w:t>
      </w:r>
      <w:r w:rsidRPr="00E4431D">
        <w:rPr>
          <w:i/>
        </w:rPr>
        <w:t>Geografická organizace společnosti v ČR: transformační procesy a jejich obecný kontext</w:t>
      </w:r>
      <w:r w:rsidRPr="001F57E3">
        <w:t xml:space="preserve"> </w:t>
      </w:r>
      <w:r w:rsidRPr="001305BB">
        <w:rPr>
          <w:color w:val="000000"/>
        </w:rPr>
        <w:t>[online].</w:t>
      </w:r>
      <w:r w:rsidRPr="001305BB">
        <w:t xml:space="preserve"> </w:t>
      </w:r>
      <w:r>
        <w:t xml:space="preserve">Praha, UK, </w:t>
      </w:r>
      <w:r w:rsidRPr="001F57E3">
        <w:t>2005.</w:t>
      </w:r>
      <w:r>
        <w:t xml:space="preserve"> Dostupné z: </w:t>
      </w:r>
      <w:hyperlink r:id="rId189" w:history="1">
        <w:r w:rsidRPr="00E75A51">
          <w:rPr>
            <w:rStyle w:val="Hypertextovodkaz"/>
          </w:rPr>
          <w:t>https://www.natur.cuni.cz/geografie/socialni-geografie-a-regionalni-rozvoj/other/files/hampl-geograficka-organizace</w:t>
        </w:r>
      </w:hyperlink>
      <w:r>
        <w:t>.</w:t>
      </w:r>
    </w:p>
    <w:p w:rsidR="008E380E" w:rsidRDefault="008E380E" w:rsidP="00E079F9">
      <w:pPr>
        <w:jc w:val="left"/>
      </w:pPr>
      <w:r w:rsidRPr="001F57E3">
        <w:t xml:space="preserve">Hampl, M., Marada, M.: </w:t>
      </w:r>
      <w:r w:rsidRPr="00E4431D">
        <w:t>Sociogeografická organizace Česka</w:t>
      </w:r>
      <w:r w:rsidRPr="001F57E3">
        <w:t xml:space="preserve">. 2015. In: </w:t>
      </w:r>
      <w:r w:rsidRPr="00E4431D">
        <w:rPr>
          <w:i/>
        </w:rPr>
        <w:t>Geografie</w:t>
      </w:r>
      <w:r w:rsidRPr="001F57E3">
        <w:t>, 120, č. 3, s. 397-421.</w:t>
      </w:r>
      <w:r>
        <w:t xml:space="preserve"> Dostupné z</w:t>
      </w:r>
      <w:r w:rsidRPr="001F57E3">
        <w:t xml:space="preserve">: </w:t>
      </w:r>
      <w:hyperlink r:id="rId190" w:history="1">
        <w:r w:rsidRPr="00E75A51">
          <w:rPr>
            <w:rStyle w:val="Hypertextovodkaz"/>
          </w:rPr>
          <w:t>http://geography.cz/sbornik/wp-content/uploads/downloads/2015/10/gcgs032015_hampl.pdf</w:t>
        </w:r>
      </w:hyperlink>
      <w:r>
        <w:t>.</w:t>
      </w:r>
    </w:p>
    <w:p w:rsidR="009E424D" w:rsidRDefault="008E380E">
      <w:pPr>
        <w:jc w:val="left"/>
      </w:pPr>
      <w:r w:rsidRPr="001F57E3">
        <w:t>Perlín, R., Kučerová, S., Kučera, Z</w:t>
      </w:r>
      <w:r>
        <w:t>.</w:t>
      </w:r>
      <w:r w:rsidRPr="001F57E3">
        <w:t xml:space="preserve"> </w:t>
      </w:r>
      <w:r w:rsidRPr="00E4431D">
        <w:t>Typologie venkovského prostoru Česka</w:t>
      </w:r>
      <w:r>
        <w:rPr>
          <w:i/>
        </w:rPr>
        <w:t xml:space="preserve"> </w:t>
      </w:r>
      <w:r w:rsidRPr="001305BB">
        <w:rPr>
          <w:color w:val="000000"/>
        </w:rPr>
        <w:t>[online].</w:t>
      </w:r>
      <w:r w:rsidRPr="001F57E3">
        <w:t xml:space="preserve"> 2010. In:</w:t>
      </w:r>
      <w:r>
        <w:t xml:space="preserve"> </w:t>
      </w:r>
      <w:r w:rsidRPr="00E4431D">
        <w:rPr>
          <w:i/>
        </w:rPr>
        <w:t>Geografie</w:t>
      </w:r>
      <w:r w:rsidRPr="001F57E3">
        <w:t xml:space="preserve">, 115, č. 2, s. 161–187. </w:t>
      </w:r>
      <w:r>
        <w:t xml:space="preserve">Dostupné z: </w:t>
      </w:r>
      <w:hyperlink r:id="rId191" w:history="1">
        <w:r w:rsidRPr="00E4431D">
          <w:t>http://silvie-r-kucerova.cz/texty/Perlin_Kucerova_Kucera2010.pdf</w:t>
        </w:r>
      </w:hyperlink>
      <w:r w:rsidR="00401FF5">
        <w:t>.</w:t>
      </w:r>
      <w:r w:rsidR="00CE7416">
        <w:br w:type="page"/>
      </w:r>
    </w:p>
    <w:p w:rsidR="00DE7326" w:rsidRPr="00863198" w:rsidRDefault="00544087" w:rsidP="00094A5B">
      <w:pPr>
        <w:pStyle w:val="Nadpis1"/>
      </w:pPr>
      <w:bookmarkStart w:id="460" w:name="_Toc321405942"/>
      <w:r>
        <w:lastRenderedPageBreak/>
        <w:t xml:space="preserve"> </w:t>
      </w:r>
      <w:bookmarkStart w:id="461" w:name="_Toc488233404"/>
      <w:r w:rsidR="00DE7326" w:rsidRPr="00863198">
        <w:t>Technická a občanská vybavenost obcí v Karlovarském kraji</w:t>
      </w:r>
      <w:bookmarkEnd w:id="460"/>
      <w:bookmarkEnd w:id="461"/>
    </w:p>
    <w:p w:rsidR="00DE7326" w:rsidRPr="00AE46CF" w:rsidRDefault="00DE7326" w:rsidP="002C40B2">
      <w:r w:rsidRPr="00AE46CF">
        <w:t xml:space="preserve">Hodnocení technické a občanské vybavenosti obcí </w:t>
      </w:r>
      <w:r w:rsidR="000B3B9C">
        <w:t>KK</w:t>
      </w:r>
      <w:r w:rsidRPr="00AE46CF">
        <w:t xml:space="preserve"> je založeno na datech </w:t>
      </w:r>
      <w:r w:rsidR="000B3B9C">
        <w:t>ČSÚ.</w:t>
      </w:r>
      <w:r w:rsidRPr="00AE46CF">
        <w:t xml:space="preserve"> Hlavním smyslem analýzy je zhodnocení a celkové porovnání kvality vybavenosti obcí v </w:t>
      </w:r>
      <w:r w:rsidR="000B3B9C">
        <w:t>KK</w:t>
      </w:r>
      <w:r w:rsidRPr="00AE46CF">
        <w:t xml:space="preserve">. </w:t>
      </w:r>
    </w:p>
    <w:p w:rsidR="00DE7326" w:rsidRPr="00AE46CF" w:rsidRDefault="00DE7326" w:rsidP="002C40B2">
      <w:pPr>
        <w:rPr>
          <w:rFonts w:cs="Arial"/>
        </w:rPr>
      </w:pPr>
      <w:r w:rsidRPr="00A6040E">
        <w:t xml:space="preserve">Kvalita technické infrastruktury obcí je hodnocena na základě údajů o </w:t>
      </w:r>
      <w:r>
        <w:t xml:space="preserve">podílu počtu obyvatel napojených na </w:t>
      </w:r>
      <w:r w:rsidRPr="00A6040E">
        <w:t>kanalizac</w:t>
      </w:r>
      <w:r>
        <w:t>i</w:t>
      </w:r>
      <w:r w:rsidRPr="00A6040E">
        <w:t xml:space="preserve">, vodovod a </w:t>
      </w:r>
      <w:r>
        <w:t>plynovod</w:t>
      </w:r>
      <w:r w:rsidRPr="00A6040E">
        <w:t xml:space="preserve">. </w:t>
      </w:r>
      <w:r>
        <w:rPr>
          <w:rFonts w:cs="Arial"/>
        </w:rPr>
        <w:t xml:space="preserve">Údaje o vybavenosti obyvatel technickou infrastrukturou v obcích </w:t>
      </w:r>
      <w:r w:rsidR="000B3B9C">
        <w:rPr>
          <w:rFonts w:cs="Arial"/>
        </w:rPr>
        <w:t>KK</w:t>
      </w:r>
      <w:r>
        <w:rPr>
          <w:rFonts w:cs="Arial"/>
        </w:rPr>
        <w:t xml:space="preserve"> znázorňuje </w:t>
      </w:r>
      <w:r w:rsidR="004F2330">
        <w:fldChar w:fldCharType="begin"/>
      </w:r>
      <w:r w:rsidR="004F2330">
        <w:instrText xml:space="preserve"> REF _Ref467829400 \h  \* MERGEFORMAT </w:instrText>
      </w:r>
      <w:r w:rsidR="004F2330">
        <w:fldChar w:fldCharType="separate"/>
      </w:r>
      <w:r w:rsidR="003E6BE0">
        <w:t>o</w:t>
      </w:r>
      <w:r w:rsidR="00CB29BD">
        <w:t xml:space="preserve">brázek </w:t>
      </w:r>
      <w:r w:rsidR="00CB29BD">
        <w:rPr>
          <w:noProof/>
        </w:rPr>
        <w:t>19</w:t>
      </w:r>
      <w:r w:rsidR="00CB29BD">
        <w:t>.1</w:t>
      </w:r>
      <w:r w:rsidR="004F2330">
        <w:fldChar w:fldCharType="end"/>
      </w:r>
      <w:r>
        <w:rPr>
          <w:rFonts w:cs="Arial"/>
        </w:rPr>
        <w:t xml:space="preserve">. </w:t>
      </w:r>
      <w:r w:rsidRPr="00A6040E">
        <w:rPr>
          <w:rFonts w:cs="Arial"/>
        </w:rPr>
        <w:t xml:space="preserve">Technická vybavenost obcí kraje je na dobré úrovni, </w:t>
      </w:r>
      <w:r>
        <w:rPr>
          <w:rFonts w:cs="Arial"/>
        </w:rPr>
        <w:t>jelikož</w:t>
      </w:r>
      <w:r w:rsidRPr="00A6040E">
        <w:rPr>
          <w:rFonts w:cs="Arial"/>
        </w:rPr>
        <w:t xml:space="preserve"> většin</w:t>
      </w:r>
      <w:r>
        <w:rPr>
          <w:rFonts w:cs="Arial"/>
        </w:rPr>
        <w:t>ě</w:t>
      </w:r>
      <w:r w:rsidRPr="00A6040E">
        <w:rPr>
          <w:rFonts w:cs="Arial"/>
        </w:rPr>
        <w:t xml:space="preserve"> </w:t>
      </w:r>
      <w:r>
        <w:rPr>
          <w:rFonts w:cs="Arial"/>
        </w:rPr>
        <w:t xml:space="preserve">obyvatel bylo dostupné napojení na téměř všechny </w:t>
      </w:r>
      <w:r w:rsidRPr="00A6040E">
        <w:rPr>
          <w:rFonts w:cs="Arial"/>
        </w:rPr>
        <w:t>sledovan</w:t>
      </w:r>
      <w:r>
        <w:rPr>
          <w:rFonts w:cs="Arial"/>
        </w:rPr>
        <w:t>é</w:t>
      </w:r>
      <w:r w:rsidRPr="00A6040E">
        <w:rPr>
          <w:rFonts w:cs="Arial"/>
        </w:rPr>
        <w:t xml:space="preserve"> prvky technické infrastruktury</w:t>
      </w:r>
      <w:r>
        <w:rPr>
          <w:rFonts w:cs="Arial"/>
        </w:rPr>
        <w:t>. Je</w:t>
      </w:r>
      <w:r w:rsidRPr="00A6040E">
        <w:rPr>
          <w:rFonts w:cs="Arial"/>
        </w:rPr>
        <w:t xml:space="preserve"> zřejmé, </w:t>
      </w:r>
      <w:r>
        <w:rPr>
          <w:rFonts w:cs="Arial"/>
        </w:rPr>
        <w:t xml:space="preserve">že všichni obyvatelé </w:t>
      </w:r>
      <w:r w:rsidR="000B3B9C">
        <w:rPr>
          <w:rFonts w:cs="Arial"/>
        </w:rPr>
        <w:t>KK</w:t>
      </w:r>
      <w:r>
        <w:rPr>
          <w:rFonts w:cs="Arial"/>
        </w:rPr>
        <w:t xml:space="preserve"> mají napojení na vodovod (téměř 100 %). Kanalizaci využívá mezi 75 a 100 % obyvatel převážně z měst a jejich okolí. Podíl počtu obyvatel napojených na kanalizaci je v obcích </w:t>
      </w:r>
      <w:r w:rsidR="000B3B9C">
        <w:rPr>
          <w:rFonts w:cs="Arial"/>
        </w:rPr>
        <w:t>KK</w:t>
      </w:r>
      <w:r>
        <w:rPr>
          <w:rFonts w:cs="Arial"/>
        </w:rPr>
        <w:t xml:space="preserve"> velmi nerovnoměrný, v některých menších obcích napojení na kanalizaci zcela chybí. Nejmenší podíl počtu napojených obyvatel pak vykazuje zavedení plynovodu – ve většině obcí má zaveden plyn méně než 55 % jejích obyvatel. Nejlepší dostupnost plynovodu mají urbanizované oblasti kraje. Celkově je možné tvrdit, </w:t>
      </w:r>
      <w:r w:rsidRPr="00A6040E">
        <w:rPr>
          <w:rFonts w:cs="Arial"/>
        </w:rPr>
        <w:t>že nejvíce obcí s nižším stupněm technické vybavenosti se nalézá v oblastech tzv. vnitřní periferie v jihovýchodní části kraje. Nižší vybavenost je také v obcích ležících při vnitřních hranicích mezi jednotlivými ORP (hlavně mezi Kraslicemi a Sokolovem).</w:t>
      </w:r>
      <w:r w:rsidRPr="00AE46CF">
        <w:rPr>
          <w:rFonts w:cs="Arial"/>
        </w:rPr>
        <w:t xml:space="preserve"> </w:t>
      </w:r>
    </w:p>
    <w:p w:rsidR="00DE7326" w:rsidRPr="0046728D" w:rsidRDefault="00DE7326" w:rsidP="000B3B9C">
      <w:pPr>
        <w:pStyle w:val="Titulek"/>
      </w:pPr>
      <w:bookmarkStart w:id="462" w:name="_Ref467829400"/>
      <w:bookmarkStart w:id="463" w:name="_Toc321406447"/>
      <w:bookmarkStart w:id="464" w:name="_Toc488234405"/>
      <w:r>
        <w:t xml:space="preserve">Obrázek </w:t>
      </w:r>
      <w:r w:rsidR="008965FE">
        <w:fldChar w:fldCharType="begin"/>
      </w:r>
      <w:r w:rsidR="00564668">
        <w:instrText xml:space="preserve"> STYLEREF 1 \s </w:instrText>
      </w:r>
      <w:r w:rsidR="008965FE">
        <w:fldChar w:fldCharType="separate"/>
      </w:r>
      <w:r w:rsidR="00CB29BD">
        <w:t>19</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1</w:t>
      </w:r>
      <w:r w:rsidR="008965FE">
        <w:fldChar w:fldCharType="end"/>
      </w:r>
      <w:bookmarkEnd w:id="462"/>
      <w:r w:rsidRPr="00AE46CF">
        <w:t xml:space="preserve">: </w:t>
      </w:r>
      <w:bookmarkEnd w:id="463"/>
      <w:r>
        <w:t>Podíl počtu obyvatel napojených na kanalizaci, plynovod a vodovod v obci v roce 2011</w:t>
      </w:r>
      <w:bookmarkEnd w:id="464"/>
      <w:r w:rsidRPr="00AE46CF">
        <w:t xml:space="preserve"> </w:t>
      </w:r>
    </w:p>
    <w:p w:rsidR="00DE7326" w:rsidRDefault="00DE7326" w:rsidP="002C40B2">
      <w:pPr>
        <w:spacing w:after="0"/>
        <w:rPr>
          <w:lang w:eastAsia="en-US"/>
        </w:rPr>
      </w:pPr>
      <w:r>
        <w:rPr>
          <w:noProof/>
        </w:rPr>
        <w:drawing>
          <wp:inline distT="0" distB="0" distL="0" distR="0">
            <wp:extent cx="2867025" cy="2259330"/>
            <wp:effectExtent l="19050" t="19050" r="28575" b="2667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alizace_2011.jpg"/>
                    <pic:cNvPicPr/>
                  </pic:nvPicPr>
                  <pic:blipFill rotWithShape="1">
                    <a:blip r:embed="rId192" cstate="print">
                      <a:extLst>
                        <a:ext uri="{28A0092B-C50C-407E-A947-70E740481C1C}">
                          <a14:useLocalDpi xmlns:a14="http://schemas.microsoft.com/office/drawing/2010/main" val="0"/>
                        </a:ext>
                      </a:extLst>
                    </a:blip>
                    <a:srcRect l="-369"/>
                    <a:stretch/>
                  </pic:blipFill>
                  <pic:spPr bwMode="auto">
                    <a:xfrm>
                      <a:off x="0" y="0"/>
                      <a:ext cx="2892066" cy="22790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extent cx="2800350" cy="2261235"/>
            <wp:effectExtent l="19050" t="19050" r="19050" b="2476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ynovod_2011.jpg"/>
                    <pic:cNvPicPr/>
                  </pic:nvPicPr>
                  <pic:blipFill rotWithShape="1">
                    <a:blip r:embed="rId193" cstate="print">
                      <a:extLst>
                        <a:ext uri="{28A0092B-C50C-407E-A947-70E740481C1C}">
                          <a14:useLocalDpi xmlns:a14="http://schemas.microsoft.com/office/drawing/2010/main" val="0"/>
                        </a:ext>
                      </a:extLst>
                    </a:blip>
                    <a:srcRect/>
                    <a:stretch/>
                  </pic:blipFill>
                  <pic:spPr bwMode="auto">
                    <a:xfrm>
                      <a:off x="0" y="0"/>
                      <a:ext cx="2847986" cy="2299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E7326" w:rsidRPr="00A66B65" w:rsidRDefault="00DE7326" w:rsidP="002C40B2">
      <w:pPr>
        <w:spacing w:after="0"/>
        <w:rPr>
          <w:lang w:eastAsia="en-US"/>
        </w:rPr>
      </w:pPr>
      <w:r>
        <w:rPr>
          <w:noProof/>
        </w:rPr>
        <w:drawing>
          <wp:inline distT="0" distB="0" distL="0" distR="0">
            <wp:extent cx="2876550" cy="2266950"/>
            <wp:effectExtent l="19050" t="19050" r="19050" b="1905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dovody_2011.jpg"/>
                    <pic:cNvPicPr/>
                  </pic:nvPicPr>
                  <pic:blipFill rotWithShape="1">
                    <a:blip r:embed="rId194" cstate="print">
                      <a:extLst>
                        <a:ext uri="{28A0092B-C50C-407E-A947-70E740481C1C}">
                          <a14:useLocalDpi xmlns:a14="http://schemas.microsoft.com/office/drawing/2010/main" val="0"/>
                        </a:ext>
                      </a:extLst>
                    </a:blip>
                    <a:srcRect/>
                    <a:stretch/>
                  </pic:blipFill>
                  <pic:spPr bwMode="auto">
                    <a:xfrm>
                      <a:off x="0" y="0"/>
                      <a:ext cx="2905477" cy="22897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E7326" w:rsidRPr="000B48E5" w:rsidRDefault="00DE7326" w:rsidP="002C40B2">
      <w:pPr>
        <w:rPr>
          <w:rStyle w:val="Zdraznnjemn"/>
        </w:rPr>
      </w:pPr>
      <w:r w:rsidRPr="000B48E5">
        <w:rPr>
          <w:rStyle w:val="Zdraznnjemn"/>
        </w:rPr>
        <w:t>Zdroj: ČSÚ – Sčítání lidu, domů a bytů 2011</w:t>
      </w:r>
    </w:p>
    <w:p w:rsidR="00DE7326" w:rsidRDefault="00DE7326" w:rsidP="002C40B2">
      <w:r>
        <w:lastRenderedPageBreak/>
        <w:t xml:space="preserve">Srovnání krajů dle podílu počtu obyvatel napojených na </w:t>
      </w:r>
      <w:r w:rsidRPr="00A6040E">
        <w:t>kanalizac</w:t>
      </w:r>
      <w:r>
        <w:t>i a</w:t>
      </w:r>
      <w:r w:rsidRPr="00A6040E">
        <w:t xml:space="preserve"> vodovod </w:t>
      </w:r>
      <w:r>
        <w:t xml:space="preserve">nabízí graf níže. Z dat je patrné, že </w:t>
      </w:r>
      <w:r w:rsidR="000B3B9C">
        <w:t>KK</w:t>
      </w:r>
      <w:r>
        <w:t xml:space="preserve"> dosahuje nejvyšších hodnot jak v podílu obyvatel napojených na vodovod (100 %), tak v podílu obyvatel napojených na kanalizaci (96,2%). To souvisí zejména s počtem osob žijících ve městech. Nejnižší podíl obyvatel napojených na vodovod je naopak v Plzeňském kraji a v připojení na kanalizaci v Libereckém kraji. </w:t>
      </w:r>
    </w:p>
    <w:p w:rsidR="00DE7326" w:rsidRPr="00E079F9" w:rsidRDefault="00DE7326" w:rsidP="000B3B9C">
      <w:pPr>
        <w:pStyle w:val="Titulek"/>
      </w:pPr>
      <w:bookmarkStart w:id="465" w:name="_Toc488234391"/>
      <w:r w:rsidRPr="00E079F9">
        <w:t xml:space="preserve">Graf </w:t>
      </w:r>
      <w:r w:rsidR="008965FE">
        <w:fldChar w:fldCharType="begin"/>
      </w:r>
      <w:r w:rsidR="00FD378B">
        <w:instrText xml:space="preserve"> STYLEREF 1 \s </w:instrText>
      </w:r>
      <w:r w:rsidR="008965FE">
        <w:fldChar w:fldCharType="separate"/>
      </w:r>
      <w:r w:rsidR="00CB29BD">
        <w:t>19</w:t>
      </w:r>
      <w:r w:rsidR="008965FE">
        <w:fldChar w:fldCharType="end"/>
      </w:r>
      <w:r w:rsidR="00FD378B">
        <w:t>.</w:t>
      </w:r>
      <w:r w:rsidR="008965FE">
        <w:fldChar w:fldCharType="begin"/>
      </w:r>
      <w:r w:rsidR="00FD378B">
        <w:instrText xml:space="preserve"> SEQ Graf \* ARABIC \s 1 </w:instrText>
      </w:r>
      <w:r w:rsidR="008965FE">
        <w:fldChar w:fldCharType="separate"/>
      </w:r>
      <w:r w:rsidR="00CB29BD">
        <w:t>1</w:t>
      </w:r>
      <w:r w:rsidR="008965FE">
        <w:fldChar w:fldCharType="end"/>
      </w:r>
      <w:r w:rsidRPr="00E079F9">
        <w:t>: Podíl obyvatel napojených na vodovod a kanalizaci v krajích v roce 2015 (v %)</w:t>
      </w:r>
      <w:bookmarkEnd w:id="465"/>
    </w:p>
    <w:p w:rsidR="00DE7326" w:rsidRDefault="00DE7326" w:rsidP="002C40B2">
      <w:pPr>
        <w:spacing w:after="0"/>
        <w:rPr>
          <w:rFonts w:cs="Arial"/>
        </w:rPr>
      </w:pPr>
      <w:r>
        <w:rPr>
          <w:noProof/>
        </w:rPr>
        <w:drawing>
          <wp:inline distT="0" distB="0" distL="0" distR="0">
            <wp:extent cx="5676900" cy="2333625"/>
            <wp:effectExtent l="0" t="0" r="0" b="9525"/>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DE7326" w:rsidRDefault="00DE7326" w:rsidP="00257195">
      <w:pPr>
        <w:pStyle w:val="poznzdroj"/>
        <w:spacing w:after="0" w:line="276" w:lineRule="auto"/>
      </w:pPr>
      <w:r>
        <w:t xml:space="preserve">Poznámka: </w:t>
      </w:r>
      <w:r w:rsidR="00D87F68">
        <w:t>Z</w:t>
      </w:r>
      <w:r>
        <w:t xml:space="preserve">e srovnání bylo vynecháno </w:t>
      </w:r>
      <w:r w:rsidR="00D87F68">
        <w:t>H</w:t>
      </w:r>
      <w:r>
        <w:t>l. m. Praha</w:t>
      </w:r>
      <w:r w:rsidR="00D87F68">
        <w:t>.</w:t>
      </w:r>
    </w:p>
    <w:p w:rsidR="00DE7326" w:rsidRPr="007B3D85" w:rsidRDefault="00DE7326" w:rsidP="00257195">
      <w:pPr>
        <w:pStyle w:val="poznzdroj"/>
        <w:spacing w:before="0" w:line="276" w:lineRule="auto"/>
      </w:pPr>
      <w:r w:rsidRPr="007B3D85">
        <w:t xml:space="preserve">Zdroj: </w:t>
      </w:r>
      <w:r w:rsidR="00D87F68">
        <w:t>ČSÚ -</w:t>
      </w:r>
      <w:r>
        <w:t xml:space="preserve"> </w:t>
      </w:r>
      <w:r w:rsidRPr="007B3D85">
        <w:t>Vod</w:t>
      </w:r>
      <w:r>
        <w:t>o</w:t>
      </w:r>
      <w:r w:rsidRPr="007B3D85">
        <w:t xml:space="preserve">vody, kanalizace a vodní toky 2015 </w:t>
      </w:r>
    </w:p>
    <w:p w:rsidR="00CC03C0" w:rsidRDefault="00DE7326">
      <w:pPr>
        <w:spacing w:after="160" w:line="259" w:lineRule="auto"/>
        <w:jc w:val="left"/>
        <w:rPr>
          <w:b/>
        </w:rPr>
      </w:pPr>
      <w:r w:rsidRPr="00AE46CF">
        <w:t xml:space="preserve">Z občanské vybavenosti obcí je sledována přítomnost </w:t>
      </w:r>
      <w:r>
        <w:t>základní školy, zdravotnického zařízení, pošty</w:t>
      </w:r>
      <w:r>
        <w:br/>
        <w:t>a policie (viz</w:t>
      </w:r>
      <w:r w:rsidR="009F0E91">
        <w:t xml:space="preserve"> obrázek níže</w:t>
      </w:r>
      <w:r>
        <w:t xml:space="preserve">). </w:t>
      </w:r>
    </w:p>
    <w:p w:rsidR="00CC03C0" w:rsidRPr="00922504" w:rsidRDefault="00922504" w:rsidP="00922504">
      <w:pPr>
        <w:pStyle w:val="Titulek"/>
      </w:pPr>
      <w:r>
        <w:drawing>
          <wp:anchor distT="0" distB="0" distL="114300" distR="114300" simplePos="0" relativeHeight="251675648" behindDoc="0" locked="0" layoutInCell="1" allowOverlap="1">
            <wp:simplePos x="0" y="0"/>
            <wp:positionH relativeFrom="margin">
              <wp:posOffset>33655</wp:posOffset>
            </wp:positionH>
            <wp:positionV relativeFrom="paragraph">
              <wp:posOffset>354965</wp:posOffset>
            </wp:positionV>
            <wp:extent cx="4331335" cy="2908300"/>
            <wp:effectExtent l="19050" t="19050" r="12065" b="25400"/>
            <wp:wrapTopAndBottom/>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arlovarský kraj_obce_obcanskavyb"/>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a:stretch/>
                  </pic:blipFill>
                  <pic:spPr bwMode="auto">
                    <a:xfrm>
                      <a:off x="0" y="0"/>
                      <a:ext cx="4331335" cy="29083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2F684C" w:rsidRPr="00922504">
        <w:t xml:space="preserve">Obrázek </w:t>
      </w:r>
      <w:r w:rsidR="004F2330">
        <w:fldChar w:fldCharType="begin"/>
      </w:r>
      <w:r w:rsidR="004F2330">
        <w:instrText xml:space="preserve"> STYLEREF 1 \s </w:instrText>
      </w:r>
      <w:r w:rsidR="004F2330">
        <w:fldChar w:fldCharType="separate"/>
      </w:r>
      <w:r w:rsidR="00CB29BD">
        <w:t>19</w:t>
      </w:r>
      <w:r w:rsidR="004F2330">
        <w:fldChar w:fldCharType="end"/>
      </w:r>
      <w:r w:rsidR="002F684C" w:rsidRPr="00922504">
        <w:t>.</w:t>
      </w:r>
      <w:r w:rsidR="004F2330">
        <w:fldChar w:fldCharType="begin"/>
      </w:r>
      <w:r w:rsidR="004F2330">
        <w:instrText xml:space="preserve"> SEQ Obrázek \* ARABIC \s 1 </w:instrText>
      </w:r>
      <w:r w:rsidR="004F2330">
        <w:fldChar w:fldCharType="separate"/>
      </w:r>
      <w:r w:rsidR="00CB29BD">
        <w:t>2</w:t>
      </w:r>
      <w:r w:rsidR="004F2330">
        <w:fldChar w:fldCharType="end"/>
      </w:r>
      <w:r w:rsidR="002F684C" w:rsidRPr="00922504">
        <w:t>: Občanská vybavenost obcí Karlovarského kraje v roce 2014</w:t>
      </w:r>
    </w:p>
    <w:p w:rsidR="009E424D" w:rsidRDefault="00D87F68">
      <w:pPr>
        <w:rPr>
          <w:rStyle w:val="Zdraznnjemn"/>
        </w:rPr>
      </w:pPr>
      <w:r w:rsidRPr="000B3B9C">
        <w:rPr>
          <w:rStyle w:val="Zdraznnjemn"/>
        </w:rPr>
        <w:t>Zdroj: ČSÚ -</w:t>
      </w:r>
      <w:r w:rsidR="00DE7326" w:rsidRPr="000B3B9C">
        <w:rPr>
          <w:rStyle w:val="Zdraznnjemn"/>
        </w:rPr>
        <w:t xml:space="preserve"> Malý lexikon obcí 2014</w:t>
      </w:r>
    </w:p>
    <w:p w:rsidR="00DE7326" w:rsidRDefault="00DE7326" w:rsidP="002C40B2">
      <w:pPr>
        <w:rPr>
          <w:rFonts w:cs="Arial"/>
        </w:rPr>
      </w:pPr>
      <w:r w:rsidRPr="00257195">
        <w:t xml:space="preserve">Z obrázku lze vidět, že většina obcí </w:t>
      </w:r>
      <w:r w:rsidR="000B3B9C">
        <w:t>KK</w:t>
      </w:r>
      <w:r w:rsidRPr="00257195">
        <w:t xml:space="preserve"> je vybavena všemi sledovanými občanskými službami</w:t>
      </w:r>
      <w:r w:rsidR="000B3B9C">
        <w:t>.</w:t>
      </w:r>
      <w:r w:rsidRPr="00257195">
        <w:t xml:space="preserve"> Na druhé </w:t>
      </w:r>
      <w:r w:rsidRPr="00AE46CF">
        <w:rPr>
          <w:rFonts w:cs="Arial"/>
        </w:rPr>
        <w:t xml:space="preserve">straně </w:t>
      </w:r>
      <w:r w:rsidRPr="007B3D85">
        <w:rPr>
          <w:rFonts w:cs="Arial"/>
          <w:b/>
        </w:rPr>
        <w:t>téměř 30 % obcí nedisponovalo ani jednou z uvedených služeb</w:t>
      </w:r>
      <w:r w:rsidRPr="00AE46CF">
        <w:rPr>
          <w:rFonts w:cs="Arial"/>
        </w:rPr>
        <w:t xml:space="preserve">. Z pohledu hodnocení </w:t>
      </w:r>
      <w:r w:rsidRPr="00AE46CF">
        <w:rPr>
          <w:rFonts w:cs="Arial"/>
        </w:rPr>
        <w:lastRenderedPageBreak/>
        <w:t xml:space="preserve">kvality občanské vybavenosti však není nejdůležitější přítomnost služby přímo v obci, ale její dobrá dostupnost v blízkém okolí. Vysoká rozdrobenost služeb do co největšího počtu obcí by naopak mohla vést ke ztrátě kvality poskytovaných služeb. </w:t>
      </w:r>
      <w:r>
        <w:rPr>
          <w:rFonts w:cs="Arial"/>
        </w:rPr>
        <w:t xml:space="preserve">Je tedy nutné vzít v úvahu </w:t>
      </w:r>
      <w:r w:rsidRPr="00AE46CF">
        <w:rPr>
          <w:rFonts w:cs="Arial"/>
        </w:rPr>
        <w:t>spádovost jednotlivých mikroregionů a kvalitní občanskou vybavenost jádra mikroregionu. Jak dokládá obrázek</w:t>
      </w:r>
      <w:r>
        <w:rPr>
          <w:rFonts w:cs="Arial"/>
        </w:rPr>
        <w:t xml:space="preserve"> výše</w:t>
      </w:r>
      <w:r w:rsidRPr="00AE46CF">
        <w:rPr>
          <w:rFonts w:cs="Arial"/>
        </w:rPr>
        <w:t>, z tohoto pohledu je občanská vybavenost K</w:t>
      </w:r>
      <w:r w:rsidR="000B3B9C">
        <w:rPr>
          <w:rFonts w:cs="Arial"/>
        </w:rPr>
        <w:t>K</w:t>
      </w:r>
      <w:r w:rsidRPr="00AE46CF">
        <w:rPr>
          <w:rFonts w:cs="Arial"/>
        </w:rPr>
        <w:t xml:space="preserve"> dostatečná, protože pouze pár obcí u hranic kraje nesousedí přímo s plně vybavenou obcí. </w:t>
      </w:r>
    </w:p>
    <w:p w:rsidR="00DE7326" w:rsidRPr="00AE46CF" w:rsidRDefault="00DE7326" w:rsidP="000B3B9C">
      <w:r>
        <w:t xml:space="preserve">Z porovnání </w:t>
      </w:r>
      <w:r w:rsidR="000B3B9C">
        <w:t>KK</w:t>
      </w:r>
      <w:r>
        <w:t xml:space="preserve"> s ostatními kraji ve vybavenosti obcí poštou, školou a zdravotnickým zařízení vyplývá, že KK se ve všech třech sledovaných parametrech pohybuje pod průměrem ČR </w:t>
      </w:r>
      <w:r w:rsidR="00EC4E3D">
        <w:br/>
      </w:r>
      <w:r>
        <w:t xml:space="preserve">(viz graf níže): má 6. nejnižší počet pošt, 5. nejnižší počet zdravotnických zařízení a 3. nejnižší počet škol na 10 tis. obyvatel. Mezi kraji má nejlepší občanskou vybavenost ve všech třech parametrech kraj Vysočina. </w:t>
      </w:r>
    </w:p>
    <w:p w:rsidR="00A363A8" w:rsidRDefault="00DE7326">
      <w:pPr>
        <w:pStyle w:val="Titulek"/>
      </w:pPr>
      <w:bookmarkStart w:id="466" w:name="_Toc488234392"/>
      <w:r>
        <w:t xml:space="preserve">Graf </w:t>
      </w:r>
      <w:r w:rsidR="008965FE">
        <w:fldChar w:fldCharType="begin"/>
      </w:r>
      <w:r w:rsidR="00FD378B">
        <w:instrText xml:space="preserve"> STYLEREF 1 \s </w:instrText>
      </w:r>
      <w:r w:rsidR="008965FE">
        <w:fldChar w:fldCharType="separate"/>
      </w:r>
      <w:r w:rsidR="00CB29BD">
        <w:t>19</w:t>
      </w:r>
      <w:r w:rsidR="008965FE">
        <w:fldChar w:fldCharType="end"/>
      </w:r>
      <w:r w:rsidR="00FD378B">
        <w:t>.</w:t>
      </w:r>
      <w:r w:rsidR="008965FE">
        <w:fldChar w:fldCharType="begin"/>
      </w:r>
      <w:r w:rsidR="00FD378B">
        <w:instrText xml:space="preserve"> SEQ Graf \* ARABIC \s 1 </w:instrText>
      </w:r>
      <w:r w:rsidR="008965FE">
        <w:fldChar w:fldCharType="separate"/>
      </w:r>
      <w:r w:rsidR="00CB29BD">
        <w:t>2</w:t>
      </w:r>
      <w:r w:rsidR="008965FE">
        <w:fldChar w:fldCharType="end"/>
      </w:r>
      <w:r w:rsidRPr="00A6040E">
        <w:t>: Občanská vybavenost v krajích v roce 2015</w:t>
      </w:r>
      <w:r>
        <w:t xml:space="preserve"> (přepočteno na 10 tis. obyv.)</w:t>
      </w:r>
      <w:bookmarkEnd w:id="466"/>
    </w:p>
    <w:p w:rsidR="00DE7326" w:rsidRDefault="00DE7326" w:rsidP="002C40B2">
      <w:pPr>
        <w:spacing w:after="0"/>
        <w:rPr>
          <w:rFonts w:cs="Arial"/>
        </w:rPr>
      </w:pPr>
      <w:r>
        <w:rPr>
          <w:noProof/>
        </w:rPr>
        <w:drawing>
          <wp:inline distT="0" distB="0" distL="0" distR="0">
            <wp:extent cx="5705475" cy="2286000"/>
            <wp:effectExtent l="0" t="0" r="9525"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DE7326" w:rsidRPr="00544087" w:rsidRDefault="00DE7326" w:rsidP="002C40B2">
      <w:pPr>
        <w:pStyle w:val="Zdroj"/>
        <w:spacing w:before="120" w:line="276" w:lineRule="auto"/>
        <w:rPr>
          <w:rStyle w:val="Zdraznnjemn"/>
        </w:rPr>
      </w:pPr>
      <w:r w:rsidRPr="00544087">
        <w:rPr>
          <w:rStyle w:val="Zdraznnjemn"/>
        </w:rPr>
        <w:t xml:space="preserve">Poznámka: </w:t>
      </w:r>
      <w:r w:rsidR="00D87F68">
        <w:rPr>
          <w:rStyle w:val="Zdraznnjemn"/>
        </w:rPr>
        <w:t>Ze srovnání bylo vynecháno H</w:t>
      </w:r>
      <w:r w:rsidRPr="00544087">
        <w:rPr>
          <w:rStyle w:val="Zdraznnjemn"/>
        </w:rPr>
        <w:t>l. m. Praha</w:t>
      </w:r>
      <w:r w:rsidR="00D87F68">
        <w:rPr>
          <w:rStyle w:val="Zdraznnjemn"/>
        </w:rPr>
        <w:t>.</w:t>
      </w:r>
    </w:p>
    <w:p w:rsidR="00DE7326" w:rsidRPr="00544087" w:rsidRDefault="00D87F68" w:rsidP="002C40B2">
      <w:pPr>
        <w:pStyle w:val="Zdroj"/>
        <w:spacing w:before="120" w:line="276" w:lineRule="auto"/>
        <w:rPr>
          <w:rStyle w:val="Zdraznnjemn"/>
        </w:rPr>
      </w:pPr>
      <w:r>
        <w:rPr>
          <w:rStyle w:val="Zdraznnjemn"/>
        </w:rPr>
        <w:t>Zdroj: ČSÚ -</w:t>
      </w:r>
      <w:r w:rsidR="00DE7326" w:rsidRPr="00544087">
        <w:rPr>
          <w:rStyle w:val="Zdraznnjemn"/>
        </w:rPr>
        <w:t xml:space="preserve"> Malý lexikon obcí 2015</w:t>
      </w:r>
    </w:p>
    <w:p w:rsidR="00DE7326" w:rsidRPr="00207879" w:rsidRDefault="00DE7326" w:rsidP="002C40B2">
      <w:r w:rsidRPr="00AE46CF">
        <w:rPr>
          <w:rFonts w:cs="Arial"/>
        </w:rPr>
        <w:t xml:space="preserve">Kvalitní technická </w:t>
      </w:r>
      <w:r>
        <w:rPr>
          <w:rFonts w:cs="Arial"/>
        </w:rPr>
        <w:t xml:space="preserve">a průměrná </w:t>
      </w:r>
      <w:r w:rsidRPr="00AE46CF">
        <w:rPr>
          <w:rFonts w:cs="Arial"/>
        </w:rPr>
        <w:t xml:space="preserve">občanská vybavenost obcí </w:t>
      </w:r>
      <w:r w:rsidR="000B3B9C">
        <w:rPr>
          <w:rFonts w:cs="Arial"/>
        </w:rPr>
        <w:t>KK</w:t>
      </w:r>
      <w:r w:rsidRPr="00AE46CF">
        <w:rPr>
          <w:rFonts w:cs="Arial"/>
        </w:rPr>
        <w:t xml:space="preserve"> ve srovnání s ostatními je zapříčiněna zejména </w:t>
      </w:r>
      <w:r>
        <w:rPr>
          <w:rFonts w:cs="Arial"/>
        </w:rPr>
        <w:t xml:space="preserve">velikostní strukturou obcí, </w:t>
      </w:r>
      <w:r w:rsidRPr="00AE46CF">
        <w:rPr>
          <w:rFonts w:cs="Arial"/>
        </w:rPr>
        <w:t>podíl</w:t>
      </w:r>
      <w:r>
        <w:rPr>
          <w:rFonts w:cs="Arial"/>
        </w:rPr>
        <w:t>em měst na celkovém počtu obcí a</w:t>
      </w:r>
      <w:r w:rsidRPr="00AE46CF">
        <w:rPr>
          <w:rFonts w:cs="Arial"/>
        </w:rPr>
        <w:t xml:space="preserve"> </w:t>
      </w:r>
      <w:r>
        <w:rPr>
          <w:rFonts w:cs="Arial"/>
        </w:rPr>
        <w:t>podílem obyvatel žijících ve městech (v KK j</w:t>
      </w:r>
      <w:r w:rsidRPr="00AE46CF">
        <w:rPr>
          <w:rFonts w:cs="Arial"/>
        </w:rPr>
        <w:t xml:space="preserve">e po </w:t>
      </w:r>
      <w:r>
        <w:rPr>
          <w:rFonts w:cs="Arial"/>
        </w:rPr>
        <w:t>Praze nejvyšší podíl</w:t>
      </w:r>
      <w:r w:rsidRPr="00AE46CF">
        <w:rPr>
          <w:rFonts w:cs="Arial"/>
        </w:rPr>
        <w:t xml:space="preserve"> obyvatelstva</w:t>
      </w:r>
      <w:r>
        <w:rPr>
          <w:rFonts w:cs="Arial"/>
        </w:rPr>
        <w:t xml:space="preserve"> žijícího ve městech).</w:t>
      </w:r>
      <w:r w:rsidRPr="00AE46CF">
        <w:rPr>
          <w:rFonts w:cs="Arial"/>
        </w:rPr>
        <w:t xml:space="preserve"> Právě velikostní struktura obcí </w:t>
      </w:r>
      <w:r w:rsidR="000B3B9C">
        <w:rPr>
          <w:rFonts w:cs="Arial"/>
        </w:rPr>
        <w:t>KK</w:t>
      </w:r>
      <w:r w:rsidRPr="00AE46CF">
        <w:rPr>
          <w:rFonts w:cs="Arial"/>
        </w:rPr>
        <w:t xml:space="preserve"> s převahou větších obcí je pro hodnocenou občanskou a technickou vybavenost velmi výhodná. </w:t>
      </w:r>
    </w:p>
    <w:p w:rsidR="00DE7326" w:rsidRPr="00EC4E3D" w:rsidRDefault="00DE7326" w:rsidP="002C40B2">
      <w:pPr>
        <w:pStyle w:val="Nadpis3"/>
        <w:spacing w:line="276" w:lineRule="auto"/>
      </w:pPr>
      <w:r w:rsidRPr="00EC4E3D">
        <w:t>Literatura:</w:t>
      </w:r>
    </w:p>
    <w:p w:rsidR="006D7A6B" w:rsidRDefault="006D7A6B" w:rsidP="00CC03C0">
      <w:pPr>
        <w:jc w:val="left"/>
      </w:pPr>
      <w:r w:rsidRPr="00AE46CF">
        <w:t>ČSÚ.</w:t>
      </w:r>
      <w:r>
        <w:t xml:space="preserve"> </w:t>
      </w:r>
      <w:r w:rsidRPr="0018538F">
        <w:rPr>
          <w:i/>
        </w:rPr>
        <w:t>Statistická ročenka Karlovarského kraje 2015</w:t>
      </w:r>
      <w:r>
        <w:rPr>
          <w:i/>
        </w:rPr>
        <w:t xml:space="preserve"> </w:t>
      </w:r>
      <w:r w:rsidRPr="0018538F">
        <w:rPr>
          <w:color w:val="000000"/>
        </w:rPr>
        <w:t>[online]</w:t>
      </w:r>
      <w:r w:rsidRPr="0018538F">
        <w:rPr>
          <w:bCs/>
          <w:i/>
        </w:rPr>
        <w:t>.</w:t>
      </w:r>
      <w:r>
        <w:rPr>
          <w:bCs/>
        </w:rPr>
        <w:t xml:space="preserve"> 2015.</w:t>
      </w:r>
      <w:r w:rsidRPr="0018538F">
        <w:t xml:space="preserve"> </w:t>
      </w:r>
      <w:r>
        <w:rPr>
          <w:bCs/>
        </w:rPr>
        <w:t>Dostupné z:</w:t>
      </w:r>
      <w:r>
        <w:t xml:space="preserve"> </w:t>
      </w:r>
      <w:hyperlink r:id="rId198" w:history="1">
        <w:r w:rsidRPr="00EA7742">
          <w:rPr>
            <w:rStyle w:val="Hypertextovodkaz"/>
          </w:rPr>
          <w:t>https://www.czso.cz/csu/czso/statisticka-rocenka-karlovarskeho-kraje-2015</w:t>
        </w:r>
      </w:hyperlink>
      <w:r>
        <w:t>.</w:t>
      </w:r>
    </w:p>
    <w:p w:rsidR="00DE7326" w:rsidRDefault="00DE7326" w:rsidP="00CC03C0">
      <w:pPr>
        <w:jc w:val="left"/>
        <w:rPr>
          <w:rFonts w:cs="Times New Roman"/>
          <w:bCs/>
          <w:color w:val="000000"/>
        </w:rPr>
      </w:pPr>
      <w:r>
        <w:rPr>
          <w:rFonts w:cs="Times New Roman"/>
          <w:bCs/>
          <w:color w:val="000000"/>
        </w:rPr>
        <w:t>ČSÚ</w:t>
      </w:r>
      <w:r w:rsidR="00EC4E3D">
        <w:rPr>
          <w:rFonts w:cs="Times New Roman"/>
          <w:bCs/>
          <w:color w:val="000000"/>
        </w:rPr>
        <w:t xml:space="preserve">. </w:t>
      </w:r>
      <w:r w:rsidR="00EC4E3D" w:rsidRPr="00EC4E3D">
        <w:rPr>
          <w:rFonts w:cs="Times New Roman"/>
          <w:bCs/>
          <w:i/>
          <w:color w:val="000000"/>
        </w:rPr>
        <w:t xml:space="preserve">Malý lexikon obcí ČR </w:t>
      </w:r>
      <w:r w:rsidR="00732884">
        <w:rPr>
          <w:rFonts w:cs="Times New Roman"/>
          <w:bCs/>
          <w:i/>
          <w:color w:val="000000"/>
        </w:rPr>
        <w:t xml:space="preserve">2014 a </w:t>
      </w:r>
      <w:r w:rsidR="00EC4E3D" w:rsidRPr="00EC4E3D">
        <w:rPr>
          <w:rFonts w:cs="Times New Roman"/>
          <w:bCs/>
          <w:i/>
          <w:color w:val="000000"/>
        </w:rPr>
        <w:t>2015</w:t>
      </w:r>
      <w:r w:rsidR="00732884">
        <w:rPr>
          <w:rFonts w:cs="Times New Roman"/>
          <w:bCs/>
          <w:i/>
          <w:color w:val="000000"/>
        </w:rPr>
        <w:t xml:space="preserve"> </w:t>
      </w:r>
      <w:r w:rsidR="00732884" w:rsidRPr="0018538F">
        <w:rPr>
          <w:color w:val="000000"/>
        </w:rPr>
        <w:t>[online]</w:t>
      </w:r>
      <w:r w:rsidR="00732884" w:rsidRPr="0018538F">
        <w:rPr>
          <w:bCs/>
          <w:i/>
        </w:rPr>
        <w:t>.</w:t>
      </w:r>
      <w:r w:rsidR="00732884">
        <w:rPr>
          <w:bCs/>
        </w:rPr>
        <w:t xml:space="preserve"> 2014 a 2015.</w:t>
      </w:r>
      <w:r w:rsidR="00732884" w:rsidRPr="0018538F">
        <w:t xml:space="preserve"> </w:t>
      </w:r>
      <w:r w:rsidR="00732884">
        <w:rPr>
          <w:bCs/>
        </w:rPr>
        <w:t>Dostupné z:</w:t>
      </w:r>
      <w:r w:rsidR="00732884">
        <w:rPr>
          <w:rFonts w:cs="Times New Roman"/>
          <w:bCs/>
          <w:color w:val="000000"/>
        </w:rPr>
        <w:t xml:space="preserve"> </w:t>
      </w:r>
      <w:hyperlink r:id="rId199" w:history="1">
        <w:r w:rsidR="00732884" w:rsidRPr="00FE09FF">
          <w:rPr>
            <w:rStyle w:val="Hypertextovodkaz"/>
            <w:rFonts w:cs="Times New Roman"/>
            <w:bCs/>
          </w:rPr>
          <w:t>https://www.czso.cz/csu/czso/maly-lexikon-obci-ceske-republiky-2015</w:t>
        </w:r>
      </w:hyperlink>
      <w:r w:rsidR="00732884">
        <w:rPr>
          <w:rFonts w:cs="Times New Roman"/>
          <w:bCs/>
          <w:color w:val="000000"/>
        </w:rPr>
        <w:t>.</w:t>
      </w:r>
    </w:p>
    <w:p w:rsidR="00DE7326" w:rsidRDefault="00EC4E3D" w:rsidP="00CC03C0">
      <w:pPr>
        <w:jc w:val="left"/>
      </w:pPr>
      <w:r>
        <w:rPr>
          <w:rFonts w:cs="Times New Roman"/>
          <w:bCs/>
          <w:color w:val="000000"/>
        </w:rPr>
        <w:t xml:space="preserve">ČSÚ. </w:t>
      </w:r>
      <w:r w:rsidR="00DE7326" w:rsidRPr="00EC4E3D">
        <w:rPr>
          <w:rFonts w:cs="Arial"/>
          <w:i/>
        </w:rPr>
        <w:t xml:space="preserve">Vodovody, kanalizace a vodní toky </w:t>
      </w:r>
      <w:r w:rsidR="00732884">
        <w:rPr>
          <w:rFonts w:cs="Arial"/>
          <w:i/>
        </w:rPr>
        <w:t>–</w:t>
      </w:r>
      <w:r w:rsidR="00DE7326" w:rsidRPr="00EC4E3D">
        <w:rPr>
          <w:rFonts w:cs="Arial"/>
          <w:i/>
        </w:rPr>
        <w:t xml:space="preserve"> 2015</w:t>
      </w:r>
      <w:r w:rsidR="00732884">
        <w:rPr>
          <w:rFonts w:cs="Arial"/>
          <w:i/>
        </w:rPr>
        <w:t xml:space="preserve"> </w:t>
      </w:r>
      <w:r w:rsidR="00732884" w:rsidRPr="0018538F">
        <w:rPr>
          <w:color w:val="000000"/>
        </w:rPr>
        <w:t>[online]</w:t>
      </w:r>
      <w:r w:rsidR="00732884" w:rsidRPr="0018538F">
        <w:rPr>
          <w:bCs/>
          <w:i/>
        </w:rPr>
        <w:t>.</w:t>
      </w:r>
      <w:r w:rsidR="00DE7326" w:rsidRPr="00AE46CF">
        <w:t xml:space="preserve"> </w:t>
      </w:r>
      <w:r w:rsidR="00732884">
        <w:rPr>
          <w:bCs/>
        </w:rPr>
        <w:t>2016.</w:t>
      </w:r>
      <w:r w:rsidR="00732884" w:rsidRPr="0018538F">
        <w:t xml:space="preserve"> </w:t>
      </w:r>
      <w:r w:rsidR="00732884">
        <w:rPr>
          <w:bCs/>
        </w:rPr>
        <w:t>Dostupné z:</w:t>
      </w:r>
      <w:r w:rsidR="00732884">
        <w:t xml:space="preserve"> </w:t>
      </w:r>
      <w:hyperlink r:id="rId200" w:history="1">
        <w:r w:rsidR="00732884" w:rsidRPr="00FE09FF">
          <w:rPr>
            <w:rStyle w:val="Hypertextovodkaz"/>
          </w:rPr>
          <w:t>https://www.czso.cz/csu/czso/vodovody-kanalizace-a-vodni-toky-2015</w:t>
        </w:r>
      </w:hyperlink>
      <w:r w:rsidR="00732884">
        <w:t>.</w:t>
      </w:r>
      <w:r w:rsidR="00DE7326">
        <w:br w:type="page"/>
      </w:r>
    </w:p>
    <w:p w:rsidR="00DE7326" w:rsidRPr="00AE46CF" w:rsidRDefault="00A40B3B" w:rsidP="00094A5B">
      <w:pPr>
        <w:pStyle w:val="Nadpis1"/>
      </w:pPr>
      <w:bookmarkStart w:id="467" w:name="_Toc321405943"/>
      <w:r>
        <w:lastRenderedPageBreak/>
        <w:t xml:space="preserve"> </w:t>
      </w:r>
      <w:bookmarkStart w:id="468" w:name="_Toc488233405"/>
      <w:r w:rsidR="00DE7326" w:rsidRPr="00AE46CF">
        <w:t>Porovnání Karlovarského kraje s německými regiony</w:t>
      </w:r>
      <w:bookmarkEnd w:id="467"/>
      <w:bookmarkEnd w:id="468"/>
    </w:p>
    <w:p w:rsidR="00DE7326" w:rsidRPr="00AE46CF" w:rsidRDefault="00DE7326" w:rsidP="002C40B2">
      <w:r w:rsidRPr="00AE46CF">
        <w:t xml:space="preserve">Poloha Karlovarského kraje na severozápadě Česka při hranicích s Německem je pro kraj velkým potenciálem. Logické zaměření v oblasti mezinárodních vztahů na bezprostřední sousední regiony v Sasku a Bavorsku je vhodné rozšiřovat a podporovat ve všech ohledech. Intenzivní přeshraniční spolupráce a řešení společných projektů v příhraničních oblastech jsou potřebné pro regionální rozvoj a mohou mít vliv na rozvoj celého kraje. Pro účely zjištění možných směrů spolupráce a z toho plynoucích přínosů je vhodné porovnat jednotlivé sousední regiony a zjistit komparativní výhody či nevýhody </w:t>
      </w:r>
      <w:r w:rsidR="00953459">
        <w:t>KK</w:t>
      </w:r>
      <w:r w:rsidRPr="00AE46CF">
        <w:t>.</w:t>
      </w:r>
      <w:r w:rsidRPr="009C7B6A">
        <w:rPr>
          <w:bCs/>
        </w:rPr>
        <w:t xml:space="preserve"> </w:t>
      </w:r>
      <w:r>
        <w:rPr>
          <w:bCs/>
        </w:rPr>
        <w:t>C</w:t>
      </w:r>
      <w:r w:rsidRPr="00AE46CF">
        <w:rPr>
          <w:bCs/>
        </w:rPr>
        <w:t xml:space="preserve">ílem této kapitoly </w:t>
      </w:r>
      <w:r>
        <w:rPr>
          <w:bCs/>
        </w:rPr>
        <w:t xml:space="preserve">proto je </w:t>
      </w:r>
      <w:r w:rsidRPr="00AE46CF">
        <w:rPr>
          <w:bCs/>
        </w:rPr>
        <w:t xml:space="preserve">prostřednictvím </w:t>
      </w:r>
      <w:r>
        <w:rPr>
          <w:bCs/>
        </w:rPr>
        <w:t>srovnání vybraných ukazatelů</w:t>
      </w:r>
      <w:r w:rsidRPr="00AE46CF">
        <w:rPr>
          <w:bCs/>
        </w:rPr>
        <w:t xml:space="preserve"> identifikovat pozici </w:t>
      </w:r>
      <w:r w:rsidR="00953459">
        <w:rPr>
          <w:bCs/>
        </w:rPr>
        <w:t>KK</w:t>
      </w:r>
      <w:r w:rsidRPr="00AE46CF">
        <w:rPr>
          <w:bCs/>
        </w:rPr>
        <w:t xml:space="preserve"> </w:t>
      </w:r>
      <w:r>
        <w:rPr>
          <w:bCs/>
        </w:rPr>
        <w:t>vůči sousedním regionům</w:t>
      </w:r>
      <w:r w:rsidRPr="00AE46CF">
        <w:rPr>
          <w:bCs/>
        </w:rPr>
        <w:t xml:space="preserve"> na území Německa</w:t>
      </w:r>
      <w:r>
        <w:rPr>
          <w:bCs/>
        </w:rPr>
        <w:t>.</w:t>
      </w:r>
    </w:p>
    <w:p w:rsidR="00DE7326" w:rsidRPr="00AE46CF" w:rsidRDefault="00DE7326" w:rsidP="002C40B2">
      <w:pPr>
        <w:rPr>
          <w:i/>
        </w:rPr>
      </w:pPr>
      <w:r w:rsidRPr="00AE46CF">
        <w:rPr>
          <w:i/>
        </w:rPr>
        <w:t>Otázky:</w:t>
      </w:r>
    </w:p>
    <w:p w:rsidR="00DE7326" w:rsidRPr="00A40B3B" w:rsidRDefault="00DE7326" w:rsidP="002C40B2">
      <w:pPr>
        <w:pStyle w:val="Odstavecseseznamem"/>
        <w:numPr>
          <w:ilvl w:val="0"/>
          <w:numId w:val="22"/>
        </w:numPr>
        <w:rPr>
          <w:bCs/>
          <w:i/>
        </w:rPr>
      </w:pPr>
      <w:r w:rsidRPr="00A40B3B">
        <w:rPr>
          <w:bCs/>
          <w:i/>
        </w:rPr>
        <w:t>Jaká je pozice Karlovarského kraje v porovnání se sousedními německými regiony z pohledu základních hospodářských ukazatelů?</w:t>
      </w:r>
    </w:p>
    <w:p w:rsidR="00DE7326" w:rsidRPr="00A40B3B" w:rsidRDefault="00DE7326" w:rsidP="002C40B2">
      <w:pPr>
        <w:pStyle w:val="Odstavecseseznamem"/>
        <w:numPr>
          <w:ilvl w:val="0"/>
          <w:numId w:val="22"/>
        </w:numPr>
        <w:rPr>
          <w:bCs/>
          <w:i/>
        </w:rPr>
      </w:pPr>
      <w:r w:rsidRPr="00A40B3B">
        <w:rPr>
          <w:bCs/>
          <w:i/>
        </w:rPr>
        <w:t xml:space="preserve">Co může Karlovarský kraj sousedním německým regionům nabídnout a z čeho může těžit v případě spolupráce? </w:t>
      </w:r>
    </w:p>
    <w:p w:rsidR="00DE7326" w:rsidRDefault="00DE7326" w:rsidP="002C40B2">
      <w:r w:rsidRPr="00AE46CF">
        <w:t>Karlovarský kraj sousedí se dvěma německými spolkovými zeměmi</w:t>
      </w:r>
      <w:r>
        <w:t>:</w:t>
      </w:r>
      <w:r w:rsidRPr="00AE46CF">
        <w:t xml:space="preserve"> Saskem (délka společné hranice 133 km) a Bavorskem (délka společné hranice 99 km)</w:t>
      </w:r>
      <w:r>
        <w:t xml:space="preserve">, konkrétně se </w:t>
      </w:r>
      <w:r w:rsidRPr="00AE46CF">
        <w:t>správní</w:t>
      </w:r>
      <w:r>
        <w:t xml:space="preserve">mi obvody (NUTS 2) </w:t>
      </w:r>
      <w:r w:rsidRPr="00AE46CF">
        <w:t>Chemnitz v Sasku a Oberfranken a Oberpfalz v Bavorsku (</w:t>
      </w:r>
      <w:r w:rsidR="004F2330">
        <w:fldChar w:fldCharType="begin"/>
      </w:r>
      <w:r w:rsidR="004F2330">
        <w:instrText xml:space="preserve"> REF _Ref466372712 \h  \* MERGEFORMAT </w:instrText>
      </w:r>
      <w:r w:rsidR="004F2330">
        <w:fldChar w:fldCharType="separate"/>
      </w:r>
      <w:r w:rsidR="003E6BE0">
        <w:t>o</w:t>
      </w:r>
      <w:r w:rsidR="00CB29BD" w:rsidRPr="009C7B6A">
        <w:t>brázek</w:t>
      </w:r>
      <w:r w:rsidR="00CB29BD" w:rsidRPr="009C7B6A">
        <w:rPr>
          <w:noProof/>
        </w:rPr>
        <w:t xml:space="preserve"> </w:t>
      </w:r>
      <w:r w:rsidR="00CB29BD">
        <w:rPr>
          <w:noProof/>
        </w:rPr>
        <w:t>20</w:t>
      </w:r>
      <w:r w:rsidR="00CB29BD">
        <w:t>.1</w:t>
      </w:r>
      <w:r w:rsidR="004F2330">
        <w:fldChar w:fldCharType="end"/>
      </w:r>
      <w:bookmarkStart w:id="469" w:name="_Ref466372712"/>
      <w:bookmarkStart w:id="470" w:name="_Ref310523643"/>
      <w:bookmarkStart w:id="471" w:name="_Toc321406449"/>
      <w:r w:rsidR="00E853CD">
        <w:t>).</w:t>
      </w:r>
    </w:p>
    <w:p w:rsidR="00DE7326" w:rsidRPr="00AD4D7F" w:rsidRDefault="00DE7326" w:rsidP="000B3B9C">
      <w:pPr>
        <w:pStyle w:val="Titulek"/>
      </w:pPr>
      <w:bookmarkStart w:id="472" w:name="_Toc488234406"/>
      <w:r w:rsidRPr="009C7B6A">
        <w:t xml:space="preserve">Obrázek </w:t>
      </w:r>
      <w:r w:rsidR="008965FE">
        <w:fldChar w:fldCharType="begin"/>
      </w:r>
      <w:r w:rsidR="00564668">
        <w:instrText xml:space="preserve"> STYLEREF 1 \s </w:instrText>
      </w:r>
      <w:r w:rsidR="008965FE">
        <w:fldChar w:fldCharType="separate"/>
      </w:r>
      <w:r w:rsidR="00CB29BD">
        <w:t>20</w:t>
      </w:r>
      <w:r w:rsidR="008965FE">
        <w:fldChar w:fldCharType="end"/>
      </w:r>
      <w:r w:rsidR="0077536C">
        <w:t>.</w:t>
      </w:r>
      <w:r w:rsidR="008965FE">
        <w:fldChar w:fldCharType="begin"/>
      </w:r>
      <w:r w:rsidR="00564668">
        <w:instrText xml:space="preserve"> SEQ Obrázek \* ARABIC \s 1 </w:instrText>
      </w:r>
      <w:r w:rsidR="008965FE">
        <w:fldChar w:fldCharType="separate"/>
      </w:r>
      <w:r w:rsidR="00CB29BD">
        <w:t>1</w:t>
      </w:r>
      <w:r w:rsidR="008965FE">
        <w:fldChar w:fldCharType="end"/>
      </w:r>
      <w:bookmarkEnd w:id="469"/>
      <w:r w:rsidRPr="009C7B6A">
        <w:t>: Mapa sousedních německých regionů Karlovarského kraje</w:t>
      </w:r>
      <w:bookmarkEnd w:id="472"/>
      <w:r w:rsidRPr="009C7B6A" w:rsidDel="00714443">
        <w:t xml:space="preserve"> </w:t>
      </w:r>
      <w:bookmarkEnd w:id="470"/>
      <w:bookmarkEnd w:id="471"/>
    </w:p>
    <w:p w:rsidR="00DE7326" w:rsidRDefault="00DE7326" w:rsidP="002C40B2">
      <w:pPr>
        <w:autoSpaceDE w:val="0"/>
        <w:autoSpaceDN w:val="0"/>
        <w:adjustRightInd w:val="0"/>
      </w:pPr>
      <w:r w:rsidRPr="00141AA4">
        <w:rPr>
          <w:noProof/>
        </w:rPr>
        <w:drawing>
          <wp:inline distT="0" distB="0" distL="0" distR="0">
            <wp:extent cx="4886325" cy="4171950"/>
            <wp:effectExtent l="19050" t="19050" r="28575" b="1905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1"/>
                    <pic:cNvPicPr>
                      <a:picLocks noChangeAspect="1" noChangeArrowheads="1"/>
                    </pic:cNvPicPr>
                  </pic:nvPicPr>
                  <pic:blipFill>
                    <a:blip r:embed="rId201" cstate="print">
                      <a:extLst>
                        <a:ext uri="{28A0092B-C50C-407E-A947-70E740481C1C}">
                          <a14:useLocalDpi xmlns:a14="http://schemas.microsoft.com/office/drawing/2010/main" val="0"/>
                        </a:ext>
                      </a:extLst>
                    </a:blip>
                    <a:srcRect t="18428" r="36424" b="9671"/>
                    <a:stretch>
                      <a:fillRect/>
                    </a:stretch>
                  </pic:blipFill>
                  <pic:spPr bwMode="auto">
                    <a:xfrm>
                      <a:off x="0" y="0"/>
                      <a:ext cx="4886325" cy="4171950"/>
                    </a:xfrm>
                    <a:prstGeom prst="rect">
                      <a:avLst/>
                    </a:prstGeom>
                    <a:noFill/>
                    <a:ln>
                      <a:solidFill>
                        <a:schemeClr val="bg1">
                          <a:lumMod val="50000"/>
                        </a:schemeClr>
                      </a:solidFill>
                    </a:ln>
                  </pic:spPr>
                </pic:pic>
              </a:graphicData>
            </a:graphic>
          </wp:inline>
        </w:drawing>
      </w:r>
    </w:p>
    <w:p w:rsidR="00DE7326" w:rsidRPr="00A40B3B" w:rsidRDefault="00DE7326" w:rsidP="002C40B2">
      <w:pPr>
        <w:autoSpaceDE w:val="0"/>
        <w:autoSpaceDN w:val="0"/>
        <w:adjustRightInd w:val="0"/>
        <w:jc w:val="left"/>
        <w:rPr>
          <w:rStyle w:val="Zdraznnjemn"/>
        </w:rPr>
      </w:pPr>
      <w:r w:rsidRPr="00A40B3B">
        <w:rPr>
          <w:rStyle w:val="Zdraznnjemn"/>
        </w:rPr>
        <w:t>Zdroj: EuroGeographics (administrativní hranice)</w:t>
      </w:r>
    </w:p>
    <w:p w:rsidR="00DE7326" w:rsidRDefault="00DE7326" w:rsidP="002C40B2">
      <w:bookmarkStart w:id="473" w:name="_Ref310523386"/>
      <w:bookmarkStart w:id="474" w:name="_Toc321406078"/>
      <w:bookmarkStart w:id="475" w:name="_Ref466372749"/>
      <w:r w:rsidRPr="00AE46CF">
        <w:lastRenderedPageBreak/>
        <w:t>Dopravní spojení s Německem je pomocí osmi mezinárodních silničních hraničních přechodů, pět z toho je se Saskem a tři s Bavorskem. Nejlepší, zejména silniční, napojení na nadřazené dopravní sítě Německa</w:t>
      </w:r>
      <w:r>
        <w:t>,</w:t>
      </w:r>
      <w:r w:rsidRPr="00AE46CF">
        <w:t xml:space="preserve"> vede přes Chebsko a Ašsko. Severozápadně </w:t>
      </w:r>
      <w:r>
        <w:t xml:space="preserve">od </w:t>
      </w:r>
      <w:r w:rsidRPr="00AE46CF">
        <w:t>území Česka probíhá dálnice A72 Hof – Plauen – Zwickau – Chemnitz, která následně pokračuje severním směrem na Lipsko</w:t>
      </w:r>
      <w:r>
        <w:t>.</w:t>
      </w:r>
      <w:r w:rsidRPr="00AE46CF">
        <w:t xml:space="preserve"> Západně </w:t>
      </w:r>
      <w:r>
        <w:t xml:space="preserve">od </w:t>
      </w:r>
      <w:r w:rsidRPr="00AE46CF">
        <w:t xml:space="preserve">území Česka prochází dálnice A93 Hof – Regensburg, která pokračuje na Mnichov. Na tuto trasu je prostor Chebska připojen třemi trasami. Mimo tento prostor kvalitní dopravní spojení v podstatě není, neboť jak železniční tratě, tak silnice přes Krušné hory nemají (a to zejména na české straně) parametry hlavních komunikací. </w:t>
      </w:r>
      <w:r>
        <w:t>J</w:t>
      </w:r>
      <w:r w:rsidRPr="00AE46CF">
        <w:t xml:space="preserve">iné napojení na německý regionální systém než přes Chebsko </w:t>
      </w:r>
      <w:r>
        <w:t xml:space="preserve">je obtížné </w:t>
      </w:r>
      <w:r w:rsidRPr="00AE46CF">
        <w:t>z důvodu fyzicko-geografických podmínek území na obou stranách hranic.</w:t>
      </w:r>
      <w:r>
        <w:t xml:space="preserve"> </w:t>
      </w:r>
    </w:p>
    <w:p w:rsidR="002318F7" w:rsidRPr="00AE46CF" w:rsidRDefault="002318F7" w:rsidP="002C40B2">
      <w:r w:rsidRPr="00AE46CF">
        <w:t xml:space="preserve">Krušné Hory na severu </w:t>
      </w:r>
      <w:r w:rsidR="00743C73">
        <w:t>KK</w:t>
      </w:r>
      <w:r w:rsidRPr="00AE46CF">
        <w:t xml:space="preserve"> pokračují až do Saska, přičemž v saské části Krušných hor je poměrně silné osídlení, kterému dominují aglomerace Auerbach – Falkenstein a Schneeberg – Aue – Schwarzenberg (více než 80 tis. obyvatel). V příhraničním území Saska jsou nejvýznamnějšími městy Klingenthal či centrum zimních sportů Kurort Oberwiesenthal. Severněji od Krušných hor začíná velmi hustě osídlená pánevní oblast, které dominují města Chemnitz a Zwickau. Na západě </w:t>
      </w:r>
      <w:r w:rsidR="00743C73">
        <w:t>KK</w:t>
      </w:r>
      <w:r w:rsidRPr="00AE46CF">
        <w:t xml:space="preserve"> pokračuje do Bavorska pohoří Smrčin v nadmořských výškách okolo 600 metrů nad mořem. Nejvýznamnějším německým městem směrem na severozápad je Hof. Obecně je tato oblast výrazně zalesněna a řídce osídlena. </w:t>
      </w:r>
    </w:p>
    <w:p w:rsidR="002318F7" w:rsidRDefault="002318F7" w:rsidP="002C40B2">
      <w:r w:rsidRPr="005959F2">
        <w:t xml:space="preserve">Postavení </w:t>
      </w:r>
      <w:r w:rsidR="00743C73">
        <w:t>KK</w:t>
      </w:r>
      <w:r w:rsidRPr="005959F2">
        <w:t xml:space="preserve"> je podrobněji hodnoceno v porovnání se třemi sousedními německými regiony, kterými jsou správní obvody Chemnitz v Sasku a Oberfranken a Oberpfalz v Bavorsku. </w:t>
      </w:r>
      <w:r w:rsidR="00DE7326" w:rsidRPr="005959F2">
        <w:t>Jak je</w:t>
      </w:r>
      <w:r w:rsidR="00DE7326" w:rsidRPr="00AE46CF">
        <w:t xml:space="preserve"> vidět z údajů v</w:t>
      </w:r>
      <w:r w:rsidR="00743C73">
        <w:t> </w:t>
      </w:r>
      <w:r w:rsidR="00DE7326">
        <w:t>následujíc</w:t>
      </w:r>
      <w:r w:rsidR="00743C73">
        <w:t>í tabulce</w:t>
      </w:r>
      <w:r w:rsidR="00DE7326" w:rsidRPr="00AE46CF">
        <w:t>, německé regiony jsou výměrou výrazně větší, v </w:t>
      </w:r>
      <w:r w:rsidR="00D12D2C">
        <w:t>každém žije více než jeden milio</w:t>
      </w:r>
      <w:r w:rsidR="00DE7326" w:rsidRPr="00AE46CF">
        <w:t>n obyvatel a v průměru dosahují vyšší hustot</w:t>
      </w:r>
      <w:r w:rsidR="00743C73">
        <w:t>y</w:t>
      </w:r>
      <w:r w:rsidR="00DE7326" w:rsidRPr="00AE46CF">
        <w:t xml:space="preserve"> zalidnění, než je v </w:t>
      </w:r>
      <w:r w:rsidR="00743C73">
        <w:t>KK</w:t>
      </w:r>
      <w:r w:rsidR="00DE7326" w:rsidRPr="00AE46CF">
        <w:t>. Největším regionem je bavorský Oberpfalz, který je však vzhledem k fyzicko-geografickým podmínkám a charakteru osídlení méně zalidněn</w:t>
      </w:r>
      <w:r w:rsidR="00DE7326">
        <w:t>, než rozlohou menší s</w:t>
      </w:r>
      <w:r w:rsidR="00DE7326" w:rsidRPr="00AE46CF">
        <w:t>aský region Chemnitz</w:t>
      </w:r>
      <w:r w:rsidR="00DE7326">
        <w:t>, který</w:t>
      </w:r>
      <w:r w:rsidR="00DE7326" w:rsidRPr="00AE46CF">
        <w:t xml:space="preserve"> vykazuje ve srovnání s</w:t>
      </w:r>
      <w:r w:rsidR="00DE7326">
        <w:t> ostatními regiony nejvyšší</w:t>
      </w:r>
      <w:r w:rsidR="00DE7326" w:rsidRPr="00AE46CF">
        <w:t xml:space="preserve"> </w:t>
      </w:r>
      <w:r w:rsidR="00DE7326">
        <w:t>hustot</w:t>
      </w:r>
      <w:r w:rsidR="00DE7326" w:rsidRPr="00AE46CF">
        <w:t>u zalidnění</w:t>
      </w:r>
      <w:r w:rsidR="00DE7326">
        <w:t>.</w:t>
      </w:r>
      <w:r w:rsidR="00DE7326" w:rsidRPr="00AE46CF">
        <w:t xml:space="preserve"> </w:t>
      </w:r>
    </w:p>
    <w:p w:rsidR="00DE7326" w:rsidRPr="00AE46CF" w:rsidRDefault="00DE7326" w:rsidP="000B3B9C">
      <w:pPr>
        <w:pStyle w:val="Titulek"/>
      </w:pPr>
      <w:bookmarkStart w:id="476" w:name="_Toc488233520"/>
      <w:r>
        <w:t xml:space="preserve">Tabulka </w:t>
      </w:r>
      <w:r w:rsidR="008965FE">
        <w:fldChar w:fldCharType="begin"/>
      </w:r>
      <w:r w:rsidR="00B33DFE">
        <w:instrText xml:space="preserve"> STYLEREF 1 \s </w:instrText>
      </w:r>
      <w:r w:rsidR="008965FE">
        <w:fldChar w:fldCharType="separate"/>
      </w:r>
      <w:r w:rsidR="00CB29BD">
        <w:t>20</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r w:rsidRPr="00AE46CF">
        <w:t xml:space="preserve">: Základní charakteristika </w:t>
      </w:r>
      <w:r w:rsidR="00743C73">
        <w:t xml:space="preserve">KK </w:t>
      </w:r>
      <w:r w:rsidRPr="00AE46CF">
        <w:t>a sousedních německých regionů</w:t>
      </w:r>
      <w:r w:rsidR="00743C73">
        <w:t xml:space="preserve"> </w:t>
      </w:r>
      <w:r w:rsidRPr="00AE46CF">
        <w:t>(</w:t>
      </w:r>
      <w:r>
        <w:t xml:space="preserve">stav k </w:t>
      </w:r>
      <w:r w:rsidRPr="00AE46CF">
        <w:t>31. 12. 201</w:t>
      </w:r>
      <w:r>
        <w:t>5</w:t>
      </w:r>
      <w:r w:rsidRPr="00AE46CF">
        <w:t>)</w:t>
      </w:r>
      <w:bookmarkEnd w:id="47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3"/>
        <w:gridCol w:w="1315"/>
        <w:gridCol w:w="1315"/>
        <w:gridCol w:w="1316"/>
        <w:gridCol w:w="1315"/>
        <w:gridCol w:w="1316"/>
      </w:tblGrid>
      <w:tr w:rsidR="00DE7326" w:rsidRPr="00AE46CF" w:rsidTr="00CC03C0">
        <w:trPr>
          <w:trHeight w:val="401"/>
        </w:trPr>
        <w:tc>
          <w:tcPr>
            <w:tcW w:w="1418" w:type="pct"/>
            <w:vMerge w:val="restart"/>
            <w:noWrap/>
            <w:vAlign w:val="center"/>
          </w:tcPr>
          <w:p w:rsidR="00DE7326" w:rsidRPr="00F13761" w:rsidRDefault="00DE7326" w:rsidP="00140BE2">
            <w:pPr>
              <w:pStyle w:val="Table"/>
              <w:spacing w:after="0"/>
              <w:jc w:val="center"/>
              <w:rPr>
                <w:rFonts w:ascii="Calibri" w:hAnsi="Calibri" w:cs="Calibri"/>
                <w:b/>
                <w:sz w:val="20"/>
              </w:rPr>
            </w:pPr>
            <w:r>
              <w:rPr>
                <w:rFonts w:ascii="Calibri" w:hAnsi="Calibri" w:cs="Calibri"/>
                <w:b/>
                <w:bCs/>
                <w:sz w:val="20"/>
              </w:rPr>
              <w:t>R</w:t>
            </w:r>
            <w:r w:rsidRPr="00F13761">
              <w:rPr>
                <w:rFonts w:ascii="Calibri" w:hAnsi="Calibri" w:cs="Calibri"/>
                <w:b/>
                <w:bCs/>
                <w:sz w:val="20"/>
              </w:rPr>
              <w:t>egion</w:t>
            </w:r>
          </w:p>
        </w:tc>
        <w:tc>
          <w:tcPr>
            <w:tcW w:w="716" w:type="pct"/>
            <w:vMerge w:val="restart"/>
            <w:noWrap/>
            <w:vAlign w:val="center"/>
          </w:tcPr>
          <w:p w:rsidR="00DE7326" w:rsidRPr="00F13761" w:rsidRDefault="00DE7326" w:rsidP="00140BE2">
            <w:pPr>
              <w:pStyle w:val="Table"/>
              <w:spacing w:after="0"/>
              <w:jc w:val="center"/>
              <w:rPr>
                <w:rFonts w:ascii="Calibri" w:hAnsi="Calibri" w:cs="Calibri"/>
                <w:b/>
                <w:bCs/>
                <w:sz w:val="20"/>
              </w:rPr>
            </w:pPr>
            <w:r w:rsidRPr="00F13761">
              <w:rPr>
                <w:rFonts w:ascii="Calibri" w:hAnsi="Calibri" w:cs="Calibri"/>
                <w:b/>
                <w:bCs/>
                <w:sz w:val="20"/>
              </w:rPr>
              <w:t>výměra (km</w:t>
            </w:r>
            <w:r w:rsidRPr="00F13761">
              <w:rPr>
                <w:rFonts w:ascii="Calibri" w:hAnsi="Calibri" w:cs="Calibri"/>
                <w:b/>
                <w:bCs/>
                <w:sz w:val="20"/>
                <w:vertAlign w:val="superscript"/>
              </w:rPr>
              <w:t>2</w:t>
            </w:r>
            <w:r w:rsidRPr="00F13761">
              <w:rPr>
                <w:rFonts w:ascii="Calibri" w:hAnsi="Calibri" w:cs="Calibri"/>
                <w:b/>
                <w:bCs/>
                <w:sz w:val="20"/>
              </w:rPr>
              <w:t>)</w:t>
            </w:r>
          </w:p>
        </w:tc>
        <w:tc>
          <w:tcPr>
            <w:tcW w:w="716" w:type="pct"/>
            <w:vMerge w:val="restart"/>
            <w:vAlign w:val="center"/>
          </w:tcPr>
          <w:p w:rsidR="00DE7326" w:rsidRPr="00F13761" w:rsidRDefault="00DE7326" w:rsidP="00140BE2">
            <w:pPr>
              <w:pStyle w:val="Table"/>
              <w:spacing w:after="0"/>
              <w:jc w:val="center"/>
              <w:rPr>
                <w:rFonts w:ascii="Calibri" w:hAnsi="Calibri" w:cs="Calibri"/>
                <w:b/>
                <w:bCs/>
                <w:sz w:val="20"/>
              </w:rPr>
            </w:pPr>
            <w:r w:rsidRPr="00F13761">
              <w:rPr>
                <w:rFonts w:ascii="Calibri" w:hAnsi="Calibri" w:cs="Calibri"/>
                <w:b/>
                <w:bCs/>
                <w:sz w:val="20"/>
              </w:rPr>
              <w:t>počet obyvatel</w:t>
            </w:r>
          </w:p>
        </w:tc>
        <w:tc>
          <w:tcPr>
            <w:tcW w:w="717" w:type="pct"/>
            <w:vMerge w:val="restart"/>
            <w:vAlign w:val="center"/>
          </w:tcPr>
          <w:p w:rsidR="00DE7326" w:rsidRPr="00F13761" w:rsidRDefault="00DE7326" w:rsidP="00140BE2">
            <w:pPr>
              <w:pStyle w:val="Table"/>
              <w:spacing w:after="0"/>
              <w:jc w:val="center"/>
              <w:rPr>
                <w:rFonts w:ascii="Calibri" w:hAnsi="Calibri" w:cs="Calibri"/>
                <w:b/>
                <w:bCs/>
                <w:sz w:val="20"/>
              </w:rPr>
            </w:pPr>
            <w:r w:rsidRPr="00F13761">
              <w:rPr>
                <w:rFonts w:ascii="Calibri" w:hAnsi="Calibri" w:cs="Calibri"/>
                <w:b/>
                <w:bCs/>
                <w:sz w:val="20"/>
              </w:rPr>
              <w:t>hustota zalidnění</w:t>
            </w:r>
          </w:p>
        </w:tc>
        <w:tc>
          <w:tcPr>
            <w:tcW w:w="716" w:type="pct"/>
            <w:vMerge w:val="restart"/>
            <w:vAlign w:val="center"/>
          </w:tcPr>
          <w:p w:rsidR="00DE7326" w:rsidRPr="00F13761" w:rsidRDefault="00DE7326" w:rsidP="00140BE2">
            <w:pPr>
              <w:pStyle w:val="Table"/>
              <w:spacing w:after="0"/>
              <w:jc w:val="center"/>
              <w:rPr>
                <w:rFonts w:ascii="Calibri" w:hAnsi="Calibri" w:cs="Calibri"/>
                <w:b/>
                <w:bCs/>
                <w:sz w:val="20"/>
              </w:rPr>
            </w:pPr>
            <w:r w:rsidRPr="00F13761">
              <w:rPr>
                <w:rFonts w:ascii="Calibri" w:hAnsi="Calibri" w:cs="Calibri"/>
                <w:b/>
                <w:bCs/>
                <w:sz w:val="20"/>
              </w:rPr>
              <w:t>počet obcí</w:t>
            </w:r>
          </w:p>
        </w:tc>
        <w:tc>
          <w:tcPr>
            <w:tcW w:w="717" w:type="pct"/>
            <w:vMerge w:val="restart"/>
            <w:vAlign w:val="center"/>
          </w:tcPr>
          <w:p w:rsidR="00DE7326" w:rsidRPr="00F13761" w:rsidRDefault="00DE7326" w:rsidP="00140BE2">
            <w:pPr>
              <w:pStyle w:val="Table"/>
              <w:spacing w:after="0"/>
              <w:jc w:val="center"/>
              <w:rPr>
                <w:rFonts w:ascii="Calibri" w:hAnsi="Calibri" w:cs="Calibri"/>
                <w:b/>
                <w:bCs/>
                <w:sz w:val="20"/>
              </w:rPr>
            </w:pPr>
            <w:r w:rsidRPr="00F13761">
              <w:rPr>
                <w:rFonts w:ascii="Calibri" w:hAnsi="Calibri" w:cs="Calibri"/>
                <w:b/>
                <w:bCs/>
                <w:sz w:val="20"/>
              </w:rPr>
              <w:t>správní sídlo</w:t>
            </w:r>
          </w:p>
        </w:tc>
      </w:tr>
      <w:tr w:rsidR="00DE7326" w:rsidRPr="00AE46CF" w:rsidTr="00CC03C0">
        <w:trPr>
          <w:trHeight w:val="281"/>
        </w:trPr>
        <w:tc>
          <w:tcPr>
            <w:tcW w:w="1418" w:type="pct"/>
            <w:vMerge/>
            <w:noWrap/>
            <w:vAlign w:val="center"/>
          </w:tcPr>
          <w:p w:rsidR="00DE7326" w:rsidRPr="00AE46CF" w:rsidRDefault="00DE7326" w:rsidP="002C40B2">
            <w:pPr>
              <w:pStyle w:val="Table"/>
              <w:spacing w:after="0"/>
              <w:jc w:val="center"/>
              <w:rPr>
                <w:rFonts w:ascii="Calibri" w:hAnsi="Calibri" w:cs="Calibri"/>
                <w:b/>
                <w:bCs/>
                <w:color w:val="000080"/>
                <w:sz w:val="20"/>
              </w:rPr>
            </w:pPr>
          </w:p>
        </w:tc>
        <w:tc>
          <w:tcPr>
            <w:tcW w:w="716" w:type="pct"/>
            <w:vMerge/>
            <w:noWrap/>
            <w:vAlign w:val="center"/>
          </w:tcPr>
          <w:p w:rsidR="00DE7326" w:rsidRPr="00AE46CF" w:rsidRDefault="00DE7326" w:rsidP="002C40B2">
            <w:pPr>
              <w:pStyle w:val="Table"/>
              <w:spacing w:after="0"/>
              <w:jc w:val="center"/>
              <w:rPr>
                <w:rFonts w:ascii="Calibri" w:hAnsi="Calibri" w:cs="Calibri"/>
                <w:b/>
                <w:bCs/>
                <w:color w:val="000080"/>
                <w:sz w:val="20"/>
              </w:rPr>
            </w:pPr>
          </w:p>
        </w:tc>
        <w:tc>
          <w:tcPr>
            <w:tcW w:w="716" w:type="pct"/>
            <w:vMerge/>
            <w:vAlign w:val="center"/>
          </w:tcPr>
          <w:p w:rsidR="00DE7326" w:rsidRPr="00AE46CF" w:rsidRDefault="00DE7326" w:rsidP="002C40B2">
            <w:pPr>
              <w:pStyle w:val="Table"/>
              <w:spacing w:after="0"/>
              <w:jc w:val="center"/>
              <w:rPr>
                <w:rFonts w:ascii="Calibri" w:hAnsi="Calibri" w:cs="Calibri"/>
                <w:b/>
                <w:bCs/>
                <w:color w:val="000080"/>
                <w:sz w:val="20"/>
              </w:rPr>
            </w:pPr>
          </w:p>
        </w:tc>
        <w:tc>
          <w:tcPr>
            <w:tcW w:w="717" w:type="pct"/>
            <w:vMerge/>
            <w:vAlign w:val="center"/>
          </w:tcPr>
          <w:p w:rsidR="00DE7326" w:rsidRPr="00AE46CF" w:rsidRDefault="00DE7326" w:rsidP="002C40B2">
            <w:pPr>
              <w:pStyle w:val="Table"/>
              <w:spacing w:after="0"/>
              <w:jc w:val="center"/>
              <w:rPr>
                <w:rFonts w:ascii="Calibri" w:hAnsi="Calibri" w:cs="Calibri"/>
                <w:b/>
                <w:bCs/>
                <w:color w:val="000080"/>
                <w:sz w:val="20"/>
              </w:rPr>
            </w:pPr>
          </w:p>
        </w:tc>
        <w:tc>
          <w:tcPr>
            <w:tcW w:w="716" w:type="pct"/>
            <w:vMerge/>
            <w:vAlign w:val="center"/>
          </w:tcPr>
          <w:p w:rsidR="00DE7326" w:rsidRPr="00AE46CF" w:rsidRDefault="00DE7326" w:rsidP="002C40B2">
            <w:pPr>
              <w:pStyle w:val="Table"/>
              <w:spacing w:after="0"/>
              <w:jc w:val="center"/>
              <w:rPr>
                <w:rFonts w:ascii="Calibri" w:hAnsi="Calibri" w:cs="Calibri"/>
                <w:b/>
                <w:bCs/>
                <w:color w:val="000080"/>
                <w:sz w:val="20"/>
              </w:rPr>
            </w:pPr>
          </w:p>
        </w:tc>
        <w:tc>
          <w:tcPr>
            <w:tcW w:w="717" w:type="pct"/>
            <w:vMerge/>
            <w:vAlign w:val="center"/>
          </w:tcPr>
          <w:p w:rsidR="00DE7326" w:rsidRPr="00AE46CF" w:rsidRDefault="00DE7326" w:rsidP="002C40B2">
            <w:pPr>
              <w:pStyle w:val="Table"/>
              <w:spacing w:after="0"/>
              <w:jc w:val="center"/>
              <w:rPr>
                <w:rFonts w:ascii="Calibri" w:hAnsi="Calibri" w:cs="Calibri"/>
                <w:b/>
                <w:bCs/>
                <w:color w:val="000080"/>
                <w:sz w:val="20"/>
              </w:rPr>
            </w:pPr>
          </w:p>
        </w:tc>
      </w:tr>
      <w:tr w:rsidR="00DE7326" w:rsidRPr="00C5388E" w:rsidTr="00CC03C0">
        <w:trPr>
          <w:trHeight w:val="263"/>
        </w:trPr>
        <w:tc>
          <w:tcPr>
            <w:tcW w:w="1418" w:type="pct"/>
            <w:noWrap/>
            <w:vAlign w:val="center"/>
          </w:tcPr>
          <w:p w:rsidR="00DE7326" w:rsidRPr="00962812" w:rsidRDefault="00DE7326" w:rsidP="002C40B2">
            <w:pPr>
              <w:spacing w:after="0"/>
              <w:rPr>
                <w:color w:val="000000"/>
                <w:sz w:val="20"/>
                <w:szCs w:val="20"/>
              </w:rPr>
            </w:pPr>
            <w:r w:rsidRPr="00962812">
              <w:rPr>
                <w:color w:val="000000"/>
                <w:sz w:val="20"/>
                <w:szCs w:val="20"/>
              </w:rPr>
              <w:t>Chemnitz</w:t>
            </w:r>
          </w:p>
        </w:tc>
        <w:tc>
          <w:tcPr>
            <w:tcW w:w="716" w:type="pct"/>
            <w:noWrap/>
            <w:vAlign w:val="center"/>
          </w:tcPr>
          <w:p w:rsidR="00DE7326" w:rsidRPr="00962812" w:rsidRDefault="00DE7326" w:rsidP="002C40B2">
            <w:pPr>
              <w:spacing w:after="0"/>
              <w:jc w:val="center"/>
              <w:rPr>
                <w:color w:val="000000"/>
                <w:sz w:val="20"/>
                <w:szCs w:val="20"/>
              </w:rPr>
            </w:pPr>
            <w:r>
              <w:rPr>
                <w:color w:val="000000"/>
                <w:sz w:val="20"/>
                <w:szCs w:val="20"/>
              </w:rPr>
              <w:t>6 524</w:t>
            </w:r>
          </w:p>
        </w:tc>
        <w:tc>
          <w:tcPr>
            <w:tcW w:w="716" w:type="pct"/>
            <w:noWrap/>
            <w:vAlign w:val="center"/>
          </w:tcPr>
          <w:p w:rsidR="00DE7326" w:rsidRPr="00962812" w:rsidRDefault="00DE7326" w:rsidP="002C40B2">
            <w:pPr>
              <w:spacing w:after="0"/>
              <w:jc w:val="center"/>
              <w:rPr>
                <w:color w:val="000000"/>
                <w:sz w:val="20"/>
                <w:szCs w:val="20"/>
              </w:rPr>
            </w:pPr>
            <w:r w:rsidRPr="00962812">
              <w:rPr>
                <w:color w:val="000000"/>
                <w:sz w:val="20"/>
                <w:szCs w:val="20"/>
              </w:rPr>
              <w:t>1 465 600</w:t>
            </w:r>
          </w:p>
        </w:tc>
        <w:tc>
          <w:tcPr>
            <w:tcW w:w="717" w:type="pct"/>
            <w:noWrap/>
            <w:vAlign w:val="center"/>
          </w:tcPr>
          <w:p w:rsidR="00DE7326" w:rsidRPr="00962812" w:rsidRDefault="00DE7326" w:rsidP="002C40B2">
            <w:pPr>
              <w:spacing w:after="0"/>
              <w:jc w:val="center"/>
              <w:rPr>
                <w:color w:val="000000"/>
                <w:sz w:val="20"/>
                <w:szCs w:val="20"/>
              </w:rPr>
            </w:pPr>
            <w:r>
              <w:rPr>
                <w:color w:val="000000"/>
                <w:sz w:val="20"/>
                <w:szCs w:val="20"/>
              </w:rPr>
              <w:t>224,6</w:t>
            </w:r>
          </w:p>
        </w:tc>
        <w:tc>
          <w:tcPr>
            <w:tcW w:w="716" w:type="pct"/>
            <w:vAlign w:val="center"/>
          </w:tcPr>
          <w:p w:rsidR="00DE7326" w:rsidRPr="00962812" w:rsidRDefault="00DE7326" w:rsidP="002C40B2">
            <w:pPr>
              <w:spacing w:after="0"/>
              <w:jc w:val="center"/>
              <w:rPr>
                <w:color w:val="000000"/>
                <w:sz w:val="20"/>
                <w:szCs w:val="20"/>
              </w:rPr>
            </w:pPr>
            <w:r w:rsidRPr="00962812">
              <w:rPr>
                <w:color w:val="000000"/>
                <w:sz w:val="20"/>
                <w:szCs w:val="20"/>
              </w:rPr>
              <w:t>188</w:t>
            </w:r>
          </w:p>
        </w:tc>
        <w:tc>
          <w:tcPr>
            <w:tcW w:w="717" w:type="pct"/>
            <w:vAlign w:val="center"/>
          </w:tcPr>
          <w:p w:rsidR="00DE7326" w:rsidRPr="00962812" w:rsidRDefault="00DE7326" w:rsidP="002C40B2">
            <w:pPr>
              <w:spacing w:after="0"/>
              <w:jc w:val="center"/>
              <w:rPr>
                <w:color w:val="000000"/>
                <w:sz w:val="20"/>
                <w:szCs w:val="20"/>
              </w:rPr>
            </w:pPr>
            <w:r w:rsidRPr="00962812">
              <w:rPr>
                <w:color w:val="000000"/>
                <w:sz w:val="20"/>
                <w:szCs w:val="20"/>
              </w:rPr>
              <w:t>Chemnitz</w:t>
            </w:r>
          </w:p>
        </w:tc>
      </w:tr>
      <w:tr w:rsidR="00DE7326" w:rsidRPr="00C5388E" w:rsidTr="00CC03C0">
        <w:trPr>
          <w:trHeight w:val="263"/>
        </w:trPr>
        <w:tc>
          <w:tcPr>
            <w:tcW w:w="1418" w:type="pct"/>
            <w:noWrap/>
            <w:vAlign w:val="center"/>
          </w:tcPr>
          <w:p w:rsidR="00DE7326" w:rsidRPr="00962812" w:rsidRDefault="00DE7326" w:rsidP="002C40B2">
            <w:pPr>
              <w:spacing w:after="0"/>
              <w:rPr>
                <w:color w:val="000000"/>
                <w:sz w:val="20"/>
                <w:szCs w:val="20"/>
              </w:rPr>
            </w:pPr>
            <w:r w:rsidRPr="00962812">
              <w:rPr>
                <w:color w:val="000000"/>
                <w:sz w:val="20"/>
                <w:szCs w:val="20"/>
              </w:rPr>
              <w:t>Oberfranken</w:t>
            </w:r>
          </w:p>
        </w:tc>
        <w:tc>
          <w:tcPr>
            <w:tcW w:w="716" w:type="pct"/>
            <w:noWrap/>
            <w:vAlign w:val="center"/>
          </w:tcPr>
          <w:p w:rsidR="00DE7326" w:rsidRPr="00962812" w:rsidRDefault="00DE7326" w:rsidP="002C40B2">
            <w:pPr>
              <w:spacing w:after="0"/>
              <w:jc w:val="center"/>
              <w:rPr>
                <w:color w:val="000000"/>
                <w:sz w:val="20"/>
                <w:szCs w:val="20"/>
              </w:rPr>
            </w:pPr>
            <w:r w:rsidRPr="00AE46CF">
              <w:rPr>
                <w:color w:val="000000"/>
                <w:sz w:val="20"/>
                <w:szCs w:val="20"/>
              </w:rPr>
              <w:t>7 232</w:t>
            </w:r>
          </w:p>
        </w:tc>
        <w:tc>
          <w:tcPr>
            <w:tcW w:w="716" w:type="pct"/>
            <w:noWrap/>
            <w:vAlign w:val="center"/>
          </w:tcPr>
          <w:p w:rsidR="00DE7326" w:rsidRPr="00962812" w:rsidRDefault="00DE7326" w:rsidP="002C40B2">
            <w:pPr>
              <w:spacing w:after="0"/>
              <w:jc w:val="center"/>
              <w:rPr>
                <w:color w:val="000000"/>
                <w:sz w:val="20"/>
                <w:szCs w:val="20"/>
              </w:rPr>
            </w:pPr>
            <w:r w:rsidRPr="00962812">
              <w:rPr>
                <w:color w:val="000000"/>
                <w:sz w:val="20"/>
                <w:szCs w:val="20"/>
              </w:rPr>
              <w:t>1 059 358</w:t>
            </w:r>
          </w:p>
        </w:tc>
        <w:tc>
          <w:tcPr>
            <w:tcW w:w="717" w:type="pct"/>
            <w:noWrap/>
            <w:vAlign w:val="center"/>
          </w:tcPr>
          <w:p w:rsidR="00DE7326" w:rsidRPr="00962812" w:rsidRDefault="00DE7326" w:rsidP="002C40B2">
            <w:pPr>
              <w:spacing w:after="0"/>
              <w:jc w:val="center"/>
              <w:rPr>
                <w:color w:val="000000"/>
                <w:sz w:val="20"/>
                <w:szCs w:val="20"/>
              </w:rPr>
            </w:pPr>
            <w:r w:rsidRPr="00962812">
              <w:rPr>
                <w:color w:val="000000"/>
                <w:sz w:val="20"/>
                <w:szCs w:val="20"/>
              </w:rPr>
              <w:t>146</w:t>
            </w:r>
          </w:p>
        </w:tc>
        <w:tc>
          <w:tcPr>
            <w:tcW w:w="716" w:type="pct"/>
            <w:vAlign w:val="center"/>
          </w:tcPr>
          <w:p w:rsidR="00DE7326" w:rsidRPr="00962812" w:rsidRDefault="00DE7326" w:rsidP="002C40B2">
            <w:pPr>
              <w:spacing w:after="0"/>
              <w:jc w:val="center"/>
              <w:rPr>
                <w:color w:val="000000"/>
                <w:sz w:val="20"/>
                <w:szCs w:val="20"/>
              </w:rPr>
            </w:pPr>
            <w:r w:rsidRPr="00962812">
              <w:rPr>
                <w:color w:val="000000"/>
                <w:sz w:val="20"/>
                <w:szCs w:val="20"/>
              </w:rPr>
              <w:t>214</w:t>
            </w:r>
          </w:p>
        </w:tc>
        <w:tc>
          <w:tcPr>
            <w:tcW w:w="717" w:type="pct"/>
            <w:vAlign w:val="center"/>
          </w:tcPr>
          <w:p w:rsidR="00DE7326" w:rsidRPr="00962812" w:rsidRDefault="00DE7326" w:rsidP="002C40B2">
            <w:pPr>
              <w:spacing w:after="0"/>
              <w:jc w:val="center"/>
              <w:rPr>
                <w:color w:val="000000"/>
                <w:sz w:val="20"/>
                <w:szCs w:val="20"/>
              </w:rPr>
            </w:pPr>
            <w:r w:rsidRPr="00962812">
              <w:rPr>
                <w:color w:val="000000"/>
                <w:sz w:val="20"/>
                <w:szCs w:val="20"/>
              </w:rPr>
              <w:t>Regensburg</w:t>
            </w:r>
          </w:p>
        </w:tc>
      </w:tr>
      <w:tr w:rsidR="00DE7326" w:rsidRPr="00C5388E" w:rsidTr="00CC03C0">
        <w:trPr>
          <w:trHeight w:val="263"/>
        </w:trPr>
        <w:tc>
          <w:tcPr>
            <w:tcW w:w="1418" w:type="pct"/>
            <w:noWrap/>
            <w:vAlign w:val="center"/>
          </w:tcPr>
          <w:p w:rsidR="00DE7326" w:rsidRPr="00962812" w:rsidRDefault="00DE7326" w:rsidP="002C40B2">
            <w:pPr>
              <w:spacing w:after="0"/>
              <w:rPr>
                <w:color w:val="000000"/>
                <w:sz w:val="20"/>
                <w:szCs w:val="20"/>
              </w:rPr>
            </w:pPr>
            <w:r w:rsidRPr="00962812">
              <w:rPr>
                <w:color w:val="000000"/>
                <w:sz w:val="20"/>
                <w:szCs w:val="20"/>
              </w:rPr>
              <w:t>Oberpfalz</w:t>
            </w:r>
          </w:p>
        </w:tc>
        <w:tc>
          <w:tcPr>
            <w:tcW w:w="716" w:type="pct"/>
            <w:noWrap/>
            <w:vAlign w:val="center"/>
          </w:tcPr>
          <w:p w:rsidR="00DE7326" w:rsidRPr="00962812" w:rsidRDefault="00DE7326" w:rsidP="002C40B2">
            <w:pPr>
              <w:spacing w:after="0"/>
              <w:jc w:val="center"/>
              <w:rPr>
                <w:color w:val="000000"/>
                <w:sz w:val="20"/>
                <w:szCs w:val="20"/>
              </w:rPr>
            </w:pPr>
            <w:r w:rsidRPr="00AE46CF">
              <w:rPr>
                <w:color w:val="000000"/>
                <w:sz w:val="20"/>
                <w:szCs w:val="20"/>
              </w:rPr>
              <w:t>9 690</w:t>
            </w:r>
          </w:p>
        </w:tc>
        <w:tc>
          <w:tcPr>
            <w:tcW w:w="716" w:type="pct"/>
            <w:noWrap/>
            <w:vAlign w:val="center"/>
          </w:tcPr>
          <w:p w:rsidR="00DE7326" w:rsidRPr="00962812" w:rsidRDefault="00DE7326" w:rsidP="002C40B2">
            <w:pPr>
              <w:spacing w:after="0"/>
              <w:jc w:val="center"/>
              <w:rPr>
                <w:color w:val="000000"/>
                <w:sz w:val="20"/>
                <w:szCs w:val="20"/>
              </w:rPr>
            </w:pPr>
            <w:r w:rsidRPr="00962812">
              <w:rPr>
                <w:color w:val="000000"/>
                <w:sz w:val="20"/>
                <w:szCs w:val="20"/>
              </w:rPr>
              <w:t>1 092 339</w:t>
            </w:r>
          </w:p>
        </w:tc>
        <w:tc>
          <w:tcPr>
            <w:tcW w:w="717" w:type="pct"/>
            <w:noWrap/>
            <w:vAlign w:val="center"/>
          </w:tcPr>
          <w:p w:rsidR="00DE7326" w:rsidRPr="00962812" w:rsidRDefault="00DE7326" w:rsidP="002C40B2">
            <w:pPr>
              <w:spacing w:after="0"/>
              <w:jc w:val="center"/>
              <w:rPr>
                <w:color w:val="000000"/>
                <w:sz w:val="20"/>
                <w:szCs w:val="20"/>
              </w:rPr>
            </w:pPr>
            <w:r w:rsidRPr="00962812">
              <w:rPr>
                <w:color w:val="000000"/>
                <w:sz w:val="20"/>
                <w:szCs w:val="20"/>
              </w:rPr>
              <w:t>113</w:t>
            </w:r>
          </w:p>
        </w:tc>
        <w:tc>
          <w:tcPr>
            <w:tcW w:w="716" w:type="pct"/>
            <w:vAlign w:val="center"/>
          </w:tcPr>
          <w:p w:rsidR="00DE7326" w:rsidRPr="00962812" w:rsidRDefault="00DE7326" w:rsidP="002C40B2">
            <w:pPr>
              <w:spacing w:after="0"/>
              <w:jc w:val="center"/>
              <w:rPr>
                <w:color w:val="000000"/>
                <w:sz w:val="20"/>
                <w:szCs w:val="20"/>
              </w:rPr>
            </w:pPr>
            <w:r w:rsidRPr="00962812">
              <w:rPr>
                <w:color w:val="000000"/>
                <w:sz w:val="20"/>
                <w:szCs w:val="20"/>
              </w:rPr>
              <w:t>226</w:t>
            </w:r>
          </w:p>
        </w:tc>
        <w:tc>
          <w:tcPr>
            <w:tcW w:w="717" w:type="pct"/>
            <w:vAlign w:val="center"/>
          </w:tcPr>
          <w:p w:rsidR="00DE7326" w:rsidRPr="00962812" w:rsidRDefault="00DE7326" w:rsidP="002C40B2">
            <w:pPr>
              <w:spacing w:after="0"/>
              <w:jc w:val="center"/>
              <w:rPr>
                <w:color w:val="000000"/>
                <w:sz w:val="20"/>
                <w:szCs w:val="20"/>
              </w:rPr>
            </w:pPr>
            <w:r w:rsidRPr="00962812">
              <w:rPr>
                <w:color w:val="000000"/>
                <w:sz w:val="20"/>
                <w:szCs w:val="20"/>
              </w:rPr>
              <w:t>Bayreuth</w:t>
            </w:r>
          </w:p>
        </w:tc>
      </w:tr>
      <w:tr w:rsidR="00DE7326" w:rsidRPr="00C5388E" w:rsidTr="00CC03C0">
        <w:trPr>
          <w:trHeight w:val="263"/>
        </w:trPr>
        <w:tc>
          <w:tcPr>
            <w:tcW w:w="1418" w:type="pct"/>
            <w:noWrap/>
            <w:vAlign w:val="center"/>
          </w:tcPr>
          <w:p w:rsidR="00DE7326" w:rsidRPr="00962812" w:rsidRDefault="00DE7326" w:rsidP="002C40B2">
            <w:pPr>
              <w:pStyle w:val="Table"/>
              <w:spacing w:after="0"/>
              <w:jc w:val="left"/>
              <w:rPr>
                <w:rFonts w:ascii="Calibri" w:eastAsia="Times New Roman" w:hAnsi="Calibri" w:cs="Calibri"/>
                <w:color w:val="000000"/>
                <w:sz w:val="20"/>
                <w:lang w:eastAsia="cs-CZ"/>
              </w:rPr>
            </w:pPr>
            <w:r w:rsidRPr="00962812">
              <w:rPr>
                <w:rFonts w:ascii="Calibri" w:eastAsia="Times New Roman" w:hAnsi="Calibri" w:cs="Calibri"/>
                <w:color w:val="000000"/>
                <w:sz w:val="20"/>
                <w:lang w:eastAsia="cs-CZ"/>
              </w:rPr>
              <w:t>Karlovarský kraj</w:t>
            </w:r>
          </w:p>
        </w:tc>
        <w:tc>
          <w:tcPr>
            <w:tcW w:w="716" w:type="pct"/>
            <w:noWrap/>
            <w:vAlign w:val="center"/>
          </w:tcPr>
          <w:p w:rsidR="00DE7326" w:rsidRPr="00962812" w:rsidRDefault="00DE7326" w:rsidP="002C40B2">
            <w:pPr>
              <w:spacing w:after="0"/>
              <w:jc w:val="center"/>
              <w:rPr>
                <w:color w:val="000000"/>
                <w:sz w:val="20"/>
                <w:szCs w:val="20"/>
              </w:rPr>
            </w:pPr>
            <w:r>
              <w:rPr>
                <w:color w:val="000000"/>
                <w:sz w:val="20"/>
                <w:szCs w:val="20"/>
              </w:rPr>
              <w:t>3 314</w:t>
            </w:r>
          </w:p>
        </w:tc>
        <w:tc>
          <w:tcPr>
            <w:tcW w:w="716" w:type="pct"/>
            <w:noWrap/>
            <w:vAlign w:val="center"/>
          </w:tcPr>
          <w:p w:rsidR="00DE7326" w:rsidRPr="00962812" w:rsidRDefault="00DE7326" w:rsidP="002C40B2">
            <w:pPr>
              <w:spacing w:after="0"/>
              <w:jc w:val="center"/>
              <w:rPr>
                <w:color w:val="000000"/>
                <w:sz w:val="20"/>
                <w:szCs w:val="20"/>
              </w:rPr>
            </w:pPr>
            <w:r>
              <w:rPr>
                <w:color w:val="000000"/>
                <w:sz w:val="20"/>
                <w:szCs w:val="20"/>
              </w:rPr>
              <w:t>297 828</w:t>
            </w:r>
          </w:p>
        </w:tc>
        <w:tc>
          <w:tcPr>
            <w:tcW w:w="717" w:type="pct"/>
            <w:noWrap/>
            <w:vAlign w:val="center"/>
          </w:tcPr>
          <w:p w:rsidR="00DE7326" w:rsidRPr="00962812" w:rsidRDefault="00DE7326" w:rsidP="002C40B2">
            <w:pPr>
              <w:spacing w:after="0"/>
              <w:jc w:val="center"/>
              <w:rPr>
                <w:color w:val="000000"/>
                <w:sz w:val="20"/>
                <w:szCs w:val="20"/>
              </w:rPr>
            </w:pPr>
            <w:r>
              <w:rPr>
                <w:color w:val="000000"/>
                <w:sz w:val="20"/>
                <w:szCs w:val="20"/>
              </w:rPr>
              <w:t>89,9</w:t>
            </w:r>
          </w:p>
        </w:tc>
        <w:tc>
          <w:tcPr>
            <w:tcW w:w="716" w:type="pct"/>
            <w:vAlign w:val="center"/>
          </w:tcPr>
          <w:p w:rsidR="00DE7326" w:rsidRPr="00962812" w:rsidRDefault="00DE7326" w:rsidP="002C40B2">
            <w:pPr>
              <w:spacing w:after="0"/>
              <w:jc w:val="center"/>
              <w:rPr>
                <w:color w:val="000000"/>
                <w:sz w:val="20"/>
                <w:szCs w:val="20"/>
              </w:rPr>
            </w:pPr>
            <w:r w:rsidRPr="00962812">
              <w:rPr>
                <w:color w:val="000000"/>
                <w:sz w:val="20"/>
                <w:szCs w:val="20"/>
              </w:rPr>
              <w:t>132</w:t>
            </w:r>
          </w:p>
        </w:tc>
        <w:tc>
          <w:tcPr>
            <w:tcW w:w="717" w:type="pct"/>
            <w:vAlign w:val="center"/>
          </w:tcPr>
          <w:p w:rsidR="00DE7326" w:rsidRPr="00962812" w:rsidRDefault="00DE7326" w:rsidP="002C40B2">
            <w:pPr>
              <w:spacing w:after="0"/>
              <w:jc w:val="center"/>
              <w:rPr>
                <w:color w:val="000000"/>
                <w:sz w:val="20"/>
                <w:szCs w:val="20"/>
              </w:rPr>
            </w:pPr>
            <w:r w:rsidRPr="00962812">
              <w:rPr>
                <w:color w:val="000000"/>
                <w:sz w:val="20"/>
                <w:szCs w:val="20"/>
              </w:rPr>
              <w:t>Karlovy Vary</w:t>
            </w:r>
          </w:p>
        </w:tc>
      </w:tr>
    </w:tbl>
    <w:p w:rsidR="00A40B3B" w:rsidRDefault="00DE7326" w:rsidP="002C40B2">
      <w:pPr>
        <w:spacing w:before="120"/>
        <w:rPr>
          <w:i/>
          <w:sz w:val="20"/>
          <w:szCs w:val="20"/>
        </w:rPr>
      </w:pPr>
      <w:r w:rsidRPr="00962812">
        <w:rPr>
          <w:i/>
          <w:sz w:val="20"/>
          <w:szCs w:val="20"/>
        </w:rPr>
        <w:t>Zdroj</w:t>
      </w:r>
      <w:r>
        <w:rPr>
          <w:i/>
          <w:sz w:val="20"/>
          <w:szCs w:val="20"/>
        </w:rPr>
        <w:t>e</w:t>
      </w:r>
      <w:r w:rsidR="00A40B3B">
        <w:rPr>
          <w:i/>
          <w:sz w:val="20"/>
          <w:szCs w:val="20"/>
        </w:rPr>
        <w:t>: ČSÚ -</w:t>
      </w:r>
      <w:r w:rsidRPr="00962812">
        <w:rPr>
          <w:i/>
          <w:sz w:val="20"/>
          <w:szCs w:val="20"/>
        </w:rPr>
        <w:t xml:space="preserve"> Statistiky, Obyvatelstvo, 2015,</w:t>
      </w:r>
      <w:r>
        <w:rPr>
          <w:i/>
          <w:sz w:val="20"/>
          <w:szCs w:val="20"/>
        </w:rPr>
        <w:t xml:space="preserve"> </w:t>
      </w:r>
      <w:r w:rsidRPr="00962812">
        <w:rPr>
          <w:i/>
          <w:sz w:val="20"/>
          <w:szCs w:val="20"/>
        </w:rPr>
        <w:t xml:space="preserve">Statistická ročenka Karlovarského kraje 2015, </w:t>
      </w:r>
      <w:r>
        <w:rPr>
          <w:i/>
          <w:sz w:val="20"/>
          <w:szCs w:val="20"/>
        </w:rPr>
        <w:br/>
      </w:r>
      <w:r w:rsidRPr="00140BE2">
        <w:rPr>
          <w:rFonts w:eastAsia="Calibri"/>
          <w:i/>
          <w:sz w:val="20"/>
          <w:szCs w:val="20"/>
        </w:rPr>
        <w:t>http://www.pv-rc.de/cms/region_statistik.php</w:t>
      </w:r>
      <w:r w:rsidRPr="00962812">
        <w:rPr>
          <w:i/>
          <w:sz w:val="20"/>
          <w:szCs w:val="20"/>
        </w:rPr>
        <w:t xml:space="preserve">, </w:t>
      </w:r>
      <w:r w:rsidRPr="00140BE2">
        <w:rPr>
          <w:rFonts w:eastAsia="Calibri"/>
          <w:i/>
          <w:sz w:val="20"/>
          <w:szCs w:val="20"/>
        </w:rPr>
        <w:t>https://www.regierung.oberfranken.bayern.de/oberfranken/statistik/index.php</w:t>
      </w:r>
      <w:r w:rsidRPr="00962812">
        <w:rPr>
          <w:i/>
          <w:sz w:val="20"/>
          <w:szCs w:val="20"/>
        </w:rPr>
        <w:t xml:space="preserve">, </w:t>
      </w:r>
      <w:r w:rsidR="00A40B3B" w:rsidRPr="00140BE2">
        <w:rPr>
          <w:i/>
          <w:sz w:val="20"/>
          <w:szCs w:val="20"/>
        </w:rPr>
        <w:t>http://www.regierung.oberpfalz.bayern.de/dbGden/ew_fl.php</w:t>
      </w:r>
    </w:p>
    <w:p w:rsidR="006D5774" w:rsidRPr="006D5774" w:rsidRDefault="006D5774" w:rsidP="002C40B2">
      <w:r w:rsidRPr="00B44EA7">
        <w:t xml:space="preserve">Celé </w:t>
      </w:r>
      <w:r>
        <w:t xml:space="preserve">německé </w:t>
      </w:r>
      <w:r w:rsidRPr="00B44EA7">
        <w:t>území je v posledních letech migračně ztrátové, a to pravděpodobně ve prospěch blízkých městských aglomerací ve svých zemích. Ve spojení vystěhovávání s nízkou porodností, vedoucí k přirozenému úbytku</w:t>
      </w:r>
      <w:r>
        <w:t>,</w:t>
      </w:r>
      <w:r w:rsidRPr="00B44EA7">
        <w:t xml:space="preserve"> se počet obyvatel německé části sledovaného území zmenšuje a tento trend se bude podle projekcí prohlubovat. Populace celého sledovaného území rychle stárne, a emigrace mladých věkových skupin stárnutí populace urychluje. Počet obyvatel Karlovarského kraje st</w:t>
      </w:r>
      <w:r>
        <w:t>agnuje resp. ubývá daleko pomalejším tempem</w:t>
      </w:r>
      <w:r w:rsidRPr="00B44EA7">
        <w:t>.</w:t>
      </w:r>
      <w:r w:rsidRPr="006D5774">
        <w:t xml:space="preserve"> Pokles počtu obyvatel v produktivním věku v německé části příhraničí bude mít nejvýznamnější negativní dopady na trh práce. V souvislosti </w:t>
      </w:r>
      <w:r w:rsidRPr="006D5774">
        <w:lastRenderedPageBreak/>
        <w:t>s rostoucí potřebou pracovních sil v německé části zájmového území se bude zvyšovat potenciál pro přeshraniční dojížďku za prací z </w:t>
      </w:r>
      <w:r w:rsidR="00BA1359">
        <w:t>KK</w:t>
      </w:r>
      <w:r>
        <w:t>. (Strategie rozvoje zaměstnanosti Karlovarského kraje 2015)</w:t>
      </w:r>
    </w:p>
    <w:p w:rsidR="002318F7" w:rsidRDefault="002318F7" w:rsidP="002C40B2">
      <w:r>
        <w:t>P</w:t>
      </w:r>
      <w:r w:rsidRPr="00714443">
        <w:t xml:space="preserve">orovnání regionů prostřednictvím </w:t>
      </w:r>
      <w:r>
        <w:t>makroekonomických</w:t>
      </w:r>
      <w:r w:rsidRPr="00AE46CF">
        <w:t xml:space="preserve"> ukazatelů </w:t>
      </w:r>
      <w:r>
        <w:t xml:space="preserve">nabízí </w:t>
      </w:r>
      <w:r w:rsidR="004F2330">
        <w:fldChar w:fldCharType="begin"/>
      </w:r>
      <w:r w:rsidR="004F2330">
        <w:instrText xml:space="preserve"> REF _Ref466378650 \h  \* MERGEFORMAT </w:instrText>
      </w:r>
      <w:r w:rsidR="004F2330">
        <w:fldChar w:fldCharType="separate"/>
      </w:r>
      <w:r w:rsidR="00EB0944">
        <w:t>t</w:t>
      </w:r>
      <w:r w:rsidR="00CB29BD">
        <w:t xml:space="preserve">abulka </w:t>
      </w:r>
      <w:r w:rsidR="00CB29BD">
        <w:rPr>
          <w:noProof/>
        </w:rPr>
        <w:t>20</w:t>
      </w:r>
      <w:r w:rsidR="00CB29BD">
        <w:t>.2</w:t>
      </w:r>
      <w:r w:rsidR="004F2330">
        <w:fldChar w:fldCharType="end"/>
      </w:r>
      <w:r>
        <w:t>.</w:t>
      </w:r>
    </w:p>
    <w:p w:rsidR="00DE7326" w:rsidRDefault="00DE7326" w:rsidP="000B3B9C">
      <w:pPr>
        <w:pStyle w:val="Titulek"/>
      </w:pPr>
      <w:bookmarkStart w:id="477" w:name="_Ref466378650"/>
      <w:bookmarkStart w:id="478" w:name="_Toc488233521"/>
      <w:bookmarkEnd w:id="473"/>
      <w:bookmarkEnd w:id="474"/>
      <w:bookmarkEnd w:id="475"/>
      <w:r>
        <w:t xml:space="preserve">Tabulka </w:t>
      </w:r>
      <w:r w:rsidR="008965FE">
        <w:fldChar w:fldCharType="begin"/>
      </w:r>
      <w:r w:rsidR="00B33DFE">
        <w:instrText xml:space="preserve"> STYLEREF 1 \s </w:instrText>
      </w:r>
      <w:r w:rsidR="008965FE">
        <w:fldChar w:fldCharType="separate"/>
      </w:r>
      <w:r w:rsidR="00CB29BD">
        <w:t>20</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bookmarkEnd w:id="477"/>
      <w:r>
        <w:t>: Makroekonomické ukazatele KK a sousedních německých regionů</w:t>
      </w:r>
      <w:bookmarkEnd w:id="478"/>
    </w:p>
    <w:tbl>
      <w:tblPr>
        <w:tblW w:w="4962" w:type="pct"/>
        <w:tblInd w:w="70" w:type="dxa"/>
        <w:tblCellMar>
          <w:left w:w="70" w:type="dxa"/>
          <w:right w:w="70" w:type="dxa"/>
        </w:tblCellMar>
        <w:tblLook w:val="04A0" w:firstRow="1" w:lastRow="0" w:firstColumn="1" w:lastColumn="0" w:noHBand="0" w:noVBand="1"/>
      </w:tblPr>
      <w:tblGrid>
        <w:gridCol w:w="1427"/>
        <w:gridCol w:w="1562"/>
        <w:gridCol w:w="1563"/>
        <w:gridCol w:w="1530"/>
        <w:gridCol w:w="1530"/>
        <w:gridCol w:w="1530"/>
      </w:tblGrid>
      <w:tr w:rsidR="00DE7326" w:rsidRPr="00F66EFD" w:rsidTr="00140BE2">
        <w:trPr>
          <w:trHeight w:val="443"/>
        </w:trPr>
        <w:tc>
          <w:tcPr>
            <w:tcW w:w="7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326" w:rsidRPr="00F13761" w:rsidRDefault="00DE7326" w:rsidP="00140BE2">
            <w:pPr>
              <w:spacing w:after="0"/>
              <w:jc w:val="center"/>
              <w:rPr>
                <w:rFonts w:cs="Times New Roman"/>
                <w:b/>
                <w:bCs/>
                <w:sz w:val="20"/>
                <w:szCs w:val="20"/>
              </w:rPr>
            </w:pPr>
            <w:r w:rsidRPr="00F13761">
              <w:rPr>
                <w:b/>
                <w:bCs/>
                <w:sz w:val="20"/>
                <w:szCs w:val="20"/>
              </w:rPr>
              <w:t>Region</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7326" w:rsidRPr="00F13761" w:rsidRDefault="00DE7326" w:rsidP="00140BE2">
            <w:pPr>
              <w:spacing w:after="0"/>
              <w:jc w:val="center"/>
              <w:rPr>
                <w:rFonts w:cs="Times New Roman"/>
                <w:b/>
                <w:bCs/>
                <w:sz w:val="20"/>
                <w:szCs w:val="20"/>
              </w:rPr>
            </w:pPr>
            <w:r w:rsidRPr="00F13761">
              <w:rPr>
                <w:b/>
                <w:bCs/>
                <w:sz w:val="20"/>
                <w:szCs w:val="20"/>
              </w:rPr>
              <w:t xml:space="preserve">HDP na obyv. </w:t>
            </w:r>
            <w:r w:rsidRPr="00F13761">
              <w:rPr>
                <w:b/>
                <w:bCs/>
                <w:sz w:val="20"/>
                <w:szCs w:val="20"/>
              </w:rPr>
              <w:br/>
              <w:t>v r. 2013 (v EUR)</w:t>
            </w:r>
          </w:p>
        </w:tc>
        <w:tc>
          <w:tcPr>
            <w:tcW w:w="8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7326" w:rsidRPr="00F13761" w:rsidRDefault="00140BE2" w:rsidP="00140BE2">
            <w:pPr>
              <w:spacing w:after="0"/>
              <w:jc w:val="center"/>
              <w:rPr>
                <w:rFonts w:cs="Times New Roman"/>
                <w:b/>
                <w:bCs/>
                <w:sz w:val="20"/>
                <w:szCs w:val="20"/>
              </w:rPr>
            </w:pPr>
            <w:r>
              <w:rPr>
                <w:b/>
                <w:bCs/>
                <w:sz w:val="20"/>
                <w:szCs w:val="20"/>
              </w:rPr>
              <w:t>M</w:t>
            </w:r>
            <w:r w:rsidR="00DE7326" w:rsidRPr="00F13761">
              <w:rPr>
                <w:b/>
                <w:bCs/>
                <w:sz w:val="20"/>
                <w:szCs w:val="20"/>
              </w:rPr>
              <w:t xml:space="preserve">íra nezaměstnanosti k 31.9. 2015 </w:t>
            </w:r>
            <w:r w:rsidR="00DE7326" w:rsidRPr="00F13761">
              <w:rPr>
                <w:b/>
                <w:bCs/>
                <w:sz w:val="20"/>
                <w:szCs w:val="20"/>
              </w:rPr>
              <w:br/>
              <w:t>(v %)</w:t>
            </w:r>
          </w:p>
        </w:tc>
        <w:tc>
          <w:tcPr>
            <w:tcW w:w="2510" w:type="pct"/>
            <w:gridSpan w:val="3"/>
            <w:tcBorders>
              <w:top w:val="single" w:sz="4" w:space="0" w:color="auto"/>
              <w:left w:val="nil"/>
              <w:bottom w:val="single" w:sz="4" w:space="0" w:color="auto"/>
              <w:right w:val="single" w:sz="4" w:space="0" w:color="auto"/>
            </w:tcBorders>
            <w:shd w:val="clear" w:color="auto" w:fill="auto"/>
            <w:vAlign w:val="center"/>
            <w:hideMark/>
          </w:tcPr>
          <w:p w:rsidR="00DE7326" w:rsidRPr="00F13761" w:rsidRDefault="00140BE2" w:rsidP="00140BE2">
            <w:pPr>
              <w:spacing w:after="0"/>
              <w:jc w:val="center"/>
              <w:rPr>
                <w:rFonts w:cs="Times New Roman"/>
                <w:b/>
                <w:bCs/>
                <w:sz w:val="20"/>
                <w:szCs w:val="20"/>
              </w:rPr>
            </w:pPr>
            <w:r>
              <w:rPr>
                <w:b/>
                <w:bCs/>
                <w:sz w:val="20"/>
                <w:szCs w:val="20"/>
              </w:rPr>
              <w:t>P</w:t>
            </w:r>
            <w:r w:rsidR="00DE7326" w:rsidRPr="00F13761">
              <w:rPr>
                <w:b/>
                <w:bCs/>
                <w:sz w:val="20"/>
                <w:szCs w:val="20"/>
              </w:rPr>
              <w:t xml:space="preserve">odíl zaměstnaných v sektorech hospodářství </w:t>
            </w:r>
            <w:r w:rsidR="00DE7326" w:rsidRPr="00F13761">
              <w:rPr>
                <w:b/>
                <w:bCs/>
                <w:sz w:val="20"/>
                <w:szCs w:val="20"/>
              </w:rPr>
              <w:br/>
              <w:t>v r. 2013 (v %)</w:t>
            </w:r>
          </w:p>
        </w:tc>
      </w:tr>
      <w:tr w:rsidR="00DE7326" w:rsidRPr="00F66EFD" w:rsidTr="00140BE2">
        <w:trPr>
          <w:trHeight w:val="365"/>
        </w:trPr>
        <w:tc>
          <w:tcPr>
            <w:tcW w:w="780" w:type="pct"/>
            <w:vMerge/>
            <w:tcBorders>
              <w:top w:val="single" w:sz="4" w:space="0" w:color="auto"/>
              <w:left w:val="single" w:sz="4" w:space="0" w:color="auto"/>
              <w:bottom w:val="single" w:sz="4" w:space="0" w:color="auto"/>
              <w:right w:val="single" w:sz="4" w:space="0" w:color="auto"/>
            </w:tcBorders>
            <w:vAlign w:val="center"/>
            <w:hideMark/>
          </w:tcPr>
          <w:p w:rsidR="00DE7326" w:rsidRPr="00F13761" w:rsidRDefault="00DE7326" w:rsidP="00140BE2">
            <w:pPr>
              <w:spacing w:after="0"/>
              <w:jc w:val="center"/>
              <w:rPr>
                <w:rFonts w:cs="Times New Roman"/>
                <w:b/>
                <w:bCs/>
                <w:sz w:val="20"/>
                <w:szCs w:val="20"/>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rsidR="00DE7326" w:rsidRPr="00F13761" w:rsidRDefault="00DE7326" w:rsidP="00140BE2">
            <w:pPr>
              <w:spacing w:after="0"/>
              <w:jc w:val="center"/>
              <w:rPr>
                <w:rFonts w:cs="Times New Roman"/>
                <w:b/>
                <w:bCs/>
                <w:sz w:val="20"/>
                <w:szCs w:val="20"/>
              </w:rPr>
            </w:pPr>
          </w:p>
        </w:tc>
        <w:tc>
          <w:tcPr>
            <w:tcW w:w="855" w:type="pct"/>
            <w:vMerge/>
            <w:tcBorders>
              <w:top w:val="single" w:sz="4" w:space="0" w:color="auto"/>
              <w:left w:val="single" w:sz="4" w:space="0" w:color="auto"/>
              <w:bottom w:val="single" w:sz="4" w:space="0" w:color="000000"/>
              <w:right w:val="single" w:sz="4" w:space="0" w:color="auto"/>
            </w:tcBorders>
            <w:vAlign w:val="center"/>
            <w:hideMark/>
          </w:tcPr>
          <w:p w:rsidR="00DE7326" w:rsidRPr="00F13761" w:rsidRDefault="00DE7326" w:rsidP="00140BE2">
            <w:pPr>
              <w:spacing w:after="0"/>
              <w:jc w:val="center"/>
              <w:rPr>
                <w:rFonts w:cs="Times New Roman"/>
                <w:b/>
                <w:bCs/>
                <w:sz w:val="20"/>
                <w:szCs w:val="20"/>
              </w:rPr>
            </w:pPr>
          </w:p>
        </w:tc>
        <w:tc>
          <w:tcPr>
            <w:tcW w:w="837" w:type="pct"/>
            <w:tcBorders>
              <w:top w:val="nil"/>
              <w:left w:val="nil"/>
              <w:bottom w:val="single" w:sz="4" w:space="0" w:color="auto"/>
              <w:right w:val="single" w:sz="4" w:space="0" w:color="auto"/>
            </w:tcBorders>
            <w:shd w:val="clear" w:color="auto" w:fill="auto"/>
            <w:vAlign w:val="center"/>
            <w:hideMark/>
          </w:tcPr>
          <w:p w:rsidR="00DE7326" w:rsidRPr="00F13761" w:rsidRDefault="00DE7326" w:rsidP="00140BE2">
            <w:pPr>
              <w:spacing w:after="0"/>
              <w:jc w:val="center"/>
              <w:rPr>
                <w:rFonts w:cs="Times New Roman"/>
                <w:b/>
                <w:bCs/>
                <w:sz w:val="20"/>
                <w:szCs w:val="20"/>
              </w:rPr>
            </w:pPr>
            <w:r w:rsidRPr="00F13761">
              <w:rPr>
                <w:b/>
                <w:bCs/>
                <w:sz w:val="20"/>
                <w:szCs w:val="20"/>
              </w:rPr>
              <w:t>zemědělství, lesnictví, rybolov</w:t>
            </w:r>
          </w:p>
        </w:tc>
        <w:tc>
          <w:tcPr>
            <w:tcW w:w="837" w:type="pct"/>
            <w:tcBorders>
              <w:top w:val="nil"/>
              <w:left w:val="nil"/>
              <w:bottom w:val="single" w:sz="4" w:space="0" w:color="auto"/>
              <w:right w:val="single" w:sz="4" w:space="0" w:color="auto"/>
            </w:tcBorders>
            <w:shd w:val="clear" w:color="auto" w:fill="auto"/>
            <w:vAlign w:val="center"/>
            <w:hideMark/>
          </w:tcPr>
          <w:p w:rsidR="00DE7326" w:rsidRPr="00F13761" w:rsidRDefault="00DE7326" w:rsidP="00140BE2">
            <w:pPr>
              <w:spacing w:after="0"/>
              <w:jc w:val="center"/>
              <w:rPr>
                <w:rFonts w:cs="Times New Roman"/>
                <w:b/>
                <w:bCs/>
                <w:sz w:val="20"/>
                <w:szCs w:val="20"/>
              </w:rPr>
            </w:pPr>
            <w:r w:rsidRPr="00F13761">
              <w:rPr>
                <w:b/>
                <w:bCs/>
                <w:sz w:val="20"/>
                <w:szCs w:val="20"/>
              </w:rPr>
              <w:t>průmysl, stavebnictví</w:t>
            </w:r>
          </w:p>
        </w:tc>
        <w:tc>
          <w:tcPr>
            <w:tcW w:w="837" w:type="pct"/>
            <w:tcBorders>
              <w:top w:val="nil"/>
              <w:left w:val="nil"/>
              <w:bottom w:val="single" w:sz="4" w:space="0" w:color="auto"/>
              <w:right w:val="single" w:sz="4" w:space="0" w:color="auto"/>
            </w:tcBorders>
            <w:shd w:val="clear" w:color="auto" w:fill="auto"/>
            <w:vAlign w:val="center"/>
            <w:hideMark/>
          </w:tcPr>
          <w:p w:rsidR="00DE7326" w:rsidRPr="00F13761" w:rsidRDefault="00DE7326" w:rsidP="00140BE2">
            <w:pPr>
              <w:spacing w:after="0"/>
              <w:jc w:val="center"/>
              <w:rPr>
                <w:rFonts w:cs="Times New Roman"/>
                <w:b/>
                <w:bCs/>
                <w:sz w:val="20"/>
                <w:szCs w:val="20"/>
              </w:rPr>
            </w:pPr>
            <w:r w:rsidRPr="00F13761">
              <w:rPr>
                <w:b/>
                <w:bCs/>
                <w:sz w:val="20"/>
                <w:szCs w:val="20"/>
              </w:rPr>
              <w:t>služby</w:t>
            </w:r>
          </w:p>
        </w:tc>
      </w:tr>
      <w:tr w:rsidR="00DE7326" w:rsidRPr="00F66EFD" w:rsidTr="00140BE2">
        <w:trPr>
          <w:trHeight w:val="31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DE7326" w:rsidRPr="00F66EFD" w:rsidRDefault="00DE7326" w:rsidP="002C40B2">
            <w:pPr>
              <w:spacing w:after="0"/>
              <w:jc w:val="left"/>
              <w:rPr>
                <w:rFonts w:cs="Times New Roman"/>
                <w:color w:val="000000"/>
                <w:sz w:val="20"/>
                <w:szCs w:val="20"/>
              </w:rPr>
            </w:pPr>
            <w:r w:rsidRPr="00F66EFD">
              <w:rPr>
                <w:rFonts w:cs="Times New Roman"/>
                <w:color w:val="000000"/>
                <w:sz w:val="20"/>
                <w:szCs w:val="20"/>
              </w:rPr>
              <w:t>Chemnitz</w:t>
            </w:r>
          </w:p>
        </w:tc>
        <w:tc>
          <w:tcPr>
            <w:tcW w:w="854" w:type="pct"/>
            <w:tcBorders>
              <w:top w:val="nil"/>
              <w:left w:val="nil"/>
              <w:bottom w:val="single" w:sz="4" w:space="0" w:color="auto"/>
              <w:right w:val="single" w:sz="4" w:space="0" w:color="auto"/>
            </w:tcBorders>
            <w:shd w:val="clear" w:color="auto" w:fill="auto"/>
            <w:noWrap/>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23 891,0</w:t>
            </w:r>
          </w:p>
        </w:tc>
        <w:tc>
          <w:tcPr>
            <w:tcW w:w="855" w:type="pct"/>
            <w:tcBorders>
              <w:top w:val="nil"/>
              <w:left w:val="nil"/>
              <w:bottom w:val="single" w:sz="4" w:space="0" w:color="auto"/>
              <w:right w:val="single" w:sz="4" w:space="0" w:color="auto"/>
            </w:tcBorders>
            <w:shd w:val="clear" w:color="auto" w:fill="auto"/>
            <w:noWrap/>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8,7</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1,6</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32,4</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66,0</w:t>
            </w:r>
          </w:p>
        </w:tc>
      </w:tr>
      <w:tr w:rsidR="00DE7326" w:rsidRPr="00F66EFD" w:rsidTr="00140BE2">
        <w:trPr>
          <w:trHeight w:val="31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DE7326" w:rsidRPr="00F66EFD" w:rsidRDefault="00DE7326" w:rsidP="002C40B2">
            <w:pPr>
              <w:spacing w:after="0"/>
              <w:jc w:val="left"/>
              <w:rPr>
                <w:rFonts w:cs="Times New Roman"/>
                <w:color w:val="000000"/>
                <w:sz w:val="20"/>
                <w:szCs w:val="20"/>
              </w:rPr>
            </w:pPr>
            <w:r w:rsidRPr="00F66EFD">
              <w:rPr>
                <w:rFonts w:cs="Times New Roman"/>
                <w:color w:val="000000"/>
                <w:sz w:val="20"/>
                <w:szCs w:val="20"/>
              </w:rPr>
              <w:t>Oberpfalz</w:t>
            </w:r>
          </w:p>
        </w:tc>
        <w:tc>
          <w:tcPr>
            <w:tcW w:w="854" w:type="pct"/>
            <w:tcBorders>
              <w:top w:val="nil"/>
              <w:left w:val="nil"/>
              <w:bottom w:val="single" w:sz="4" w:space="0" w:color="auto"/>
              <w:right w:val="single" w:sz="4" w:space="0" w:color="auto"/>
            </w:tcBorders>
            <w:shd w:val="clear" w:color="auto" w:fill="auto"/>
            <w:noWrap/>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35 162,0</w:t>
            </w:r>
          </w:p>
        </w:tc>
        <w:tc>
          <w:tcPr>
            <w:tcW w:w="855" w:type="pct"/>
            <w:tcBorders>
              <w:top w:val="nil"/>
              <w:left w:val="nil"/>
              <w:bottom w:val="single" w:sz="4" w:space="0" w:color="auto"/>
              <w:right w:val="single" w:sz="4" w:space="0" w:color="auto"/>
            </w:tcBorders>
            <w:shd w:val="clear" w:color="auto" w:fill="auto"/>
            <w:noWrap/>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3,1</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2,7</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33,6</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63,7</w:t>
            </w:r>
          </w:p>
        </w:tc>
      </w:tr>
      <w:tr w:rsidR="00DE7326" w:rsidRPr="00F66EFD" w:rsidTr="00140BE2">
        <w:trPr>
          <w:trHeight w:val="315"/>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DE7326" w:rsidRPr="00F66EFD" w:rsidRDefault="00DE7326" w:rsidP="002C40B2">
            <w:pPr>
              <w:spacing w:after="0"/>
              <w:jc w:val="left"/>
              <w:rPr>
                <w:rFonts w:cs="Times New Roman"/>
                <w:color w:val="000000"/>
                <w:sz w:val="20"/>
                <w:szCs w:val="20"/>
              </w:rPr>
            </w:pPr>
            <w:r w:rsidRPr="00F66EFD">
              <w:rPr>
                <w:rFonts w:cs="Times New Roman"/>
                <w:color w:val="000000"/>
                <w:sz w:val="20"/>
                <w:szCs w:val="20"/>
              </w:rPr>
              <w:t>Oberfranken</w:t>
            </w:r>
          </w:p>
        </w:tc>
        <w:tc>
          <w:tcPr>
            <w:tcW w:w="854" w:type="pct"/>
            <w:tcBorders>
              <w:top w:val="nil"/>
              <w:left w:val="nil"/>
              <w:bottom w:val="single" w:sz="4" w:space="0" w:color="auto"/>
              <w:right w:val="single" w:sz="4" w:space="0" w:color="auto"/>
            </w:tcBorders>
            <w:shd w:val="clear" w:color="auto" w:fill="auto"/>
            <w:noWrap/>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31 259,0</w:t>
            </w:r>
          </w:p>
        </w:tc>
        <w:tc>
          <w:tcPr>
            <w:tcW w:w="855" w:type="pct"/>
            <w:tcBorders>
              <w:top w:val="nil"/>
              <w:left w:val="nil"/>
              <w:bottom w:val="single" w:sz="4" w:space="0" w:color="auto"/>
              <w:right w:val="single" w:sz="4" w:space="0" w:color="auto"/>
            </w:tcBorders>
            <w:shd w:val="clear" w:color="auto" w:fill="auto"/>
            <w:noWrap/>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3,9</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1,8</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32,4</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65,8</w:t>
            </w:r>
          </w:p>
        </w:tc>
      </w:tr>
      <w:tr w:rsidR="00DE7326" w:rsidRPr="00F66EFD" w:rsidTr="00140BE2">
        <w:trPr>
          <w:trHeight w:val="300"/>
        </w:trPr>
        <w:tc>
          <w:tcPr>
            <w:tcW w:w="780" w:type="pct"/>
            <w:tcBorders>
              <w:top w:val="nil"/>
              <w:left w:val="single" w:sz="4" w:space="0" w:color="auto"/>
              <w:bottom w:val="single" w:sz="4" w:space="0" w:color="auto"/>
              <w:right w:val="single" w:sz="4" w:space="0" w:color="auto"/>
            </w:tcBorders>
            <w:shd w:val="clear" w:color="auto" w:fill="auto"/>
            <w:noWrap/>
            <w:vAlign w:val="center"/>
            <w:hideMark/>
          </w:tcPr>
          <w:p w:rsidR="00DE7326" w:rsidRPr="00F66EFD" w:rsidRDefault="00DE7326" w:rsidP="002C40B2">
            <w:pPr>
              <w:spacing w:after="0"/>
              <w:jc w:val="left"/>
              <w:rPr>
                <w:rFonts w:cs="Times New Roman"/>
                <w:color w:val="000000"/>
                <w:sz w:val="20"/>
                <w:szCs w:val="20"/>
              </w:rPr>
            </w:pPr>
            <w:r w:rsidRPr="00F66EFD">
              <w:rPr>
                <w:rFonts w:cs="Times New Roman"/>
                <w:color w:val="000000"/>
                <w:sz w:val="20"/>
                <w:szCs w:val="20"/>
              </w:rPr>
              <w:t>Karlovarský kraj</w:t>
            </w:r>
          </w:p>
        </w:tc>
        <w:tc>
          <w:tcPr>
            <w:tcW w:w="854" w:type="pct"/>
            <w:tcBorders>
              <w:top w:val="nil"/>
              <w:left w:val="nil"/>
              <w:bottom w:val="single" w:sz="4" w:space="0" w:color="auto"/>
              <w:right w:val="single" w:sz="4" w:space="0" w:color="auto"/>
            </w:tcBorders>
            <w:shd w:val="clear" w:color="auto" w:fill="auto"/>
            <w:noWrap/>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10 543,0</w:t>
            </w:r>
          </w:p>
        </w:tc>
        <w:tc>
          <w:tcPr>
            <w:tcW w:w="855"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Pr>
                <w:rFonts w:cs="Times New Roman"/>
                <w:color w:val="000000"/>
                <w:sz w:val="20"/>
                <w:szCs w:val="20"/>
              </w:rPr>
              <w:t>6,7</w:t>
            </w:r>
            <w:r w:rsidRPr="00F66EFD">
              <w:rPr>
                <w:rFonts w:cs="Times New Roman"/>
                <w:color w:val="000000"/>
                <w:sz w:val="20"/>
                <w:szCs w:val="20"/>
              </w:rPr>
              <w:t> </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1,8</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38,3</w:t>
            </w:r>
          </w:p>
        </w:tc>
        <w:tc>
          <w:tcPr>
            <w:tcW w:w="837" w:type="pct"/>
            <w:tcBorders>
              <w:top w:val="nil"/>
              <w:left w:val="nil"/>
              <w:bottom w:val="single" w:sz="4" w:space="0" w:color="auto"/>
              <w:right w:val="single" w:sz="4" w:space="0" w:color="auto"/>
            </w:tcBorders>
            <w:shd w:val="clear" w:color="auto" w:fill="auto"/>
            <w:vAlign w:val="center"/>
            <w:hideMark/>
          </w:tcPr>
          <w:p w:rsidR="00DE7326" w:rsidRPr="00F66EFD" w:rsidRDefault="00DE7326" w:rsidP="002C40B2">
            <w:pPr>
              <w:spacing w:after="0"/>
              <w:jc w:val="center"/>
              <w:rPr>
                <w:rFonts w:cs="Times New Roman"/>
                <w:color w:val="000000"/>
                <w:sz w:val="20"/>
                <w:szCs w:val="20"/>
              </w:rPr>
            </w:pPr>
            <w:r w:rsidRPr="00F66EFD">
              <w:rPr>
                <w:rFonts w:cs="Times New Roman"/>
                <w:color w:val="000000"/>
                <w:sz w:val="20"/>
                <w:szCs w:val="20"/>
              </w:rPr>
              <w:t>59,9</w:t>
            </w:r>
          </w:p>
        </w:tc>
      </w:tr>
    </w:tbl>
    <w:p w:rsidR="00DE7326" w:rsidRDefault="00DE7326" w:rsidP="002C40B2">
      <w:pPr>
        <w:spacing w:before="120" w:after="0"/>
        <w:rPr>
          <w:i/>
          <w:sz w:val="20"/>
          <w:szCs w:val="20"/>
        </w:rPr>
      </w:pPr>
      <w:r>
        <w:rPr>
          <w:i/>
          <w:sz w:val="20"/>
          <w:szCs w:val="20"/>
        </w:rPr>
        <w:t>Poznámka: ukazatel míry nezaměstnanosti za KVK je souhrnný za rok 2015</w:t>
      </w:r>
    </w:p>
    <w:p w:rsidR="00DE7326" w:rsidRPr="009C7B6A" w:rsidRDefault="00DE7326" w:rsidP="002C40B2">
      <w:pPr>
        <w:rPr>
          <w:i/>
          <w:sz w:val="20"/>
          <w:szCs w:val="20"/>
        </w:rPr>
      </w:pPr>
      <w:r w:rsidRPr="00962812">
        <w:rPr>
          <w:i/>
          <w:sz w:val="20"/>
          <w:szCs w:val="20"/>
        </w:rPr>
        <w:t>Zdro</w:t>
      </w:r>
      <w:r>
        <w:rPr>
          <w:i/>
          <w:sz w:val="20"/>
          <w:szCs w:val="20"/>
        </w:rPr>
        <w:t xml:space="preserve">je: </w:t>
      </w:r>
      <w:r w:rsidR="00A40B3B">
        <w:rPr>
          <w:i/>
          <w:sz w:val="20"/>
          <w:szCs w:val="20"/>
        </w:rPr>
        <w:t>ČSÚ -</w:t>
      </w:r>
      <w:r w:rsidRPr="00962812">
        <w:rPr>
          <w:i/>
          <w:sz w:val="20"/>
          <w:szCs w:val="20"/>
        </w:rPr>
        <w:t xml:space="preserve"> Statistická ročenka Karlovarského kraje 201</w:t>
      </w:r>
      <w:r>
        <w:rPr>
          <w:i/>
          <w:sz w:val="20"/>
          <w:szCs w:val="20"/>
        </w:rPr>
        <w:t>4</w:t>
      </w:r>
      <w:r w:rsidRPr="00962812">
        <w:rPr>
          <w:i/>
          <w:sz w:val="20"/>
          <w:szCs w:val="20"/>
        </w:rPr>
        <w:t>,</w:t>
      </w:r>
      <w:r>
        <w:rPr>
          <w:i/>
          <w:sz w:val="20"/>
          <w:szCs w:val="20"/>
        </w:rPr>
        <w:t xml:space="preserve"> Veřejná databáze, </w:t>
      </w:r>
      <w:r w:rsidRPr="00140BE2">
        <w:rPr>
          <w:rFonts w:eastAsia="Calibri"/>
          <w:i/>
          <w:sz w:val="20"/>
          <w:szCs w:val="20"/>
        </w:rPr>
        <w:t>http://www.regierung.oberpfalz.bayern.de/leistungen/landesplanung/statistik/oiz_kompakt.pdf</w:t>
      </w:r>
      <w:r>
        <w:rPr>
          <w:i/>
          <w:sz w:val="20"/>
          <w:szCs w:val="20"/>
        </w:rPr>
        <w:t xml:space="preserve">, Statistisches Landesamt des Freistaates Sachsen, Bayerisches Landesamt für Statistik und Datenverarbeitung und eigene Berechnungen, </w:t>
      </w:r>
      <w:r w:rsidRPr="009C7B6A">
        <w:rPr>
          <w:i/>
          <w:sz w:val="20"/>
          <w:szCs w:val="20"/>
        </w:rPr>
        <w:t>https://statistik.arbeitsagentur.de/Navigation/Statistik/Statistik-nach-Regionen/Politische-Gebietsstruktur-Nav.html</w:t>
      </w:r>
    </w:p>
    <w:p w:rsidR="00DE7326" w:rsidRDefault="00DE7326" w:rsidP="002C40B2">
      <w:r>
        <w:t>Z údajů</w:t>
      </w:r>
      <w:r w:rsidRPr="00AE46CF">
        <w:t xml:space="preserve"> je patrné, že </w:t>
      </w:r>
      <w:r w:rsidR="00BA1359">
        <w:t>KK</w:t>
      </w:r>
      <w:r w:rsidRPr="00AE46CF">
        <w:t xml:space="preserve"> se od sousedních německých regionů liší zejména nízkým HDP na obyvatele</w:t>
      </w:r>
      <w:r>
        <w:t>. Zatímco bavorské regiony měly v roce 2015 přibližně poloviční míru nezaměstnanosti než KK, má region Chemnitz míru nezaměstnanosti ještě o 2 % vyšší</w:t>
      </w:r>
      <w:r w:rsidR="002318F7">
        <w:t xml:space="preserve"> než KK</w:t>
      </w:r>
      <w:r>
        <w:t xml:space="preserve">. Nejlépe je na tom ze srovnávaných regionů region Oberpfalz, což </w:t>
      </w:r>
      <w:r w:rsidRPr="00AE46CF">
        <w:t>dokládá nejvyšší dosažená úroveň hrubého domácího produktu na obyvatele a nejnižší míra nezaměstnanosti.</w:t>
      </w:r>
      <w:r>
        <w:t xml:space="preserve"> Oproti ostatním má navíc tento region více zaměstnaných v primárním sektoru a oproti německým sousedům i v průmyslu a stavebnictví. </w:t>
      </w:r>
      <w:r w:rsidRPr="00AE46CF">
        <w:t>Výrazně horší pozice regionu Chemnitz v porovnání s oběma německými regiony se projevuje zejména vysokou mírou nezaměstnanosti a nízkou úrovní HDP na obyvatele. Nezaměstnanost ve strukturálně postiženém Chemnitz dokonce převyšuje hodnoty v Karlovarském kraji, které jsou jed</w:t>
      </w:r>
      <w:r>
        <w:t xml:space="preserve">ny z nejhorších v celém Česku. </w:t>
      </w:r>
      <w:r w:rsidRPr="00AE46CF">
        <w:t>Ve všech regionech se průmysl podílí na hrubé přidané hodnotě v porovnání s národními průměry nad</w:t>
      </w:r>
      <w:r w:rsidR="00CD265D">
        <w:t xml:space="preserve">průměrně a služby podprůměrně. </w:t>
      </w:r>
    </w:p>
    <w:p w:rsidR="006D5774" w:rsidRDefault="00DC4FC4" w:rsidP="002C40B2">
      <w:r>
        <w:t>V bavorské</w:t>
      </w:r>
      <w:r w:rsidRPr="00B44EA7">
        <w:t xml:space="preserve"> část</w:t>
      </w:r>
      <w:r>
        <w:t>i je</w:t>
      </w:r>
      <w:r w:rsidRPr="00B44EA7">
        <w:t xml:space="preserve"> nejvýznamnější zastoupení zpracovatelského průmyslu a podle ekonomické výkonnosti lze předpokládat, že se jedná o průmysl nejrozvinutější, s vysokou přidanou hodnotou. Jedná se také o klíčovou oblast zna</w:t>
      </w:r>
      <w:r>
        <w:t xml:space="preserve">lostní ekonomiky celého území. </w:t>
      </w:r>
      <w:r w:rsidR="00BA1359">
        <w:t>KK</w:t>
      </w:r>
      <w:r w:rsidRPr="00B44EA7">
        <w:t xml:space="preserve"> je hospodářsky nejslabší částí sledovaného území</w:t>
      </w:r>
      <w:r>
        <w:t xml:space="preserve"> a</w:t>
      </w:r>
      <w:r w:rsidRPr="00B44EA7">
        <w:t xml:space="preserve"> nejméně průmyslovou. Podle </w:t>
      </w:r>
      <w:r>
        <w:t>vý</w:t>
      </w:r>
      <w:r w:rsidRPr="00B44EA7">
        <w:t xml:space="preserve">konnosti znalostní ekonomiky je kraj blízký sledovaným okresům v nových spolkových zemích. V průmyslové struktuře </w:t>
      </w:r>
      <w:r w:rsidR="00BA1359">
        <w:t>KK</w:t>
      </w:r>
      <w:r w:rsidRPr="00B44EA7">
        <w:t xml:space="preserve"> je velký podíl podniků, které jsou na nižším stupni globálních hodnotových řetězců, těsně napojených na silnější partnery, nejčastěji z Německa. Saská část sledov</w:t>
      </w:r>
      <w:r>
        <w:t>aného území je nejprůmyslovější</w:t>
      </w:r>
      <w:r w:rsidRPr="00B44EA7">
        <w:t xml:space="preserve"> </w:t>
      </w:r>
      <w:r>
        <w:t xml:space="preserve">a </w:t>
      </w:r>
      <w:r w:rsidRPr="00B44EA7">
        <w:t xml:space="preserve">nejrychleji hospodářsky rostoucí, avšak se znalostní ekonomikou spíše na úrovni </w:t>
      </w:r>
      <w:r w:rsidR="00BA1359">
        <w:t>KK</w:t>
      </w:r>
      <w:r>
        <w:t xml:space="preserve"> či nižší</w:t>
      </w:r>
      <w:r w:rsidR="006D5774">
        <w:t>. (Strategie rozvoje zaměstnanosti Karlovarského kraje 2015)</w:t>
      </w:r>
    </w:p>
    <w:p w:rsidR="00DC4FC4" w:rsidRDefault="006D5774" w:rsidP="002C40B2">
      <w:r w:rsidRPr="00B44EA7">
        <w:t>Vzájemné vazby mezi třemi sledovanými příhraničními oblastmi jsou jednosměrně orientované, např. export a omezená dojížďka za prací směřují z </w:t>
      </w:r>
      <w:r w:rsidR="00231B39">
        <w:t>KK</w:t>
      </w:r>
      <w:r w:rsidRPr="00B44EA7">
        <w:t xml:space="preserve"> do Německých území,</w:t>
      </w:r>
      <w:r w:rsidR="00231B39">
        <w:t xml:space="preserve"> přičemž</w:t>
      </w:r>
      <w:r w:rsidRPr="00B44EA7">
        <w:t xml:space="preserve"> </w:t>
      </w:r>
      <w:r>
        <w:t>B</w:t>
      </w:r>
      <w:r w:rsidRPr="00B44EA7">
        <w:t xml:space="preserve">avorsko a bavorské </w:t>
      </w:r>
      <w:r w:rsidRPr="00B44EA7">
        <w:lastRenderedPageBreak/>
        <w:t>příhraničí jsou v tomto směru důležitější než saské. Investice jsou směřovány opačně. Německé investice přicházely do </w:t>
      </w:r>
      <w:r w:rsidR="00231B39">
        <w:t>KK</w:t>
      </w:r>
      <w:r w:rsidRPr="00B44EA7">
        <w:t xml:space="preserve"> zejména kvůli nízkým výrobním nákladům (ceně pracovní síly), výrobní firmy v kraji jsou značně závislé na německé poptávce (mající často povahu jednoduché zakázkové výroby s malou přidanou hodnotou a malou vlastní autonomií), což obojí přispělo k tomu, že firmy v </w:t>
      </w:r>
      <w:r w:rsidR="00231B39">
        <w:t>KK</w:t>
      </w:r>
      <w:r w:rsidRPr="00B44EA7">
        <w:t xml:space="preserve"> jsou obvykle zapojeny do globálních produkčních sítí na nejnižších stupních. Rostoucí náklady, málo intenzivní lokální vazby a rostoucí konkurence z levných (východoevropských či asijských) zemí zmenšují výhody německých firem z jejich lokalizace v </w:t>
      </w:r>
      <w:r w:rsidR="00231B39">
        <w:t>KK</w:t>
      </w:r>
      <w:r w:rsidRPr="00B44EA7">
        <w:t>. Krajská ekonomika je v důsledku toho ohrožena odchodem německých firem do levnějších zemí nebo jejich návratem zpět do Německa</w:t>
      </w:r>
      <w:r>
        <w:t>,</w:t>
      </w:r>
      <w:r w:rsidRPr="00B44EA7">
        <w:t xml:space="preserve"> kde je stabilnější institu</w:t>
      </w:r>
      <w:r>
        <w:t xml:space="preserve">cionální a politické prostředí. </w:t>
      </w:r>
      <w:r w:rsidRPr="00B44EA7">
        <w:t xml:space="preserve">Pro lokalizaci nových podnikových funkcí nebo nových, kvalitnějších investic, je </w:t>
      </w:r>
      <w:r w:rsidR="00231B39">
        <w:t xml:space="preserve">v KK </w:t>
      </w:r>
      <w:r w:rsidRPr="00B44EA7">
        <w:t xml:space="preserve">nutné vytvořit </w:t>
      </w:r>
      <w:r>
        <w:t xml:space="preserve">dostatečně atraktivní podmínky. </w:t>
      </w:r>
      <w:r w:rsidR="00DC4FC4">
        <w:t xml:space="preserve">(Strategie rozvoje zaměstnanosti </w:t>
      </w:r>
      <w:r>
        <w:t>Karlovarského kraje 2015)</w:t>
      </w:r>
    </w:p>
    <w:p w:rsidR="00DE7326" w:rsidRPr="00DC4FC4" w:rsidRDefault="00D12D2C" w:rsidP="002C40B2">
      <w:r w:rsidRPr="00DC4FC4">
        <w:t>Z důvodu velké rozlohy</w:t>
      </w:r>
      <w:r w:rsidR="00DE7326" w:rsidRPr="00DC4FC4">
        <w:t xml:space="preserve"> německých regionů a potřeby vzájemného srovnání, budou dále analyzovány údaje za německé regiony (NUTS 3), které s Karlovarským krajem přímo sousedí: Erzgebirgskreis a Vogtlandkreis v Sasku a tři bavorské regiony Hof, </w:t>
      </w:r>
      <w:r w:rsidR="00DE7326" w:rsidRPr="00DC4FC4">
        <w:rPr>
          <w:bCs/>
        </w:rPr>
        <w:t>Wunsiedel im Fichtelgebirge a </w:t>
      </w:r>
      <w:r w:rsidR="00DE7326" w:rsidRPr="00DC4FC4">
        <w:t>Tirschenreuth.</w:t>
      </w:r>
    </w:p>
    <w:p w:rsidR="00DE7326" w:rsidRPr="00DC4FC4" w:rsidRDefault="00DE7326" w:rsidP="002C40B2">
      <w:r w:rsidRPr="00DC4FC4">
        <w:rPr>
          <w:b/>
        </w:rPr>
        <w:t>V saských regionech</w:t>
      </w:r>
      <w:r w:rsidRPr="00DC4FC4">
        <w:t xml:space="preserve">, které sousedí s Karlovarským krajem, žije více než 600 tis. obyvatel. Ve srovnání s Karlovarským krajem je zde tedy výrazně vyšší hustota zalidnění. </w:t>
      </w:r>
    </w:p>
    <w:p w:rsidR="00DE7326" w:rsidRPr="00DC4FC4" w:rsidRDefault="00DE7326" w:rsidP="002C40B2">
      <w:r w:rsidRPr="00DC4FC4">
        <w:t xml:space="preserve">Region Erzgebirgskreis je v porovnání s ostatními saskými regiony charakteristický zejména nadprůměrným zaměřením na průmysl, i když zaměstnanost v průmyslu v porovnání s bavorskými regiony není nejvyšší. Uvedená skutečnost souvisí s tradičním zaměřením tohoto regionu na hornictví. V dnešní době má význam zejména výroba strojů, strojírenství a elektrotechnika. </w:t>
      </w:r>
    </w:p>
    <w:p w:rsidR="00DE7326" w:rsidRPr="00DC4FC4" w:rsidRDefault="00DE7326" w:rsidP="002C40B2">
      <w:r w:rsidRPr="00DC4FC4">
        <w:t xml:space="preserve">Významné postavení mají v regionu díky přírodním podmínkám cestovní ruch a turistika, které jsou ještě více důležité pro sousední Vogtlandkreis. Tento region těží zejména z vhodných přírodních podmínek umožňujících jednak rozvoj lázeňství (lázně Bad Elster a Bad Brambach) a dále provozování zimních sportů a horské turistiky. Rozvinutá je zde výroba hudebních nástrojů, v oblasti města Plauen textilní průmysl a dopravní strojírenství. </w:t>
      </w:r>
    </w:p>
    <w:p w:rsidR="00DE7326" w:rsidRPr="00DC4FC4" w:rsidRDefault="00DE7326" w:rsidP="002C40B2">
      <w:r w:rsidRPr="00DC4FC4">
        <w:rPr>
          <w:b/>
        </w:rPr>
        <w:t>Bavorské regiony</w:t>
      </w:r>
      <w:r w:rsidRPr="00DC4FC4">
        <w:t xml:space="preserve"> sousedící s Karlovarským krajem jsou svým hospodářským zaměřením značně odlišné, i když zde většinou můžeme hovořit o dominanci průmyslu. </w:t>
      </w:r>
    </w:p>
    <w:p w:rsidR="00DE7326" w:rsidRPr="00DC4FC4" w:rsidRDefault="00DE7326" w:rsidP="002C40B2">
      <w:r w:rsidRPr="00DC4FC4">
        <w:t xml:space="preserve">Právě region Hof v obvodu Oberfranken, který má s Karlovarským krajem hranici dlouhou pouhých 25 km a jeho centrum tvoří stejnojmenné město, je charakteristický nadprůměrnou zaměstnaností v průmyslu. Mezi důležitá odvětví patří zejména textilní a oděvní průmysl, ve kterém se řadí k předním místům v celém Německu. Dále je zde významná výroba plastů a stavebnictví. V samotném městě Hof se dále rozvíjí pivovarnictví, logistika a automobilový průmysl. </w:t>
      </w:r>
    </w:p>
    <w:p w:rsidR="00DE7326" w:rsidRPr="00DC4FC4" w:rsidRDefault="00DE7326" w:rsidP="002C40B2">
      <w:pPr>
        <w:rPr>
          <w:bCs/>
        </w:rPr>
      </w:pPr>
      <w:r w:rsidRPr="00DC4FC4">
        <w:t xml:space="preserve">Hospodářství sousedního regionu </w:t>
      </w:r>
      <w:r w:rsidRPr="00DC4FC4">
        <w:rPr>
          <w:bCs/>
        </w:rPr>
        <w:t xml:space="preserve">Wunsiedel im Fichtelgebirge je také zaměřeno na průmysl, zejména chemický, oděvní, keramický, sklářský a stavebnictví. Tradiční je pro tento region výroba keramiky a porcelánu. </w:t>
      </w:r>
    </w:p>
    <w:p w:rsidR="00DE7326" w:rsidRPr="00DC4FC4" w:rsidRDefault="00DE7326" w:rsidP="002C40B2">
      <w:r w:rsidRPr="00DC4FC4">
        <w:rPr>
          <w:bCs/>
        </w:rPr>
        <w:t>Obdobně p</w:t>
      </w:r>
      <w:r w:rsidRPr="00DC4FC4">
        <w:t xml:space="preserve">ro region Tirschenreuth v obvodu Oberpfalz je významný keramický a sklářský průmysl, který zde má dlouhou historii. Tento region je skoro z poloviny zalesněný, a tak zde </w:t>
      </w:r>
      <w:r w:rsidR="00DC4FC4" w:rsidRPr="00DC4FC4">
        <w:t>významnou roli hraje lesnictví.</w:t>
      </w:r>
    </w:p>
    <w:p w:rsidR="006D5774" w:rsidRPr="006D5774" w:rsidRDefault="00DE7326" w:rsidP="002C40B2">
      <w:r w:rsidRPr="006D5774">
        <w:lastRenderedPageBreak/>
        <w:t xml:space="preserve">Bavorské okresy Hof (město i okres) a Wunsiedel im Fichtelgebirge jsou ve sledovaném území nejrozvinutější nejen hospodářsky, ale i podle inovační výkonnosti a podle významu znalostní složky ekonomiky. Tvorbu výzkumných výstupů a inovací pozitivně ovlivňuje Hochschule Hof, přestože se nejedná o pracoviště excelence. </w:t>
      </w:r>
      <w:r w:rsidR="006D5774" w:rsidRPr="006D5774">
        <w:t>I přes různou inovační výkonnost a rozdílné inovační zaměření sledovaných území v Bavorsku, Karlo</w:t>
      </w:r>
      <w:r w:rsidR="006D5774">
        <w:t xml:space="preserve">varském kraji a Sasku, </w:t>
      </w:r>
      <w:r w:rsidR="006D5774" w:rsidRPr="006D5774">
        <w:t>existuje v oborech jako je ICT a high-tech určitý potenciál pro spolupráci mezi Karlovarským krajem a bavorskými okresy a v oboru lidských potřeb mezi saskou a bavorskou částí.</w:t>
      </w:r>
      <w:r w:rsidR="006D5774">
        <w:t xml:space="preserve"> (Strategie rozvoje zaměstnanosti Karlovarského kraje 2015)</w:t>
      </w:r>
    </w:p>
    <w:p w:rsidR="006D5774" w:rsidRDefault="00D30EDA" w:rsidP="002C40B2">
      <w:r>
        <w:t xml:space="preserve">V </w:t>
      </w:r>
      <w:r w:rsidR="00DE7326" w:rsidRPr="00B44EA7">
        <w:t xml:space="preserve">oblasti </w:t>
      </w:r>
      <w:r w:rsidR="00DE7326" w:rsidRPr="00016F74">
        <w:rPr>
          <w:b/>
        </w:rPr>
        <w:t xml:space="preserve">cestovního ruchu </w:t>
      </w:r>
      <w:r>
        <w:t>má n</w:t>
      </w:r>
      <w:r w:rsidR="00DE7326" w:rsidRPr="007D3EA7">
        <w:rPr>
          <w:b/>
        </w:rPr>
        <w:t>ejvyšší návštěvnost Karlovarský kraj, a to díky lázeňství</w:t>
      </w:r>
      <w:r w:rsidR="00DE7326" w:rsidRPr="00B44EA7">
        <w:t xml:space="preserve"> (60</w:t>
      </w:r>
      <w:r w:rsidR="00DE7326">
        <w:t xml:space="preserve"> </w:t>
      </w:r>
      <w:r w:rsidR="00DE7326" w:rsidRPr="00B44EA7">
        <w:t xml:space="preserve">% celkové návštěvnosti). Kraj je příliš závislý na jednom druhu cestovního ruchu, přestože se zde nachází mnoho dalších atraktivit, které jsou využívány málo a neefektivně. Velmi podobná je situace </w:t>
      </w:r>
      <w:r w:rsidR="00DE7326">
        <w:t xml:space="preserve">i </w:t>
      </w:r>
      <w:r w:rsidR="00DE7326" w:rsidRPr="00B44EA7">
        <w:t>v sousedním Sasku. Návštěvnost tohoto regionu je navíc výrazně nižší než návštěvnost Karlovarského kraje, přestože množství, významnost a rozmístění atraktivit v obou územích j</w:t>
      </w:r>
      <w:r w:rsidR="00DE7326">
        <w:t>sou</w:t>
      </w:r>
      <w:r w:rsidR="00DE7326" w:rsidRPr="00B44EA7">
        <w:t xml:space="preserve"> velmi podobné a to včetně existence lázní a jejich kapacity. Za nejméně rozvinutý turistický region lze pak považovat Bavorsko, které přes srovnatelnou nabídku s regiony Saska a Karlovarského regionu dosahuje třetinové úrovně návštěvnosti.</w:t>
      </w:r>
      <w:r>
        <w:t xml:space="preserve"> </w:t>
      </w:r>
      <w:r w:rsidR="00DE7326" w:rsidRPr="00B44EA7">
        <w:t xml:space="preserve">Ve všech případech tak lze konstatovat, že </w:t>
      </w:r>
      <w:r w:rsidR="00DE7326" w:rsidRPr="007D3EA7">
        <w:rPr>
          <w:b/>
        </w:rPr>
        <w:t>potenciál pro rozvoj cestovního ruchu není využíván dostatečně efektivně</w:t>
      </w:r>
      <w:r w:rsidR="00DE7326" w:rsidRPr="00B44EA7">
        <w:t xml:space="preserve"> a zejména v příhraničních a venkovských částech území by mohl představovat alternativu pro částečné ekonomické oživení daného území. Za zcela nedostačující lze považovat propojenost na úrovni společných produktových balíčků a nabídek (destinačních managementů), která v území v podstatě neexistuje. </w:t>
      </w:r>
      <w:r w:rsidR="00DE7326">
        <w:t>Vzájemná p</w:t>
      </w:r>
      <w:r w:rsidR="00DE7326" w:rsidRPr="00B44EA7">
        <w:t xml:space="preserve">ropojenost </w:t>
      </w:r>
      <w:r w:rsidR="00DE7326">
        <w:t xml:space="preserve">obou </w:t>
      </w:r>
      <w:r w:rsidR="00DE7326" w:rsidRPr="00B44EA7">
        <w:t xml:space="preserve">území je tak minimální, a to i přesto, že </w:t>
      </w:r>
      <w:r w:rsidR="00DE7326">
        <w:t xml:space="preserve">by </w:t>
      </w:r>
      <w:r w:rsidR="00DE7326" w:rsidRPr="00B44EA7">
        <w:t xml:space="preserve">mohla přispět k výraznému zvýšení konkurenceschopnosti nabídek na obou stranách hranice. </w:t>
      </w:r>
      <w:r>
        <w:t>(Strategie rozvoje zaměstnanosti Karlovarského kraje 2015)</w:t>
      </w:r>
    </w:p>
    <w:p w:rsidR="006D5774" w:rsidRDefault="006D5774" w:rsidP="002C40B2">
      <w:r w:rsidRPr="00DC4FC4">
        <w:t>Srovnání Karlovarského kraje se sousedními německými regiony ukázalo zejména na přetrvávající rozdíly mezi bývalým Východním a Západním Německem, což se projevuje zejména v úrovni HDP a problémech s vysokou mírou nezaměstnanosti v saských regionech. Přes problematickou situaci Karlovarského kraje z pohledu míry nezaměstnanosti a výkonnosti ekonomiky kraj dosahuje v některých případech lepších výsledků než sousední saské regiony. Zaostávání Karlovarského kraje za bavorskými regiony nelze v žádném případě brát jako nevýhodu, naopak je to pro kraj velká příležitost pro napojení se na fungující ekonomické a sociální struktury. Převážně průmyslové zaměření blízkých regionů je dobrým předpokladem pro navazování spolupráce na úrovni subdodavatelských vztahů. Nezanedbatelný potenciál má Karlovarský kraj ve sféře cestovního ruchu a zdravotní péče, zejména lázeňství a kongresového cestovního ruchu. Vyšší zaměření na německé návštěvníky a cílená propagace a podpora možností ekonomické spolupráce může být impulsem pro regionální rozvoj Karlovarského kraje.</w:t>
      </w:r>
      <w:r w:rsidRPr="00AE46CF">
        <w:t xml:space="preserve"> </w:t>
      </w:r>
    </w:p>
    <w:p w:rsidR="005959F2" w:rsidRPr="00AE46CF" w:rsidRDefault="005959F2" w:rsidP="002C40B2">
      <w:pPr>
        <w:pStyle w:val="Nadpis3"/>
        <w:spacing w:line="276" w:lineRule="auto"/>
      </w:pPr>
      <w:r w:rsidRPr="00AE46CF">
        <w:t>Literatura:</w:t>
      </w:r>
    </w:p>
    <w:p w:rsidR="008E380E" w:rsidRDefault="008E380E" w:rsidP="002C40B2">
      <w:r w:rsidRPr="00AE46CF">
        <w:t>ČSÚ.</w:t>
      </w:r>
      <w:r>
        <w:t xml:space="preserve"> </w:t>
      </w:r>
      <w:r w:rsidRPr="0018538F">
        <w:rPr>
          <w:i/>
        </w:rPr>
        <w:t>Statistická ročenka Karlovarského kraje 2015</w:t>
      </w:r>
      <w:r>
        <w:rPr>
          <w:i/>
        </w:rPr>
        <w:t xml:space="preserve"> </w:t>
      </w:r>
      <w:r w:rsidRPr="0018538F">
        <w:rPr>
          <w:color w:val="000000"/>
        </w:rPr>
        <w:t>[online]</w:t>
      </w:r>
      <w:r w:rsidRPr="0018538F">
        <w:rPr>
          <w:bCs/>
          <w:i/>
        </w:rPr>
        <w:t>.</w:t>
      </w:r>
      <w:r>
        <w:rPr>
          <w:bCs/>
        </w:rPr>
        <w:t xml:space="preserve"> 2015.</w:t>
      </w:r>
      <w:r w:rsidRPr="0018538F">
        <w:t xml:space="preserve"> </w:t>
      </w:r>
      <w:r>
        <w:rPr>
          <w:bCs/>
        </w:rPr>
        <w:t>Dostupné z:</w:t>
      </w:r>
      <w:r>
        <w:t xml:space="preserve"> </w:t>
      </w:r>
      <w:hyperlink r:id="rId202" w:history="1">
        <w:r w:rsidRPr="00EA7742">
          <w:rPr>
            <w:rStyle w:val="Hypertextovodkaz"/>
          </w:rPr>
          <w:t>https://www.czso.cz/csu/czso/statisticka-rocenka-karlovarskeho-kraje-2015</w:t>
        </w:r>
      </w:hyperlink>
      <w:r>
        <w:t>.</w:t>
      </w:r>
    </w:p>
    <w:p w:rsidR="008E380E" w:rsidRDefault="008E380E" w:rsidP="002C40B2">
      <w:pPr>
        <w:rPr>
          <w:bCs/>
        </w:rPr>
      </w:pPr>
      <w:r w:rsidRPr="006D7A6B">
        <w:rPr>
          <w:bCs/>
        </w:rPr>
        <w:t xml:space="preserve">ČSÚ. </w:t>
      </w:r>
      <w:r w:rsidRPr="006D7A6B">
        <w:rPr>
          <w:i/>
        </w:rPr>
        <w:t>Vývoj obyvatelstva České republiky</w:t>
      </w:r>
      <w:r w:rsidRPr="006D7A6B">
        <w:t xml:space="preserve"> v roce - 2015 </w:t>
      </w:r>
      <w:r w:rsidRPr="006D7A6B">
        <w:rPr>
          <w:color w:val="000000"/>
        </w:rPr>
        <w:t>[online]</w:t>
      </w:r>
      <w:r w:rsidRPr="006D7A6B">
        <w:rPr>
          <w:bCs/>
          <w:i/>
        </w:rPr>
        <w:t>.</w:t>
      </w:r>
      <w:r w:rsidRPr="006D7A6B">
        <w:rPr>
          <w:bCs/>
        </w:rPr>
        <w:t xml:space="preserve"> 2016.</w:t>
      </w:r>
      <w:r w:rsidRPr="006D7A6B">
        <w:t xml:space="preserve"> </w:t>
      </w:r>
      <w:r w:rsidRPr="006D7A6B">
        <w:rPr>
          <w:bCs/>
        </w:rPr>
        <w:t>Dostupné z:</w:t>
      </w:r>
      <w:r w:rsidRPr="006D7A6B">
        <w:t xml:space="preserve"> </w:t>
      </w:r>
      <w:hyperlink r:id="rId203" w:history="1">
        <w:r w:rsidRPr="006D7A6B">
          <w:rPr>
            <w:rStyle w:val="Hypertextovodkaz"/>
            <w:bCs/>
          </w:rPr>
          <w:t>https://www.czso.cz/csu/czso/vyvoj-obyvatelstva-ceske-republiky</w:t>
        </w:r>
      </w:hyperlink>
      <w:r w:rsidRPr="006D7A6B">
        <w:rPr>
          <w:bCs/>
        </w:rPr>
        <w:t>.</w:t>
      </w:r>
    </w:p>
    <w:p w:rsidR="008E380E" w:rsidRDefault="008E380E" w:rsidP="002C40B2">
      <w:pPr>
        <w:autoSpaceDE w:val="0"/>
        <w:autoSpaceDN w:val="0"/>
        <w:adjustRightInd w:val="0"/>
      </w:pPr>
      <w:r>
        <w:rPr>
          <w:szCs w:val="20"/>
        </w:rPr>
        <w:t xml:space="preserve">KÚKK. </w:t>
      </w:r>
      <w:r w:rsidRPr="006D7A6B">
        <w:rPr>
          <w:i/>
          <w:szCs w:val="20"/>
        </w:rPr>
        <w:t>Strategie rozvoje zaměstnanosti Karlovarského kraje</w:t>
      </w:r>
      <w:r>
        <w:rPr>
          <w:szCs w:val="20"/>
        </w:rPr>
        <w:t xml:space="preserve"> </w:t>
      </w:r>
      <w:r w:rsidRPr="00D854CC">
        <w:rPr>
          <w:color w:val="000000"/>
        </w:rPr>
        <w:t>[online].</w:t>
      </w:r>
      <w:r>
        <w:t xml:space="preserve"> 2015. </w:t>
      </w:r>
      <w:r w:rsidRPr="00D854CC">
        <w:t>Dostupné z:</w:t>
      </w:r>
      <w:r>
        <w:t xml:space="preserve"> </w:t>
      </w:r>
      <w:hyperlink r:id="rId204" w:history="1">
        <w:r w:rsidRPr="00E75A51">
          <w:rPr>
            <w:rStyle w:val="Hypertextovodkaz"/>
          </w:rPr>
          <w:t>http://www.karp-kv.cz/cz/Documents/SRZKK_final_09_2015.pdf</w:t>
        </w:r>
      </w:hyperlink>
      <w:r>
        <w:t>.</w:t>
      </w:r>
    </w:p>
    <w:p w:rsidR="00DE7326" w:rsidRPr="00140BE2" w:rsidRDefault="008E380E" w:rsidP="00140BE2">
      <w:pPr>
        <w:autoSpaceDE w:val="0"/>
        <w:autoSpaceDN w:val="0"/>
        <w:adjustRightInd w:val="0"/>
        <w:rPr>
          <w:szCs w:val="20"/>
        </w:rPr>
      </w:pPr>
      <w:r w:rsidRPr="005959F2">
        <w:rPr>
          <w:szCs w:val="20"/>
        </w:rPr>
        <w:t>KÚKK.</w:t>
      </w:r>
      <w:r>
        <w:rPr>
          <w:i/>
          <w:szCs w:val="20"/>
        </w:rPr>
        <w:t xml:space="preserve"> </w:t>
      </w:r>
      <w:r w:rsidRPr="005959F2">
        <w:rPr>
          <w:i/>
          <w:szCs w:val="20"/>
        </w:rPr>
        <w:t>Zásady územního rozvoje Karlovarského kraje (ZÚR)</w:t>
      </w:r>
      <w:r>
        <w:rPr>
          <w:szCs w:val="20"/>
        </w:rPr>
        <w:t>.</w:t>
      </w:r>
      <w:r w:rsidRPr="00AE46CF">
        <w:rPr>
          <w:szCs w:val="20"/>
        </w:rPr>
        <w:t xml:space="preserve"> 2010.</w:t>
      </w:r>
      <w:r w:rsidR="00DE7326">
        <w:br w:type="page"/>
      </w:r>
    </w:p>
    <w:p w:rsidR="00DE7326" w:rsidRPr="0028464F" w:rsidRDefault="008F1231" w:rsidP="00094A5B">
      <w:pPr>
        <w:pStyle w:val="Nadpis1"/>
      </w:pPr>
      <w:r w:rsidRPr="008F1231">
        <w:lastRenderedPageBreak/>
        <w:t xml:space="preserve"> </w:t>
      </w:r>
      <w:bookmarkStart w:id="479" w:name="_Toc488233406"/>
      <w:r w:rsidR="002F684C" w:rsidRPr="002F684C">
        <w:t>Bezpečnostní infrastruktura</w:t>
      </w:r>
      <w:bookmarkEnd w:id="479"/>
    </w:p>
    <w:p w:rsidR="00397417" w:rsidRPr="00397417" w:rsidRDefault="00397417" w:rsidP="002C40B2">
      <w:r w:rsidRPr="00397417">
        <w:t>Karlovarský kraj pečuje o komplexní rozvoj území kraje</w:t>
      </w:r>
      <w:r w:rsidR="0028464F">
        <w:t xml:space="preserve"> a</w:t>
      </w:r>
      <w:r w:rsidRPr="00397417">
        <w:t xml:space="preserve"> nedílnou součástí je zajištění bezpečnosti a atraktivity kraje pro jeho obyvatele. Oblast bezpečnosti a bezpečnostní problematika je proto nedílnou součástí strategií, plánů rozvoje a dalších aktivit kraje.</w:t>
      </w:r>
    </w:p>
    <w:p w:rsidR="00397417" w:rsidRPr="00397417" w:rsidRDefault="00397417" w:rsidP="002C40B2">
      <w:r w:rsidRPr="00397417">
        <w:t xml:space="preserve">Úkolem orgánů samosprávy je podílet se na zajišťování bezpečnosti občanů. Bezpečnost na území Karlovarského kraje je založena na principu zajištění bezpečnosti jednotlivce, ochrany jeho života, zdraví a majetku, institucí veřejné správy včetně jejich funkčnosti a zachování životního prostředí a ochrany kulturního dědictví. </w:t>
      </w:r>
    </w:p>
    <w:p w:rsidR="00397417" w:rsidRPr="00397417" w:rsidRDefault="00397417" w:rsidP="002C40B2">
      <w:r w:rsidRPr="00397417">
        <w:t xml:space="preserve">Orgány kraje, jako institucionální součást bezpečnostního systému, plní úlohy dané jednak svým právně stanoveným podílem (přenesená působnost) a zároveň, na základě svých specifických podmínek, analyzují bezpečnostní problematiku svého regionu, vytvářejí příslušné koncepce a strategie, které implementují jak do strategického, tak do běžného řízení kraje (samostatná působnost), a to zejména v souladu s </w:t>
      </w:r>
      <w:r w:rsidR="002F684C" w:rsidRPr="002F684C">
        <w:rPr>
          <w:i/>
        </w:rPr>
        <w:t>Bezpečnostní strategií ČR</w:t>
      </w:r>
      <w:r w:rsidRPr="00397417">
        <w:t xml:space="preserve">. </w:t>
      </w:r>
    </w:p>
    <w:p w:rsidR="00397417" w:rsidRPr="00397417" w:rsidRDefault="00397417" w:rsidP="002C40B2">
      <w:pPr>
        <w:pStyle w:val="Nadpis2"/>
        <w:rPr>
          <w:rFonts w:ascii="Calibri" w:hAnsi="Calibri"/>
        </w:rPr>
      </w:pPr>
      <w:r w:rsidRPr="00397417">
        <w:rPr>
          <w:rFonts w:ascii="Calibri" w:hAnsi="Calibri"/>
        </w:rPr>
        <w:t>Bezpečnostní systém Karlovarského kraje</w:t>
      </w:r>
    </w:p>
    <w:p w:rsidR="00397417" w:rsidRPr="00397417" w:rsidRDefault="00397417" w:rsidP="002C40B2">
      <w:r w:rsidRPr="00397417">
        <w:t xml:space="preserve">Bezpečnostní systém je tvořen prvky disponujícími příslušnými kompetencemi stanovenými platnými zákony. Tyto prvky jsou centrálně řízeny a koordinovány, případně na jednotlivých úrovních působí </w:t>
      </w:r>
      <w:r w:rsidR="0088169E">
        <w:br/>
      </w:r>
      <w:r w:rsidRPr="00397417">
        <w:t>i samostatně v rozsahu své působnosti.</w:t>
      </w:r>
    </w:p>
    <w:p w:rsidR="00397417" w:rsidRPr="00397417" w:rsidRDefault="00397417" w:rsidP="002C40B2">
      <w:r w:rsidRPr="00397417">
        <w:t xml:space="preserve">Musejí adekvátně a operativně reagovat na vzniklou situaci a být schopny koncepčně a dlouhodobě reagovat na měnící se bezpečnostní prostředí. Připravenost jednotlivých prvků bezpečnostního systému se ověřuje především cvičeními. Jednotlivé prvky bezpečnostního systému vytvářejí hierarchickou strukturu, v níž jsou obecnými pravidly, zásadami a specifickými postupy vymezeny vzájemné funkční vztahy a působnosti při zajišťování bezpečnosti Karlovarského kraje na všech úrovních. </w:t>
      </w:r>
    </w:p>
    <w:p w:rsidR="00397417" w:rsidRPr="00397417" w:rsidRDefault="00397417" w:rsidP="002C40B2">
      <w:r w:rsidRPr="00397417">
        <w:t>Bezpečnostní systém je tvořen příslušnými prvky výkonné moci, územní samosprávy, ale i právnickými a fyzickými osobami, které mají odpovědnost za zajištění bezpečnosti Karlovarského kraje. Struktura bezpečnostního systému zahrnuje orgány samosprávy a jejich výkonné orgány a dále ozbrojené síly, ozbrojené bezpečnostní sbory, záchranné sbory, záchranné služby a havarijní služby.</w:t>
      </w:r>
    </w:p>
    <w:p w:rsidR="00397417" w:rsidRPr="00397417" w:rsidRDefault="00397417" w:rsidP="002C40B2">
      <w:pPr>
        <w:pStyle w:val="Nadpis2"/>
        <w:rPr>
          <w:rFonts w:ascii="Calibri" w:hAnsi="Calibri"/>
        </w:rPr>
      </w:pPr>
      <w:r w:rsidRPr="00397417">
        <w:rPr>
          <w:rFonts w:ascii="Calibri" w:hAnsi="Calibri"/>
        </w:rPr>
        <w:t>Integrovaný záchranný systém</w:t>
      </w:r>
    </w:p>
    <w:p w:rsidR="00397417" w:rsidRPr="00397417" w:rsidRDefault="00397417" w:rsidP="002C40B2">
      <w:r w:rsidRPr="00397417">
        <w:t xml:space="preserve">Složky integrovaného záchranného systému </w:t>
      </w:r>
      <w:r w:rsidRPr="00397417">
        <w:rPr>
          <w:sz w:val="24"/>
        </w:rPr>
        <w:t>(</w:t>
      </w:r>
      <w:r w:rsidRPr="00397417">
        <w:t>IZS) spolupracují jak v oblasti přípravy na mimořádné události (MU), tak i při jejich vlastním řešení. Spolupráce probíhá dle potřeby na všech úrovních řízení (strategická, operační, taktická). Součinnost složek při řešení MU je prověřována každodenní zásahovou činností a to zejména na operační (součinnost operačních středisek) a na taktické úrovni řízení (součinnost zásahových jednotek). V této úrovni řízení je spolupráce složek na dobré úrovni a nadále se rozvijí. Zjištěné nedostatky se operativně řeší na úrovni představitelů složek.</w:t>
      </w:r>
    </w:p>
    <w:p w:rsidR="00397417" w:rsidRPr="00397417" w:rsidRDefault="00397417" w:rsidP="002C40B2">
      <w:r w:rsidRPr="00397417">
        <w:t xml:space="preserve">V oblasti přípravy na řešení MU </w:t>
      </w:r>
      <w:r w:rsidR="00F21DB7">
        <w:t>hasičský záchranný sbor (</w:t>
      </w:r>
      <w:r w:rsidRPr="00397417">
        <w:t>HZS</w:t>
      </w:r>
      <w:r w:rsidR="00F21DB7">
        <w:t>)</w:t>
      </w:r>
      <w:r w:rsidRPr="00397417">
        <w:t xml:space="preserve"> kraje k zabezpečení potřebných zdrojů na řešení MU v roce 2015 smluvně doplnil další 2 subjekty, které mohou být v případě potřeby využity k záchranným a likvidačním pracím a ochraně obyvatelstva. Počet smluvně zajištěných zdrojů, </w:t>
      </w:r>
      <w:r w:rsidRPr="00397417">
        <w:lastRenderedPageBreak/>
        <w:t xml:space="preserve">zařazených v poplachovém plánu IZS tak k 31. 12. 2015 činí 87 subjektů. Na základě zkušeností se zásahem složek </w:t>
      </w:r>
      <w:r w:rsidR="00F21DB7">
        <w:t>IZS KK</w:t>
      </w:r>
      <w:r w:rsidRPr="00397417">
        <w:t xml:space="preserve">, který byl aktivován dne 11. 10. 2014 k zásahu na podezření z výskytu pacienta s krvácivou horečkou Ebola, došlo k intenzivnímu podnětu ke zcela novému přístupu zainteresovaných subjektů předurčených v rámci </w:t>
      </w:r>
      <w:r w:rsidR="00F21DB7">
        <w:t>IZS</w:t>
      </w:r>
      <w:r w:rsidRPr="00397417">
        <w:t xml:space="preserve"> k řešení zásahů s přítomností vysoce virulentních biologických agens. V průběhu roku 2015 došlo k řadě systémových změn v podobě úpravy organizace vedení zásahu, změny taktiky zasahujících složek IZS, pořízení řady chybějících technických prostředků nezbytných pro zásahy s bio-agens (v hodnotě 267 tis. Kč) i nový systém společných nácviků. To vše dnes představuje špičkově připravené týmy, schopné efektivně zasáhnout při zásahu s podezřením na vysoce nakažlivé nemoci a tím minimalizovat riziko přenosu nákazy.</w:t>
      </w:r>
    </w:p>
    <w:p w:rsidR="00397417" w:rsidRPr="00397417" w:rsidRDefault="00397417" w:rsidP="002C40B2">
      <w:pPr>
        <w:pStyle w:val="Nadpis2"/>
        <w:rPr>
          <w:rFonts w:ascii="Calibri" w:hAnsi="Calibri"/>
        </w:rPr>
      </w:pPr>
      <w:r w:rsidRPr="00397417">
        <w:rPr>
          <w:rFonts w:ascii="Calibri" w:hAnsi="Calibri"/>
        </w:rPr>
        <w:t>Hasičský záchranný sbor Karlovarského kraje</w:t>
      </w:r>
    </w:p>
    <w:p w:rsidR="00397417" w:rsidRPr="00397417" w:rsidRDefault="00397417" w:rsidP="002C40B2">
      <w:r w:rsidRPr="00397417">
        <w:t xml:space="preserve">Působnost HZS kraje je stanovena zejména zákonem č. 133/1985 Sb., o požární ochraně, ve znění pozdějších předpisů, (dále jen zákon o PO) a zákonem č. 239/2000 Sb., o integrovaném záchranném systému a o změně některých zákonů, ve znění pozdějších předpisů a zákonem č. 240/2000 Sb., </w:t>
      </w:r>
      <w:r w:rsidRPr="00397417">
        <w:br/>
        <w:t>o krizovém řízení a o změně některých zákonů (krizový zákon), ve znění pozdějších předpisů. HZS kraje na základě zákona o PO vykonává státní požární dozor a je dotčeným orgánem státní správy na úseku požární ochrany, kontroluje plnění nařízení kraje vydaných na úseku požární ochrany, odpovídá za připravenost jednotek HZS kraje, zabezpečuje výstavbu a údržbu objektů pro potřeby HZS kraje, řídí po odborné stránce výkon služby v jednotkách požární ochrany v kraji, koordinuje zabezpečování požární ochrany v kraji s ostatními orgány, soustřeďuje podklady pro zabezpečení materiálních a finančních potřeb pro jednotky sboru dobrovolných hasičů vybraných obcí, zpracovává podklady k vydání právních předpisů pro příslušné správní orgány kraje v oblastech, které vymezuje zákon, soustřeďuje a vyhodnocuje informace potřebné pro zásahy jednotek požární ochrany a řízení záchranných prací, zabezpečuje statistické sledování událostí a organizuje odbornou přípravu příslušníků, velitelů jednotek hasičských záchranných sborů podniků, velitelů a strojníků jednotek sboru dobrovolných hasičů obcí a podniků, projednává přestupky a správní delikty na úseku požární ochrany, zabezpečuje preventivně výchovnou, propagační a ediční činnost na úseku požární ochrany podle zaměření stanoveného Ministerstvem vnitra.</w:t>
      </w:r>
    </w:p>
    <w:p w:rsidR="00397417" w:rsidRPr="00397417" w:rsidRDefault="00397417" w:rsidP="002C40B2">
      <w:pPr>
        <w:pStyle w:val="Nadpis2"/>
        <w:rPr>
          <w:rFonts w:ascii="Calibri" w:hAnsi="Calibri"/>
        </w:rPr>
      </w:pPr>
      <w:r w:rsidRPr="00397417">
        <w:rPr>
          <w:rFonts w:ascii="Calibri" w:hAnsi="Calibri"/>
        </w:rPr>
        <w:t>Jednotky požární ochrany</w:t>
      </w:r>
    </w:p>
    <w:p w:rsidR="00397417" w:rsidRPr="00397417" w:rsidRDefault="00397417" w:rsidP="002C40B2">
      <w:pPr>
        <w:rPr>
          <w:rFonts w:eastAsia="Calibri"/>
        </w:rPr>
      </w:pPr>
      <w:r w:rsidRPr="00397417">
        <w:t xml:space="preserve">Provádění požárních zásahů a záchranných prací při živelních pohromách a jiných MU je základním úkolem jednotek požární ochrany (PO) 4. Jednotky byly nasazovány k řešení MU podle vydaného Nařízení </w:t>
      </w:r>
      <w:r w:rsidR="00081B7B">
        <w:t>KK</w:t>
      </w:r>
      <w:r w:rsidRPr="00397417">
        <w:t xml:space="preserve"> č. 2/2006 ze dne 8. 6. 2006, ve znění Nařízení </w:t>
      </w:r>
      <w:r w:rsidR="00081B7B">
        <w:t>KK</w:t>
      </w:r>
      <w:r w:rsidRPr="00397417">
        <w:t xml:space="preserve"> č. 2/2008, č. 3/2010,č. 2/2012 a č.2/2015, kterým se stanoví Požární poplachový plán </w:t>
      </w:r>
      <w:r w:rsidR="00081B7B">
        <w:t>KK</w:t>
      </w:r>
      <w:r w:rsidRPr="00397417">
        <w:t xml:space="preserve">. Požární poplachový plán slouží k zabezpečení součinnosti jednotek požární ochrany v kraji při hašení požárů, provádění záchranných a likvidačních prací na území kraje, při poskytování pomoci mezi kraji a při poskytování pomoci do sousedního státu, k úpravě povolávání jednotek a ke stanovení způsobu vyhlašování stupňů poplachového plánu a upravuje činnost ohlašoven požáru a OPIS HZS kraje. Požární poplachový plán kraje rovněž obsahuje Poplachový plán </w:t>
      </w:r>
      <w:r w:rsidR="00081B7B">
        <w:t>IZS KK</w:t>
      </w:r>
      <w:r w:rsidRPr="00397417">
        <w:t xml:space="preserve"> zpracovaný v souladu s právním předpisem. Rozmístění jednotek PO na území kraje je dáno systémem plošného pokrytí území kraje, vydaným Nařízením Karlovarského kraje č. 1 ze dne 8. 6. 2006, ve znění Nařízení Karlovarského kraje č. 1/2008, č. 2/2010, č. 1/2012 a 1/2015. Systém vychází z analýzy požárního nebezpečí území všech obcí v kraji. Plošné pokrytí tvoří základní úroveň pomoci garantované občanům v zájmu záchrany osob a majetku před </w:t>
      </w:r>
      <w:r w:rsidRPr="00397417">
        <w:lastRenderedPageBreak/>
        <w:t xml:space="preserve">požáry, živelními pohromami a </w:t>
      </w:r>
      <w:r w:rsidRPr="00397417">
        <w:rPr>
          <w:rFonts w:eastAsia="Calibri"/>
        </w:rPr>
        <w:t>jinými MU, a zaručuje po jeho naplnění poskytnutí pomoci jednotkami PO v místě události maximálně do 20 minut od oznámení případu jednotce PO. Poskytnutí této pomoci garantují vůči svým občanům jednak obce jako zřizovatelé vlastních jednotek PO, a jednak stát zřízením profesionálních jednotek HZS kraje a vysíláním dalších posilových jednotek v rozsahu 1. stupně požárního poplachu. Posilovým jednotkám, které jsou vysílány operačním střediskem mimo katastr své obce</w:t>
      </w:r>
      <w:r w:rsidR="000144AB">
        <w:rPr>
          <w:rFonts w:eastAsia="Calibri"/>
        </w:rPr>
        <w:t>,</w:t>
      </w:r>
      <w:r w:rsidRPr="00397417">
        <w:rPr>
          <w:rFonts w:eastAsia="Calibri"/>
        </w:rPr>
        <w:t xml:space="preserve"> jsou formou státní neinvestiční dotace kompenzovány vynaložené náklady. Systém je dlouhodobě vytvářen s ohledem na to, aby ochrana životů občanů a majetku právnických a podnikajících fyzických osob před požáry a jinými MU nebyla limitována pouze možnostmi a solventností obce, ve které bydlí nebo mají majetek, popřípadě dobrovolnou ochotou toho, kdo může pomoc poskytnout.</w:t>
      </w:r>
    </w:p>
    <w:p w:rsidR="00397417" w:rsidRDefault="00397417" w:rsidP="000B3B9C">
      <w:pPr>
        <w:pStyle w:val="Titulek"/>
      </w:pPr>
      <w:bookmarkStart w:id="480" w:name="_Toc488233522"/>
      <w:r w:rsidRPr="00397417">
        <w:t xml:space="preserve">Tabulka </w:t>
      </w:r>
      <w:r w:rsidR="008965FE">
        <w:fldChar w:fldCharType="begin"/>
      </w:r>
      <w:r w:rsidR="00B33DFE">
        <w:instrText xml:space="preserve"> STYLEREF 1 \s </w:instrText>
      </w:r>
      <w:r w:rsidR="008965FE">
        <w:fldChar w:fldCharType="separate"/>
      </w:r>
      <w:r w:rsidR="00CB29BD">
        <w:t>21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1</w:t>
      </w:r>
      <w:r w:rsidR="004F2330">
        <w:fldChar w:fldCharType="end"/>
      </w:r>
      <w:r w:rsidRPr="00397417">
        <w:t>: Přehled jednotek sboru dobrovolných hasičů obcí kategorii JPO II v KK</w:t>
      </w:r>
      <w:bookmarkEnd w:id="480"/>
      <w:r w:rsidRPr="00397417">
        <w:t xml:space="preserve"> </w:t>
      </w:r>
    </w:p>
    <w:tbl>
      <w:tblPr>
        <w:tblW w:w="5000" w:type="pct"/>
        <w:tblCellMar>
          <w:left w:w="70" w:type="dxa"/>
          <w:right w:w="70" w:type="dxa"/>
        </w:tblCellMar>
        <w:tblLook w:val="04A0" w:firstRow="1" w:lastRow="0" w:firstColumn="1" w:lastColumn="0" w:noHBand="0" w:noVBand="1"/>
      </w:tblPr>
      <w:tblGrid>
        <w:gridCol w:w="1223"/>
        <w:gridCol w:w="1413"/>
        <w:gridCol w:w="2110"/>
        <w:gridCol w:w="1419"/>
        <w:gridCol w:w="991"/>
        <w:gridCol w:w="1137"/>
        <w:gridCol w:w="919"/>
      </w:tblGrid>
      <w:tr w:rsidR="008036E2" w:rsidRPr="003230E6" w:rsidTr="008036E2">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036E2" w:rsidRPr="003230E6" w:rsidRDefault="008036E2" w:rsidP="008036E2">
            <w:pPr>
              <w:spacing w:after="0" w:line="240" w:lineRule="auto"/>
              <w:jc w:val="center"/>
              <w:rPr>
                <w:rFonts w:cs="Times New Roman"/>
                <w:b/>
                <w:bCs/>
                <w:color w:val="000000"/>
                <w:sz w:val="20"/>
                <w:szCs w:val="20"/>
              </w:rPr>
            </w:pPr>
            <w:r w:rsidRPr="003230E6">
              <w:rPr>
                <w:rFonts w:cs="Times New Roman"/>
                <w:b/>
                <w:bCs/>
                <w:color w:val="000000"/>
                <w:sz w:val="20"/>
                <w:szCs w:val="20"/>
              </w:rPr>
              <w:t>Rozložení dobrovolných jednotek kategorie JPO II podle území ORP</w:t>
            </w:r>
          </w:p>
        </w:tc>
      </w:tr>
      <w:tr w:rsidR="008036E2" w:rsidRPr="003230E6" w:rsidTr="008036E2">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KV</w:t>
            </w:r>
          </w:p>
        </w:tc>
        <w:tc>
          <w:tcPr>
            <w:tcW w:w="767"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Ostrov</w:t>
            </w:r>
          </w:p>
        </w:tc>
        <w:tc>
          <w:tcPr>
            <w:tcW w:w="1145"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Sokolov</w:t>
            </w:r>
          </w:p>
        </w:tc>
        <w:tc>
          <w:tcPr>
            <w:tcW w:w="770"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Kraslice</w:t>
            </w:r>
          </w:p>
        </w:tc>
        <w:tc>
          <w:tcPr>
            <w:tcW w:w="538"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Cheb</w:t>
            </w:r>
          </w:p>
        </w:tc>
        <w:tc>
          <w:tcPr>
            <w:tcW w:w="617"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M. Lázně</w:t>
            </w:r>
          </w:p>
        </w:tc>
        <w:tc>
          <w:tcPr>
            <w:tcW w:w="499"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Aš</w:t>
            </w:r>
          </w:p>
        </w:tc>
      </w:tr>
      <w:tr w:rsidR="008036E2" w:rsidRPr="003230E6" w:rsidTr="008036E2">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036E2" w:rsidRPr="003230E6" w:rsidRDefault="008036E2" w:rsidP="008036E2">
            <w:pPr>
              <w:spacing w:after="0" w:line="240" w:lineRule="auto"/>
              <w:jc w:val="center"/>
              <w:rPr>
                <w:rFonts w:cs="Times New Roman"/>
                <w:b/>
                <w:bCs/>
                <w:color w:val="000000"/>
                <w:sz w:val="20"/>
                <w:szCs w:val="20"/>
              </w:rPr>
            </w:pPr>
            <w:r w:rsidRPr="003230E6">
              <w:rPr>
                <w:rFonts w:cs="Times New Roman"/>
                <w:b/>
                <w:bCs/>
                <w:color w:val="000000"/>
                <w:sz w:val="20"/>
                <w:szCs w:val="20"/>
              </w:rPr>
              <w:t>Místo dislokace jednotky SDH obcí kategorie JPO II</w:t>
            </w:r>
          </w:p>
        </w:tc>
      </w:tr>
      <w:tr w:rsidR="008036E2" w:rsidRPr="003230E6" w:rsidTr="008036E2">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Nejdek</w:t>
            </w:r>
          </w:p>
        </w:tc>
        <w:tc>
          <w:tcPr>
            <w:tcW w:w="767"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Ostrov</w:t>
            </w:r>
          </w:p>
        </w:tc>
        <w:tc>
          <w:tcPr>
            <w:tcW w:w="1145"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Březová</w:t>
            </w:r>
          </w:p>
        </w:tc>
        <w:tc>
          <w:tcPr>
            <w:tcW w:w="770"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Kraslice</w:t>
            </w:r>
          </w:p>
        </w:tc>
        <w:tc>
          <w:tcPr>
            <w:tcW w:w="53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 </w:t>
            </w:r>
          </w:p>
        </w:tc>
        <w:tc>
          <w:tcPr>
            <w:tcW w:w="617"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Teplá</w:t>
            </w:r>
          </w:p>
        </w:tc>
        <w:tc>
          <w:tcPr>
            <w:tcW w:w="499"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 </w:t>
            </w:r>
          </w:p>
        </w:tc>
      </w:tr>
      <w:tr w:rsidR="008036E2" w:rsidRPr="003230E6" w:rsidTr="008036E2">
        <w:trPr>
          <w:trHeight w:val="300"/>
        </w:trPr>
        <w:tc>
          <w:tcPr>
            <w:tcW w:w="664" w:type="pct"/>
            <w:tcBorders>
              <w:top w:val="nil"/>
              <w:left w:val="single" w:sz="4" w:space="0" w:color="auto"/>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Žlutice</w:t>
            </w:r>
          </w:p>
        </w:tc>
        <w:tc>
          <w:tcPr>
            <w:tcW w:w="767"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Potůčků</w:t>
            </w:r>
          </w:p>
        </w:tc>
        <w:tc>
          <w:tcPr>
            <w:tcW w:w="1145"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Horní Slavkov</w:t>
            </w:r>
          </w:p>
        </w:tc>
        <w:tc>
          <w:tcPr>
            <w:tcW w:w="770"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Oloví</w:t>
            </w:r>
          </w:p>
        </w:tc>
        <w:tc>
          <w:tcPr>
            <w:tcW w:w="538"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c>
          <w:tcPr>
            <w:tcW w:w="61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 </w:t>
            </w:r>
          </w:p>
        </w:tc>
        <w:tc>
          <w:tcPr>
            <w:tcW w:w="499"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r>
      <w:tr w:rsidR="008036E2" w:rsidRPr="003230E6" w:rsidTr="008036E2">
        <w:trPr>
          <w:trHeight w:val="300"/>
        </w:trPr>
        <w:tc>
          <w:tcPr>
            <w:tcW w:w="66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 </w:t>
            </w:r>
          </w:p>
        </w:tc>
        <w:tc>
          <w:tcPr>
            <w:tcW w:w="767"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 </w:t>
            </w:r>
          </w:p>
        </w:tc>
        <w:tc>
          <w:tcPr>
            <w:tcW w:w="1145"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Chodov</w:t>
            </w:r>
          </w:p>
        </w:tc>
        <w:tc>
          <w:tcPr>
            <w:tcW w:w="770"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Rotava</w:t>
            </w:r>
          </w:p>
        </w:tc>
        <w:tc>
          <w:tcPr>
            <w:tcW w:w="538"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c>
          <w:tcPr>
            <w:tcW w:w="617"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c>
          <w:tcPr>
            <w:tcW w:w="499"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r>
      <w:tr w:rsidR="008036E2" w:rsidRPr="003230E6" w:rsidTr="008036E2">
        <w:trPr>
          <w:trHeight w:val="525"/>
        </w:trPr>
        <w:tc>
          <w:tcPr>
            <w:tcW w:w="66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c>
          <w:tcPr>
            <w:tcW w:w="767"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c>
          <w:tcPr>
            <w:tcW w:w="1145"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Kynšperk nad Ohří</w:t>
            </w:r>
          </w:p>
        </w:tc>
        <w:tc>
          <w:tcPr>
            <w:tcW w:w="770" w:type="pct"/>
            <w:tcBorders>
              <w:top w:val="nil"/>
              <w:left w:val="nil"/>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cs="Times New Roman"/>
                <w:color w:val="000000"/>
                <w:sz w:val="20"/>
                <w:szCs w:val="20"/>
              </w:rPr>
            </w:pPr>
            <w:r w:rsidRPr="003230E6">
              <w:rPr>
                <w:rFonts w:cs="Times New Roman"/>
                <w:color w:val="000000"/>
                <w:sz w:val="20"/>
                <w:szCs w:val="20"/>
              </w:rPr>
              <w:t> </w:t>
            </w:r>
          </w:p>
        </w:tc>
        <w:tc>
          <w:tcPr>
            <w:tcW w:w="538"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c>
          <w:tcPr>
            <w:tcW w:w="617"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c>
          <w:tcPr>
            <w:tcW w:w="499"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cs="Times New Roman"/>
                <w:color w:val="000000"/>
                <w:sz w:val="20"/>
                <w:szCs w:val="20"/>
              </w:rPr>
            </w:pPr>
          </w:p>
        </w:tc>
      </w:tr>
    </w:tbl>
    <w:p w:rsidR="009E424D" w:rsidRPr="003230E6" w:rsidRDefault="00397417" w:rsidP="003230E6">
      <w:pPr>
        <w:spacing w:before="120" w:after="0"/>
        <w:rPr>
          <w:i/>
          <w:szCs w:val="20"/>
        </w:rPr>
      </w:pPr>
      <w:r w:rsidRPr="003230E6">
        <w:rPr>
          <w:i/>
          <w:szCs w:val="20"/>
        </w:rPr>
        <w:t xml:space="preserve">Zdroj: </w:t>
      </w:r>
      <w:r w:rsidR="005C2A72" w:rsidRPr="003230E6">
        <w:rPr>
          <w:i/>
          <w:szCs w:val="20"/>
        </w:rPr>
        <w:t>Přehled jednotek SDH obcí kategorie JPO II a JPO III v KK</w:t>
      </w:r>
    </w:p>
    <w:p w:rsidR="00397417" w:rsidRDefault="00397417" w:rsidP="000B3B9C">
      <w:pPr>
        <w:pStyle w:val="Titulek"/>
      </w:pPr>
      <w:bookmarkStart w:id="481" w:name="_Toc488233523"/>
      <w:r w:rsidRPr="00397417">
        <w:t xml:space="preserve">Tabulka </w:t>
      </w:r>
      <w:r w:rsidR="008965FE">
        <w:fldChar w:fldCharType="begin"/>
      </w:r>
      <w:r w:rsidR="00B33DFE">
        <w:instrText xml:space="preserve"> STYLEREF 1 \s </w:instrText>
      </w:r>
      <w:r w:rsidR="008965FE">
        <w:fldChar w:fldCharType="separate"/>
      </w:r>
      <w:r w:rsidR="00CB29BD">
        <w:t>21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2</w:t>
      </w:r>
      <w:r w:rsidR="004F2330">
        <w:fldChar w:fldCharType="end"/>
      </w:r>
      <w:r w:rsidRPr="00397417">
        <w:t>: Přehled jednotek sboru dobrovolných hasičů obcí kategorii JPO III v</w:t>
      </w:r>
      <w:r w:rsidR="008036E2">
        <w:t> </w:t>
      </w:r>
      <w:r w:rsidRPr="00397417">
        <w:t>KK</w:t>
      </w:r>
      <w:bookmarkEnd w:id="481"/>
    </w:p>
    <w:tbl>
      <w:tblPr>
        <w:tblW w:w="5000" w:type="pct"/>
        <w:tblCellMar>
          <w:left w:w="70" w:type="dxa"/>
          <w:right w:w="70" w:type="dxa"/>
        </w:tblCellMar>
        <w:tblLook w:val="04A0" w:firstRow="1" w:lastRow="0" w:firstColumn="1" w:lastColumn="0" w:noHBand="0" w:noVBand="1"/>
      </w:tblPr>
      <w:tblGrid>
        <w:gridCol w:w="1633"/>
        <w:gridCol w:w="1002"/>
        <w:gridCol w:w="1315"/>
        <w:gridCol w:w="1080"/>
        <w:gridCol w:w="1277"/>
        <w:gridCol w:w="1590"/>
        <w:gridCol w:w="1315"/>
      </w:tblGrid>
      <w:tr w:rsidR="008036E2" w:rsidRPr="003230E6" w:rsidTr="003230E6">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6E2" w:rsidRPr="003230E6" w:rsidRDefault="008036E2" w:rsidP="008036E2">
            <w:pPr>
              <w:spacing w:after="0" w:line="240" w:lineRule="auto"/>
              <w:jc w:val="center"/>
              <w:rPr>
                <w:rFonts w:asciiTheme="minorHAnsi" w:hAnsiTheme="minorHAnsi" w:cs="Times New Roman"/>
                <w:b/>
                <w:bCs/>
                <w:color w:val="000000"/>
                <w:sz w:val="20"/>
                <w:szCs w:val="20"/>
              </w:rPr>
            </w:pPr>
            <w:r w:rsidRPr="003230E6">
              <w:rPr>
                <w:rFonts w:asciiTheme="minorHAnsi" w:hAnsiTheme="minorHAnsi" w:cs="Times New Roman"/>
                <w:b/>
                <w:bCs/>
                <w:color w:val="000000"/>
                <w:sz w:val="20"/>
                <w:szCs w:val="20"/>
              </w:rPr>
              <w:t>Rozložení dobrovolných jednotek kategorie JPO III podle území ORP</w:t>
            </w: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KV</w:t>
            </w:r>
          </w:p>
        </w:tc>
        <w:tc>
          <w:tcPr>
            <w:tcW w:w="54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Ostrov</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Sokolov</w:t>
            </w:r>
          </w:p>
        </w:tc>
        <w:tc>
          <w:tcPr>
            <w:tcW w:w="586"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Kraslice</w:t>
            </w:r>
          </w:p>
        </w:tc>
        <w:tc>
          <w:tcPr>
            <w:tcW w:w="69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Cheb</w:t>
            </w:r>
          </w:p>
        </w:tc>
        <w:tc>
          <w:tcPr>
            <w:tcW w:w="86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M. Lázně</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Aš</w:t>
            </w:r>
          </w:p>
        </w:tc>
      </w:tr>
      <w:tr w:rsidR="008036E2" w:rsidRPr="003230E6" w:rsidTr="003230E6">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b/>
                <w:bCs/>
                <w:color w:val="000000"/>
                <w:sz w:val="20"/>
                <w:szCs w:val="20"/>
              </w:rPr>
            </w:pPr>
            <w:r w:rsidRPr="003230E6">
              <w:rPr>
                <w:rFonts w:asciiTheme="minorHAnsi" w:hAnsiTheme="minorHAnsi" w:cs="Times New Roman"/>
                <w:b/>
                <w:bCs/>
                <w:color w:val="000000"/>
                <w:sz w:val="20"/>
                <w:szCs w:val="20"/>
              </w:rPr>
              <w:t>Místo dislokace jednotky SDH obcí kategori JPO II</w:t>
            </w: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Bečov nad Teplou</w:t>
            </w:r>
          </w:p>
        </w:tc>
        <w:tc>
          <w:tcPr>
            <w:tcW w:w="54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Abertamy</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Bukovany</w:t>
            </w:r>
          </w:p>
        </w:tc>
        <w:tc>
          <w:tcPr>
            <w:tcW w:w="586" w:type="pct"/>
            <w:vMerge w:val="restart"/>
            <w:tcBorders>
              <w:top w:val="nil"/>
              <w:left w:val="single" w:sz="4" w:space="0" w:color="auto"/>
              <w:bottom w:val="single" w:sz="4" w:space="0" w:color="000000"/>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 </w:t>
            </w:r>
          </w:p>
        </w:tc>
        <w:tc>
          <w:tcPr>
            <w:tcW w:w="69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Dolní Žandov</w:t>
            </w:r>
          </w:p>
        </w:tc>
        <w:tc>
          <w:tcPr>
            <w:tcW w:w="86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Lázně Kynžvart</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Hazlov</w:t>
            </w: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Bochov</w:t>
            </w:r>
          </w:p>
        </w:tc>
        <w:tc>
          <w:tcPr>
            <w:tcW w:w="54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Boží Dar</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Habartov</w:t>
            </w: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Luby</w:t>
            </w:r>
          </w:p>
        </w:tc>
        <w:tc>
          <w:tcPr>
            <w:tcW w:w="86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Drmoul</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Hranice</w:t>
            </w: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Chýše</w:t>
            </w:r>
          </w:p>
        </w:tc>
        <w:tc>
          <w:tcPr>
            <w:tcW w:w="54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Hájek</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Krajková</w:t>
            </w: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Plesná</w:t>
            </w:r>
          </w:p>
        </w:tc>
        <w:tc>
          <w:tcPr>
            <w:tcW w:w="86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Mnichov</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Krásná</w:t>
            </w: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Nová Role</w:t>
            </w:r>
          </w:p>
        </w:tc>
        <w:tc>
          <w:tcPr>
            <w:tcW w:w="54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Jáchymov</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Loket</w:t>
            </w: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Skalná</w:t>
            </w:r>
          </w:p>
        </w:tc>
        <w:tc>
          <w:tcPr>
            <w:tcW w:w="86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Tři Sekery</w:t>
            </w:r>
          </w:p>
        </w:tc>
        <w:tc>
          <w:tcPr>
            <w:tcW w:w="714" w:type="pct"/>
            <w:vMerge w:val="restart"/>
            <w:tcBorders>
              <w:top w:val="nil"/>
              <w:left w:val="single" w:sz="4" w:space="0" w:color="auto"/>
              <w:bottom w:val="single" w:sz="4" w:space="0" w:color="000000"/>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 </w:t>
            </w: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Pozorka</w:t>
            </w:r>
          </w:p>
        </w:tc>
        <w:tc>
          <w:tcPr>
            <w:tcW w:w="54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Pernink</w:t>
            </w:r>
          </w:p>
        </w:tc>
        <w:tc>
          <w:tcPr>
            <w:tcW w:w="714"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Vintířov</w:t>
            </w: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Libá</w:t>
            </w:r>
          </w:p>
        </w:tc>
        <w:tc>
          <w:tcPr>
            <w:tcW w:w="863" w:type="pct"/>
            <w:vMerge w:val="restart"/>
            <w:tcBorders>
              <w:top w:val="nil"/>
              <w:left w:val="single" w:sz="4" w:space="0" w:color="auto"/>
              <w:bottom w:val="single" w:sz="4" w:space="0" w:color="000000"/>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 </w:t>
            </w: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Kyselka</w:t>
            </w:r>
          </w:p>
        </w:tc>
        <w:tc>
          <w:tcPr>
            <w:tcW w:w="544" w:type="pct"/>
            <w:vMerge w:val="restart"/>
            <w:tcBorders>
              <w:top w:val="nil"/>
              <w:left w:val="single" w:sz="4" w:space="0" w:color="auto"/>
              <w:bottom w:val="single" w:sz="4" w:space="0" w:color="000000"/>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 </w:t>
            </w:r>
          </w:p>
        </w:tc>
        <w:tc>
          <w:tcPr>
            <w:tcW w:w="714" w:type="pct"/>
            <w:vMerge w:val="restart"/>
            <w:tcBorders>
              <w:top w:val="nil"/>
              <w:left w:val="single" w:sz="4" w:space="0" w:color="auto"/>
              <w:bottom w:val="single" w:sz="4" w:space="0" w:color="000000"/>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 </w:t>
            </w: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tcBorders>
              <w:top w:val="nil"/>
              <w:left w:val="nil"/>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Milíkov</w:t>
            </w:r>
          </w:p>
        </w:tc>
        <w:tc>
          <w:tcPr>
            <w:tcW w:w="86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Stružná</w:t>
            </w:r>
          </w:p>
        </w:tc>
        <w:tc>
          <w:tcPr>
            <w:tcW w:w="54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vMerge w:val="restart"/>
            <w:tcBorders>
              <w:top w:val="nil"/>
              <w:left w:val="single" w:sz="4" w:space="0" w:color="auto"/>
              <w:bottom w:val="single" w:sz="4" w:space="0" w:color="000000"/>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 </w:t>
            </w:r>
          </w:p>
        </w:tc>
        <w:tc>
          <w:tcPr>
            <w:tcW w:w="86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Štědrá</w:t>
            </w:r>
          </w:p>
        </w:tc>
        <w:tc>
          <w:tcPr>
            <w:tcW w:w="54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86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KV - Tašovice</w:t>
            </w:r>
          </w:p>
        </w:tc>
        <w:tc>
          <w:tcPr>
            <w:tcW w:w="54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86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Toužim</w:t>
            </w:r>
          </w:p>
        </w:tc>
        <w:tc>
          <w:tcPr>
            <w:tcW w:w="54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86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Útvina</w:t>
            </w:r>
          </w:p>
        </w:tc>
        <w:tc>
          <w:tcPr>
            <w:tcW w:w="54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86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r w:rsidR="008036E2" w:rsidRPr="003230E6" w:rsidTr="003230E6">
        <w:trPr>
          <w:trHeight w:val="340"/>
        </w:trPr>
        <w:tc>
          <w:tcPr>
            <w:tcW w:w="886" w:type="pct"/>
            <w:tcBorders>
              <w:top w:val="nil"/>
              <w:left w:val="single" w:sz="4" w:space="0" w:color="auto"/>
              <w:bottom w:val="single" w:sz="4" w:space="0" w:color="auto"/>
              <w:right w:val="single" w:sz="4" w:space="0" w:color="auto"/>
            </w:tcBorders>
            <w:shd w:val="clear" w:color="auto" w:fill="auto"/>
            <w:vAlign w:val="bottom"/>
            <w:hideMark/>
          </w:tcPr>
          <w:p w:rsidR="008036E2" w:rsidRPr="003230E6" w:rsidRDefault="008036E2" w:rsidP="008036E2">
            <w:pPr>
              <w:spacing w:after="0" w:line="240" w:lineRule="auto"/>
              <w:jc w:val="center"/>
              <w:rPr>
                <w:rFonts w:asciiTheme="minorHAnsi" w:hAnsiTheme="minorHAnsi" w:cs="Times New Roman"/>
                <w:color w:val="000000"/>
                <w:sz w:val="20"/>
                <w:szCs w:val="20"/>
              </w:rPr>
            </w:pPr>
            <w:r w:rsidRPr="003230E6">
              <w:rPr>
                <w:rFonts w:asciiTheme="minorHAnsi" w:hAnsiTheme="minorHAnsi" w:cs="Times New Roman"/>
                <w:color w:val="000000"/>
                <w:sz w:val="20"/>
                <w:szCs w:val="20"/>
              </w:rPr>
              <w:t>Valeč</w:t>
            </w:r>
          </w:p>
        </w:tc>
        <w:tc>
          <w:tcPr>
            <w:tcW w:w="54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586"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69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863"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c>
          <w:tcPr>
            <w:tcW w:w="714" w:type="pct"/>
            <w:vMerge/>
            <w:tcBorders>
              <w:top w:val="nil"/>
              <w:left w:val="single" w:sz="4" w:space="0" w:color="auto"/>
              <w:bottom w:val="single" w:sz="4" w:space="0" w:color="000000"/>
              <w:right w:val="single" w:sz="4" w:space="0" w:color="auto"/>
            </w:tcBorders>
            <w:vAlign w:val="center"/>
            <w:hideMark/>
          </w:tcPr>
          <w:p w:rsidR="008036E2" w:rsidRPr="003230E6" w:rsidRDefault="008036E2" w:rsidP="008036E2">
            <w:pPr>
              <w:spacing w:after="0" w:line="240" w:lineRule="auto"/>
              <w:jc w:val="left"/>
              <w:rPr>
                <w:rFonts w:asciiTheme="minorHAnsi" w:hAnsiTheme="minorHAnsi" w:cs="Times New Roman"/>
                <w:color w:val="000000"/>
                <w:sz w:val="20"/>
                <w:szCs w:val="20"/>
              </w:rPr>
            </w:pPr>
          </w:p>
        </w:tc>
      </w:tr>
    </w:tbl>
    <w:p w:rsidR="003230E6" w:rsidRPr="003230E6" w:rsidRDefault="00397417" w:rsidP="003230E6">
      <w:pPr>
        <w:spacing w:before="120" w:after="0"/>
        <w:rPr>
          <w:i/>
          <w:szCs w:val="20"/>
        </w:rPr>
      </w:pPr>
      <w:r w:rsidRPr="003230E6">
        <w:rPr>
          <w:i/>
        </w:rPr>
        <w:t xml:space="preserve">Zdroj: </w:t>
      </w:r>
      <w:r w:rsidRPr="003230E6">
        <w:rPr>
          <w:i/>
          <w:szCs w:val="20"/>
        </w:rPr>
        <w:t>Přehled jednotek SDH obcí kategorie JPO II a JPO III v</w:t>
      </w:r>
      <w:r w:rsidR="003230E6" w:rsidRPr="003230E6">
        <w:rPr>
          <w:i/>
          <w:szCs w:val="20"/>
        </w:rPr>
        <w:t> </w:t>
      </w:r>
      <w:r w:rsidRPr="003230E6">
        <w:rPr>
          <w:i/>
          <w:szCs w:val="20"/>
        </w:rPr>
        <w:t>KK</w:t>
      </w:r>
    </w:p>
    <w:p w:rsidR="003230E6" w:rsidRPr="003230E6" w:rsidRDefault="003230E6">
      <w:pPr>
        <w:spacing w:after="160" w:line="259" w:lineRule="auto"/>
        <w:jc w:val="left"/>
        <w:rPr>
          <w:i/>
          <w:szCs w:val="20"/>
        </w:rPr>
      </w:pPr>
      <w:r w:rsidRPr="003230E6">
        <w:rPr>
          <w:i/>
          <w:szCs w:val="20"/>
        </w:rPr>
        <w:br w:type="page"/>
      </w:r>
    </w:p>
    <w:p w:rsidR="00397417" w:rsidRPr="00397417" w:rsidRDefault="00397417" w:rsidP="002C40B2">
      <w:pPr>
        <w:rPr>
          <w:rFonts w:eastAsia="Calibri"/>
          <w:b/>
        </w:rPr>
      </w:pPr>
      <w:r w:rsidRPr="00397417">
        <w:rPr>
          <w:rFonts w:eastAsia="Calibri"/>
          <w:b/>
        </w:rPr>
        <w:lastRenderedPageBreak/>
        <w:t>Požáry v Karlovarském kraji</w:t>
      </w:r>
    </w:p>
    <w:p w:rsidR="00397417" w:rsidRPr="00397417" w:rsidRDefault="00397417" w:rsidP="002C40B2">
      <w:pPr>
        <w:rPr>
          <w:rFonts w:eastAsia="Calibri"/>
        </w:rPr>
      </w:pPr>
      <w:r w:rsidRPr="00397417">
        <w:rPr>
          <w:rFonts w:eastAsia="Calibri"/>
        </w:rPr>
        <w:t>V roce 2015 došlo ke vzniku celkem 77</w:t>
      </w:r>
      <w:r w:rsidR="000144AB">
        <w:rPr>
          <w:rFonts w:eastAsia="Calibri"/>
        </w:rPr>
        <w:t>5</w:t>
      </w:r>
      <w:r w:rsidRPr="00397417">
        <w:rPr>
          <w:rFonts w:eastAsia="Calibri"/>
        </w:rPr>
        <w:t xml:space="preserve"> požárů</w:t>
      </w:r>
      <w:r w:rsidR="000144AB">
        <w:rPr>
          <w:rFonts w:eastAsia="Calibri"/>
        </w:rPr>
        <w:t>m</w:t>
      </w:r>
      <w:r w:rsidRPr="00397417">
        <w:rPr>
          <w:rFonts w:eastAsia="Calibri"/>
        </w:rPr>
        <w:t xml:space="preserve"> na území Karlovarského kraje. Přímá škoda na majetku způsobená požáry byla vyčíslena částkou 63 309 000,- Kč. </w:t>
      </w:r>
      <w:r w:rsidR="000144AB">
        <w:rPr>
          <w:rFonts w:eastAsia="Calibri"/>
        </w:rPr>
        <w:t>JPO</w:t>
      </w:r>
      <w:r w:rsidRPr="00397417">
        <w:rPr>
          <w:rFonts w:eastAsia="Calibri"/>
        </w:rPr>
        <w:t xml:space="preserve"> svou činností uchránily hodnoty, které jsou vyčísleny částkou 227 643 000,- Kč. V přímé souvislosti s požáry došlo k usmrcení 10 osob a ke zranění 59 osob. </w:t>
      </w:r>
      <w:r w:rsidR="009C013E">
        <w:rPr>
          <w:rFonts w:eastAsia="Calibri"/>
        </w:rPr>
        <w:t xml:space="preserve">Vyšší počet </w:t>
      </w:r>
      <w:r w:rsidRPr="00397417">
        <w:rPr>
          <w:rFonts w:eastAsia="Calibri"/>
        </w:rPr>
        <w:t>požárů</w:t>
      </w:r>
      <w:r w:rsidR="009C013E">
        <w:rPr>
          <w:rFonts w:eastAsia="Calibri"/>
        </w:rPr>
        <w:t xml:space="preserve"> oproti předchozímu roku</w:t>
      </w:r>
      <w:r w:rsidRPr="00397417">
        <w:rPr>
          <w:rFonts w:eastAsia="Calibri"/>
        </w:rPr>
        <w:t xml:space="preserve"> lze přisuzovat období sucha (období letních prázdnin), které trápilo celou </w:t>
      </w:r>
      <w:r w:rsidR="000144AB">
        <w:rPr>
          <w:rFonts w:eastAsia="Calibri"/>
        </w:rPr>
        <w:t>ČR</w:t>
      </w:r>
      <w:r w:rsidRPr="00397417">
        <w:rPr>
          <w:rFonts w:eastAsia="Calibri"/>
        </w:rPr>
        <w:t xml:space="preserve"> a mělo z</w:t>
      </w:r>
      <w:r w:rsidR="00AF249A">
        <w:rPr>
          <w:rFonts w:eastAsia="Calibri"/>
        </w:rPr>
        <w:t>a</w:t>
      </w:r>
      <w:r w:rsidRPr="00397417">
        <w:rPr>
          <w:rFonts w:eastAsia="Calibri"/>
        </w:rPr>
        <w:t xml:space="preserve"> následek 214 požárů na území </w:t>
      </w:r>
      <w:r w:rsidR="000144AB">
        <w:rPr>
          <w:rFonts w:eastAsia="Calibri"/>
        </w:rPr>
        <w:t>KK</w:t>
      </w:r>
      <w:r w:rsidRPr="00397417">
        <w:rPr>
          <w:rFonts w:eastAsia="Calibri"/>
        </w:rPr>
        <w:t xml:space="preserve">. </w:t>
      </w:r>
      <w:r w:rsidR="009C013E">
        <w:rPr>
          <w:rFonts w:eastAsia="Calibri"/>
        </w:rPr>
        <w:t>Počet</w:t>
      </w:r>
      <w:r w:rsidRPr="00397417">
        <w:rPr>
          <w:rFonts w:eastAsia="Calibri"/>
        </w:rPr>
        <w:t xml:space="preserve"> osob usmrcených v důsledku požáru je do značné míry ovlivněn zejména dopravními nehodami, při kterých došlo k požáru vozidel. Příslušníci HZS kraje zařazení v oblasti vyšetřování požárů úzce spolupracují s orgány činnými v trestním řízení, správními orgány, orgány samospráv a znalci z různých oborů, za účelem plnění základní povinnosti, kterou je objasnění příčiny vzniku požáru. V rámci vyšetřování požárů </w:t>
      </w:r>
      <w:r w:rsidR="009C013E">
        <w:rPr>
          <w:rFonts w:eastAsia="Calibri"/>
        </w:rPr>
        <w:t>jsou vypracovávány expertní</w:t>
      </w:r>
      <w:r w:rsidRPr="00397417">
        <w:rPr>
          <w:rFonts w:eastAsia="Calibri"/>
        </w:rPr>
        <w:t xml:space="preserve"> posudk</w:t>
      </w:r>
      <w:r w:rsidR="009C013E">
        <w:rPr>
          <w:rFonts w:eastAsia="Calibri"/>
        </w:rPr>
        <w:t>y</w:t>
      </w:r>
      <w:r w:rsidRPr="00397417">
        <w:rPr>
          <w:rFonts w:eastAsia="Calibri"/>
        </w:rPr>
        <w:t xml:space="preserve"> z různých oblastí. Nejčastější příčinou vzniku požárů </w:t>
      </w:r>
      <w:r w:rsidR="009C013E">
        <w:rPr>
          <w:rFonts w:eastAsia="Calibri"/>
        </w:rPr>
        <w:t>jsou zpravidla</w:t>
      </w:r>
      <w:r w:rsidRPr="00397417">
        <w:rPr>
          <w:rFonts w:eastAsia="Calibri"/>
        </w:rPr>
        <w:t xml:space="preserve"> nedbalostní zavinění osob</w:t>
      </w:r>
      <w:r w:rsidR="009C013E">
        <w:rPr>
          <w:rFonts w:eastAsia="Calibri"/>
        </w:rPr>
        <w:t xml:space="preserve"> (v roce 2015</w:t>
      </w:r>
      <w:r w:rsidRPr="00397417">
        <w:rPr>
          <w:rFonts w:eastAsia="Calibri"/>
        </w:rPr>
        <w:t>celkem ve 442 případech</w:t>
      </w:r>
      <w:r w:rsidR="009C013E">
        <w:rPr>
          <w:rFonts w:eastAsia="Calibri"/>
        </w:rPr>
        <w:t>)</w:t>
      </w:r>
      <w:r w:rsidRPr="00397417">
        <w:rPr>
          <w:rFonts w:eastAsia="Calibri"/>
        </w:rPr>
        <w:t xml:space="preserve">. Druhou nejčastější příčinou vzniku požáru </w:t>
      </w:r>
      <w:r w:rsidR="009C013E">
        <w:rPr>
          <w:rFonts w:eastAsia="Calibri"/>
        </w:rPr>
        <w:t>jsou</w:t>
      </w:r>
      <w:r w:rsidR="009C013E" w:rsidRPr="00397417">
        <w:rPr>
          <w:rFonts w:eastAsia="Calibri"/>
        </w:rPr>
        <w:t xml:space="preserve"> </w:t>
      </w:r>
      <w:r w:rsidRPr="00397417">
        <w:rPr>
          <w:rFonts w:eastAsia="Calibri"/>
        </w:rPr>
        <w:t>technick</w:t>
      </w:r>
      <w:r w:rsidR="009C013E">
        <w:rPr>
          <w:rFonts w:eastAsia="Calibri"/>
        </w:rPr>
        <w:t>é</w:t>
      </w:r>
      <w:r w:rsidRPr="00397417">
        <w:rPr>
          <w:rFonts w:eastAsia="Calibri"/>
        </w:rPr>
        <w:t xml:space="preserve"> závad</w:t>
      </w:r>
      <w:r w:rsidR="009C013E">
        <w:rPr>
          <w:rFonts w:eastAsia="Calibri"/>
        </w:rPr>
        <w:t>y</w:t>
      </w:r>
      <w:r w:rsidRPr="00397417">
        <w:rPr>
          <w:rFonts w:eastAsia="Calibri"/>
        </w:rPr>
        <w:t xml:space="preserve"> na zařízení</w:t>
      </w:r>
      <w:r w:rsidR="009C013E">
        <w:rPr>
          <w:rFonts w:eastAsia="Calibri"/>
        </w:rPr>
        <w:t xml:space="preserve"> (</w:t>
      </w:r>
      <w:r w:rsidR="00863C19">
        <w:rPr>
          <w:rFonts w:eastAsia="Calibri"/>
        </w:rPr>
        <w:t xml:space="preserve">v roce 2015 </w:t>
      </w:r>
      <w:r w:rsidRPr="00397417">
        <w:rPr>
          <w:rFonts w:eastAsia="Calibri"/>
        </w:rPr>
        <w:t>prokázán</w:t>
      </w:r>
      <w:r w:rsidR="009C013E">
        <w:rPr>
          <w:rFonts w:eastAsia="Calibri"/>
        </w:rPr>
        <w:t>o</w:t>
      </w:r>
      <w:r w:rsidRPr="00397417">
        <w:rPr>
          <w:rFonts w:eastAsia="Calibri"/>
        </w:rPr>
        <w:t xml:space="preserve"> celkem ve 109 případech</w:t>
      </w:r>
      <w:r w:rsidR="009C013E">
        <w:rPr>
          <w:rFonts w:eastAsia="Calibri"/>
        </w:rPr>
        <w:t>)</w:t>
      </w:r>
      <w:r w:rsidRPr="00397417">
        <w:rPr>
          <w:rFonts w:eastAsia="Calibri"/>
        </w:rPr>
        <w:t>. Z pohledu na odvětví hospodářství</w:t>
      </w:r>
      <w:r w:rsidR="00863C19">
        <w:rPr>
          <w:rFonts w:eastAsia="Calibri"/>
        </w:rPr>
        <w:t xml:space="preserve"> vzniklo</w:t>
      </w:r>
      <w:r w:rsidRPr="00397417">
        <w:rPr>
          <w:rFonts w:eastAsia="Calibri"/>
        </w:rPr>
        <w:t xml:space="preserve"> nejvíce požárů v bytových jednotkách a v objektech v soukromém vlastnictví a dále na volném prostranství.</w:t>
      </w:r>
    </w:p>
    <w:p w:rsidR="00397417" w:rsidRDefault="00397417" w:rsidP="000B3B9C">
      <w:pPr>
        <w:pStyle w:val="Titulek"/>
      </w:pPr>
      <w:bookmarkStart w:id="482" w:name="_Toc488233524"/>
      <w:r w:rsidRPr="00397417">
        <w:t xml:space="preserve">Tabulka </w:t>
      </w:r>
      <w:r w:rsidR="008965FE">
        <w:fldChar w:fldCharType="begin"/>
      </w:r>
      <w:r w:rsidR="00B33DFE">
        <w:instrText xml:space="preserve"> STYLEREF 1 \s </w:instrText>
      </w:r>
      <w:r w:rsidR="008965FE">
        <w:fldChar w:fldCharType="separate"/>
      </w:r>
      <w:r w:rsidR="00CB29BD">
        <w:t>21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3</w:t>
      </w:r>
      <w:r w:rsidR="004F2330">
        <w:fldChar w:fldCharType="end"/>
      </w:r>
      <w:r w:rsidRPr="00397417">
        <w:t>: Události na území KK podle typu události</w:t>
      </w:r>
      <w:r w:rsidR="000144AB">
        <w:t xml:space="preserve"> v roce 2015</w:t>
      </w:r>
      <w:bookmarkEnd w:id="482"/>
    </w:p>
    <w:tbl>
      <w:tblPr>
        <w:tblW w:w="4972" w:type="pct"/>
        <w:tblLayout w:type="fixed"/>
        <w:tblCellMar>
          <w:left w:w="70" w:type="dxa"/>
          <w:right w:w="70" w:type="dxa"/>
        </w:tblCellMar>
        <w:tblLook w:val="04A0" w:firstRow="1" w:lastRow="0" w:firstColumn="1" w:lastColumn="0" w:noHBand="0" w:noVBand="1"/>
      </w:tblPr>
      <w:tblGrid>
        <w:gridCol w:w="3330"/>
        <w:gridCol w:w="729"/>
        <w:gridCol w:w="160"/>
        <w:gridCol w:w="2372"/>
        <w:gridCol w:w="1277"/>
        <w:gridCol w:w="1132"/>
        <w:gridCol w:w="160"/>
      </w:tblGrid>
      <w:tr w:rsidR="008D4EB6" w:rsidRPr="008D4EB6" w:rsidTr="008D4EB6">
        <w:trPr>
          <w:gridAfter w:val="1"/>
          <w:wAfter w:w="87" w:type="pct"/>
          <w:trHeight w:val="300"/>
        </w:trPr>
        <w:tc>
          <w:tcPr>
            <w:tcW w:w="1818" w:type="pct"/>
            <w:tcBorders>
              <w:top w:val="single" w:sz="4" w:space="0" w:color="auto"/>
              <w:left w:val="single" w:sz="4" w:space="0" w:color="auto"/>
              <w:bottom w:val="single" w:sz="4" w:space="0" w:color="auto"/>
              <w:right w:val="single" w:sz="4" w:space="0" w:color="auto"/>
            </w:tcBorders>
            <w:shd w:val="clear" w:color="auto" w:fill="auto"/>
            <w:noWrap/>
            <w:hideMark/>
          </w:tcPr>
          <w:p w:rsidR="00174F2F" w:rsidRPr="008D4EB6" w:rsidRDefault="00174F2F" w:rsidP="00174F2F">
            <w:pPr>
              <w:spacing w:after="0" w:line="240" w:lineRule="auto"/>
              <w:jc w:val="left"/>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Typ události</w:t>
            </w:r>
          </w:p>
        </w:tc>
        <w:tc>
          <w:tcPr>
            <w:tcW w:w="398" w:type="pct"/>
            <w:tcBorders>
              <w:top w:val="single" w:sz="4" w:space="0" w:color="auto"/>
              <w:left w:val="nil"/>
              <w:bottom w:val="single" w:sz="4" w:space="0" w:color="auto"/>
              <w:right w:val="single" w:sz="4" w:space="0" w:color="auto"/>
            </w:tcBorders>
            <w:shd w:val="clear" w:color="auto" w:fill="auto"/>
            <w:noWrap/>
            <w:hideMark/>
          </w:tcPr>
          <w:p w:rsidR="00174F2F" w:rsidRPr="008D4EB6" w:rsidRDefault="00174F2F" w:rsidP="008D4EB6">
            <w:pPr>
              <w:spacing w:after="0" w:line="240" w:lineRule="auto"/>
              <w:jc w:val="center"/>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počet</w:t>
            </w:r>
          </w:p>
        </w:tc>
        <w:tc>
          <w:tcPr>
            <w:tcW w:w="87" w:type="pct"/>
            <w:tcBorders>
              <w:top w:val="nil"/>
              <w:left w:val="nil"/>
              <w:bottom w:val="nil"/>
              <w:right w:val="nil"/>
            </w:tcBorders>
            <w:shd w:val="clear" w:color="auto" w:fill="auto"/>
            <w:noWrap/>
            <w:hideMark/>
          </w:tcPr>
          <w:p w:rsidR="00174F2F" w:rsidRPr="008D4EB6" w:rsidRDefault="00174F2F" w:rsidP="00174F2F">
            <w:pPr>
              <w:spacing w:after="0" w:line="240" w:lineRule="auto"/>
              <w:jc w:val="left"/>
              <w:rPr>
                <w:rFonts w:asciiTheme="minorHAnsi" w:hAnsiTheme="minorHAnsi" w:cs="Times New Roman"/>
                <w:b/>
                <w:bCs/>
                <w:color w:val="000000"/>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noWrap/>
            <w:hideMark/>
          </w:tcPr>
          <w:p w:rsidR="00174F2F" w:rsidRPr="008D4EB6" w:rsidRDefault="00174F2F" w:rsidP="00174F2F">
            <w:pPr>
              <w:spacing w:after="0" w:line="240" w:lineRule="auto"/>
              <w:jc w:val="left"/>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Požáry celkem</w:t>
            </w:r>
          </w:p>
        </w:tc>
        <w:tc>
          <w:tcPr>
            <w:tcW w:w="697" w:type="pct"/>
            <w:tcBorders>
              <w:top w:val="single" w:sz="4" w:space="0" w:color="auto"/>
              <w:left w:val="nil"/>
              <w:bottom w:val="single" w:sz="4" w:space="0" w:color="auto"/>
              <w:right w:val="single" w:sz="4" w:space="0" w:color="auto"/>
            </w:tcBorders>
            <w:shd w:val="clear" w:color="auto" w:fill="auto"/>
            <w:noWrap/>
            <w:hideMark/>
          </w:tcPr>
          <w:p w:rsidR="00174F2F" w:rsidRPr="008D4EB6" w:rsidRDefault="00174F2F" w:rsidP="008D4EB6">
            <w:pPr>
              <w:spacing w:after="0" w:line="240" w:lineRule="auto"/>
              <w:jc w:val="center"/>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S účastí jednotky</w:t>
            </w:r>
          </w:p>
        </w:tc>
        <w:tc>
          <w:tcPr>
            <w:tcW w:w="618" w:type="pct"/>
            <w:tcBorders>
              <w:top w:val="single" w:sz="4" w:space="0" w:color="auto"/>
              <w:left w:val="nil"/>
              <w:bottom w:val="single" w:sz="4" w:space="0" w:color="auto"/>
              <w:right w:val="single" w:sz="4" w:space="0" w:color="auto"/>
            </w:tcBorders>
            <w:shd w:val="clear" w:color="auto" w:fill="auto"/>
            <w:noWrap/>
            <w:hideMark/>
          </w:tcPr>
          <w:p w:rsidR="00174F2F" w:rsidRPr="008D4EB6" w:rsidRDefault="00174F2F" w:rsidP="008D4EB6">
            <w:pPr>
              <w:spacing w:after="0" w:line="240" w:lineRule="auto"/>
              <w:jc w:val="center"/>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Bez účasti jednotky</w:t>
            </w:r>
          </w:p>
        </w:tc>
      </w:tr>
      <w:tr w:rsidR="008D4EB6" w:rsidRPr="008D4EB6" w:rsidTr="008D4EB6">
        <w:trPr>
          <w:gridAfter w:val="1"/>
          <w:wAfter w:w="87" w:type="pct"/>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požár</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755</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přímé škody (tis. Kč)</w:t>
            </w:r>
          </w:p>
        </w:tc>
        <w:tc>
          <w:tcPr>
            <w:tcW w:w="697"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60310</w:t>
            </w:r>
          </w:p>
        </w:tc>
        <w:tc>
          <w:tcPr>
            <w:tcW w:w="61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2999</w:t>
            </w:r>
          </w:p>
        </w:tc>
      </w:tr>
      <w:tr w:rsidR="008D4EB6" w:rsidRPr="008D4EB6" w:rsidTr="008D4EB6">
        <w:trPr>
          <w:gridAfter w:val="1"/>
          <w:wAfter w:w="87" w:type="pct"/>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požár bez účasti JPO</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27</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usmrceno</w:t>
            </w:r>
          </w:p>
        </w:tc>
        <w:tc>
          <w:tcPr>
            <w:tcW w:w="697"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9</w:t>
            </w:r>
          </w:p>
        </w:tc>
        <w:tc>
          <w:tcPr>
            <w:tcW w:w="61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1</w:t>
            </w:r>
          </w:p>
        </w:tc>
      </w:tr>
      <w:tr w:rsidR="008D4EB6" w:rsidRPr="008D4EB6" w:rsidTr="008D4EB6">
        <w:trPr>
          <w:gridAfter w:val="1"/>
          <w:wAfter w:w="87" w:type="pct"/>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dopraví nehoda silniční, hromadná</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633</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usmrceno hasičů</w:t>
            </w:r>
          </w:p>
        </w:tc>
        <w:tc>
          <w:tcPr>
            <w:tcW w:w="697"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0</w:t>
            </w:r>
          </w:p>
        </w:tc>
        <w:tc>
          <w:tcPr>
            <w:tcW w:w="61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0</w:t>
            </w:r>
          </w:p>
        </w:tc>
      </w:tr>
      <w:tr w:rsidR="008D4EB6" w:rsidRPr="008D4EB6" w:rsidTr="008D4EB6">
        <w:trPr>
          <w:gridAfter w:val="1"/>
          <w:wAfter w:w="87" w:type="pct"/>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dopravní nehoda železniční (vč. Metra)</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22</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zraněno osob</w:t>
            </w:r>
          </w:p>
        </w:tc>
        <w:tc>
          <w:tcPr>
            <w:tcW w:w="697"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55</w:t>
            </w:r>
          </w:p>
        </w:tc>
        <w:tc>
          <w:tcPr>
            <w:tcW w:w="61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w:t>
            </w:r>
          </w:p>
        </w:tc>
      </w:tr>
      <w:tr w:rsidR="008D4EB6" w:rsidRPr="008D4EB6" w:rsidTr="008D4EB6">
        <w:trPr>
          <w:gridAfter w:val="1"/>
          <w:wAfter w:w="87" w:type="pct"/>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dopravní nehoda letecká</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1</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zraněno hasičů</w:t>
            </w:r>
          </w:p>
        </w:tc>
        <w:tc>
          <w:tcPr>
            <w:tcW w:w="697"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w:t>
            </w:r>
          </w:p>
        </w:tc>
        <w:tc>
          <w:tcPr>
            <w:tcW w:w="61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0</w:t>
            </w:r>
          </w:p>
        </w:tc>
      </w:tr>
      <w:tr w:rsidR="008D4EB6" w:rsidRPr="008D4EB6" w:rsidTr="008D4EB6">
        <w:trPr>
          <w:gridAfter w:val="1"/>
          <w:wAfter w:w="87" w:type="pct"/>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8D4EB6" w:rsidRPr="008D4EB6" w:rsidRDefault="008D4EB6"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únik plynu/aerosolu</w:t>
            </w:r>
          </w:p>
        </w:tc>
        <w:tc>
          <w:tcPr>
            <w:tcW w:w="398" w:type="pct"/>
            <w:tcBorders>
              <w:top w:val="nil"/>
              <w:left w:val="nil"/>
              <w:bottom w:val="single" w:sz="4" w:space="0" w:color="auto"/>
              <w:right w:val="single" w:sz="4" w:space="0" w:color="auto"/>
            </w:tcBorders>
            <w:shd w:val="clear" w:color="auto" w:fill="auto"/>
            <w:noWrap/>
            <w:vAlign w:val="bottom"/>
            <w:hideMark/>
          </w:tcPr>
          <w:p w:rsidR="008D4EB6" w:rsidRPr="008D4EB6" w:rsidRDefault="008D4EB6"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65</w:t>
            </w:r>
          </w:p>
        </w:tc>
        <w:tc>
          <w:tcPr>
            <w:tcW w:w="87" w:type="pct"/>
            <w:tcBorders>
              <w:top w:val="nil"/>
              <w:left w:val="nil"/>
              <w:bottom w:val="nil"/>
              <w:right w:val="nil"/>
            </w:tcBorders>
            <w:shd w:val="clear" w:color="auto" w:fill="auto"/>
            <w:noWrap/>
            <w:vAlign w:val="bottom"/>
            <w:hideMark/>
          </w:tcPr>
          <w:p w:rsidR="008D4EB6" w:rsidRPr="008D4EB6" w:rsidRDefault="008D4EB6" w:rsidP="00174F2F">
            <w:pPr>
              <w:spacing w:after="0" w:line="240" w:lineRule="auto"/>
              <w:jc w:val="left"/>
              <w:rPr>
                <w:rFonts w:asciiTheme="minorHAnsi" w:hAnsiTheme="minorHAnsi" w:cs="Times New Roman"/>
                <w:color w:val="000000"/>
                <w:sz w:val="20"/>
                <w:szCs w:val="20"/>
              </w:rPr>
            </w:pPr>
          </w:p>
        </w:tc>
        <w:tc>
          <w:tcPr>
            <w:tcW w:w="2610" w:type="pct"/>
            <w:gridSpan w:val="3"/>
            <w:vMerge w:val="restart"/>
            <w:tcBorders>
              <w:top w:val="nil"/>
              <w:left w:val="nil"/>
              <w:right w:val="nil"/>
            </w:tcBorders>
            <w:shd w:val="clear" w:color="auto" w:fill="auto"/>
            <w:noWrap/>
            <w:vAlign w:val="bottom"/>
            <w:hideMark/>
          </w:tcPr>
          <w:p w:rsidR="008D4EB6" w:rsidRPr="008D4EB6" w:rsidRDefault="008D4EB6" w:rsidP="00174F2F">
            <w:pPr>
              <w:spacing w:after="0" w:line="240" w:lineRule="auto"/>
              <w:jc w:val="left"/>
              <w:rPr>
                <w:rFonts w:asciiTheme="minorHAnsi" w:hAnsiTheme="minorHAnsi" w:cs="Times New Roman"/>
                <w:color w:val="000000"/>
                <w:sz w:val="20"/>
                <w:szCs w:val="20"/>
              </w:rPr>
            </w:pPr>
          </w:p>
        </w:tc>
      </w:tr>
      <w:tr w:rsidR="008D4EB6" w:rsidRPr="008D4EB6" w:rsidTr="008D4EB6">
        <w:trPr>
          <w:gridAfter w:val="1"/>
          <w:wAfter w:w="87" w:type="pct"/>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8D4EB6" w:rsidRPr="008D4EB6" w:rsidRDefault="008D4EB6"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únik kapaliny (mimo ropných produktů)</w:t>
            </w:r>
          </w:p>
        </w:tc>
        <w:tc>
          <w:tcPr>
            <w:tcW w:w="398" w:type="pct"/>
            <w:tcBorders>
              <w:top w:val="nil"/>
              <w:left w:val="nil"/>
              <w:bottom w:val="single" w:sz="4" w:space="0" w:color="auto"/>
              <w:right w:val="single" w:sz="4" w:space="0" w:color="auto"/>
            </w:tcBorders>
            <w:shd w:val="clear" w:color="auto" w:fill="auto"/>
            <w:noWrap/>
            <w:vAlign w:val="bottom"/>
            <w:hideMark/>
          </w:tcPr>
          <w:p w:rsidR="008D4EB6" w:rsidRPr="008D4EB6" w:rsidRDefault="008D4EB6"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16</w:t>
            </w:r>
          </w:p>
        </w:tc>
        <w:tc>
          <w:tcPr>
            <w:tcW w:w="87" w:type="pct"/>
            <w:tcBorders>
              <w:top w:val="nil"/>
              <w:left w:val="nil"/>
              <w:bottom w:val="nil"/>
              <w:right w:val="nil"/>
            </w:tcBorders>
            <w:shd w:val="clear" w:color="auto" w:fill="auto"/>
            <w:noWrap/>
            <w:vAlign w:val="bottom"/>
            <w:hideMark/>
          </w:tcPr>
          <w:p w:rsidR="008D4EB6" w:rsidRPr="008D4EB6" w:rsidRDefault="008D4EB6" w:rsidP="00174F2F">
            <w:pPr>
              <w:spacing w:after="0" w:line="240" w:lineRule="auto"/>
              <w:jc w:val="left"/>
              <w:rPr>
                <w:rFonts w:asciiTheme="minorHAnsi" w:hAnsiTheme="minorHAnsi" w:cs="Times New Roman"/>
                <w:b/>
                <w:bCs/>
                <w:color w:val="000000"/>
                <w:sz w:val="20"/>
                <w:szCs w:val="20"/>
              </w:rPr>
            </w:pPr>
          </w:p>
        </w:tc>
        <w:tc>
          <w:tcPr>
            <w:tcW w:w="2610" w:type="pct"/>
            <w:gridSpan w:val="3"/>
            <w:vMerge/>
            <w:tcBorders>
              <w:left w:val="nil"/>
              <w:bottom w:val="nil"/>
              <w:right w:val="nil"/>
            </w:tcBorders>
            <w:shd w:val="clear" w:color="auto" w:fill="auto"/>
            <w:noWrap/>
            <w:vAlign w:val="bottom"/>
            <w:hideMark/>
          </w:tcPr>
          <w:p w:rsidR="008D4EB6" w:rsidRPr="008D4EB6" w:rsidRDefault="008D4EB6"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únik ropných produktů</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266</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b/>
                <w:bCs/>
                <w:color w:val="000000"/>
                <w:sz w:val="20"/>
                <w:szCs w:val="20"/>
              </w:rPr>
            </w:pPr>
          </w:p>
        </w:tc>
        <w:tc>
          <w:tcPr>
            <w:tcW w:w="12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Typ události</w:t>
            </w:r>
          </w:p>
        </w:tc>
        <w:tc>
          <w:tcPr>
            <w:tcW w:w="1315" w:type="pct"/>
            <w:gridSpan w:val="2"/>
            <w:tcBorders>
              <w:top w:val="single" w:sz="4" w:space="0" w:color="auto"/>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Počet</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únik pevné látky</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0</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požár</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802</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únik nebezpečné chemické látky - ostatní</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4</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dopravní nehoda</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656</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technická pomoc</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1952</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živelná pohroma</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0</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technologická pomoc</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167</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únik nebezpečných látek</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351</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ostatní pomoc</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164</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technická pomoc</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2283</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ostatní mimořádné události (epidemi, nákazy aj.)</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ostatní mimořádné události</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planý poplach</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266</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r w:rsidRPr="008D4EB6">
              <w:rPr>
                <w:rFonts w:asciiTheme="minorHAnsi" w:hAnsiTheme="minorHAnsi" w:cs="Times New Roman"/>
                <w:color w:val="000000"/>
                <w:sz w:val="20"/>
                <w:szCs w:val="20"/>
              </w:rPr>
              <w:t>planý poplach</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266</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r w:rsidR="008D4EB6" w:rsidRPr="008D4EB6" w:rsidTr="008D4EB6">
        <w:trPr>
          <w:trHeight w:val="300"/>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Celkem</w:t>
            </w:r>
          </w:p>
        </w:tc>
        <w:tc>
          <w:tcPr>
            <w:tcW w:w="398" w:type="pct"/>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4340</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c>
          <w:tcPr>
            <w:tcW w:w="1295" w:type="pct"/>
            <w:tcBorders>
              <w:top w:val="nil"/>
              <w:left w:val="single" w:sz="4" w:space="0" w:color="auto"/>
              <w:bottom w:val="single" w:sz="4" w:space="0" w:color="auto"/>
              <w:right w:val="single" w:sz="4" w:space="0" w:color="auto"/>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b/>
                <w:bCs/>
                <w:color w:val="000000"/>
                <w:sz w:val="20"/>
                <w:szCs w:val="20"/>
              </w:rPr>
            </w:pPr>
            <w:r w:rsidRPr="008D4EB6">
              <w:rPr>
                <w:rFonts w:asciiTheme="minorHAnsi" w:hAnsiTheme="minorHAnsi" w:cs="Times New Roman"/>
                <w:b/>
                <w:bCs/>
                <w:color w:val="000000"/>
                <w:sz w:val="20"/>
                <w:szCs w:val="20"/>
              </w:rPr>
              <w:t>Celkem</w:t>
            </w:r>
          </w:p>
        </w:tc>
        <w:tc>
          <w:tcPr>
            <w:tcW w:w="1315" w:type="pct"/>
            <w:gridSpan w:val="2"/>
            <w:tcBorders>
              <w:top w:val="nil"/>
              <w:left w:val="nil"/>
              <w:bottom w:val="single" w:sz="4" w:space="0" w:color="auto"/>
              <w:right w:val="single" w:sz="4" w:space="0" w:color="auto"/>
            </w:tcBorders>
            <w:shd w:val="clear" w:color="auto" w:fill="auto"/>
            <w:noWrap/>
            <w:vAlign w:val="bottom"/>
            <w:hideMark/>
          </w:tcPr>
          <w:p w:rsidR="00174F2F" w:rsidRPr="008D4EB6" w:rsidRDefault="00174F2F" w:rsidP="008D4EB6">
            <w:pPr>
              <w:spacing w:after="0" w:line="240" w:lineRule="auto"/>
              <w:jc w:val="center"/>
              <w:rPr>
                <w:rFonts w:asciiTheme="minorHAnsi" w:hAnsiTheme="minorHAnsi" w:cs="Times New Roman"/>
                <w:color w:val="000000"/>
                <w:sz w:val="20"/>
                <w:szCs w:val="20"/>
              </w:rPr>
            </w:pPr>
            <w:r w:rsidRPr="008D4EB6">
              <w:rPr>
                <w:rFonts w:asciiTheme="minorHAnsi" w:hAnsiTheme="minorHAnsi" w:cs="Times New Roman"/>
                <w:color w:val="000000"/>
                <w:sz w:val="20"/>
                <w:szCs w:val="20"/>
              </w:rPr>
              <w:t>4360</w:t>
            </w:r>
          </w:p>
        </w:tc>
        <w:tc>
          <w:tcPr>
            <w:tcW w:w="87" w:type="pct"/>
            <w:tcBorders>
              <w:top w:val="nil"/>
              <w:left w:val="nil"/>
              <w:bottom w:val="nil"/>
              <w:right w:val="nil"/>
            </w:tcBorders>
            <w:shd w:val="clear" w:color="auto" w:fill="auto"/>
            <w:noWrap/>
            <w:vAlign w:val="bottom"/>
            <w:hideMark/>
          </w:tcPr>
          <w:p w:rsidR="00174F2F" w:rsidRPr="008D4EB6" w:rsidRDefault="00174F2F" w:rsidP="00174F2F">
            <w:pPr>
              <w:spacing w:after="0" w:line="240" w:lineRule="auto"/>
              <w:jc w:val="left"/>
              <w:rPr>
                <w:rFonts w:asciiTheme="minorHAnsi" w:hAnsiTheme="minorHAnsi" w:cs="Times New Roman"/>
                <w:color w:val="000000"/>
                <w:sz w:val="20"/>
                <w:szCs w:val="20"/>
              </w:rPr>
            </w:pPr>
          </w:p>
        </w:tc>
      </w:tr>
    </w:tbl>
    <w:p w:rsidR="009E424D" w:rsidRDefault="00397417">
      <w:pPr>
        <w:pStyle w:val="poznzdroj"/>
        <w:rPr>
          <w:rFonts w:eastAsia="Calibri"/>
        </w:rPr>
      </w:pPr>
      <w:r w:rsidRPr="00140BE2">
        <w:rPr>
          <w:rFonts w:eastAsia="Calibri"/>
          <w:szCs w:val="20"/>
        </w:rPr>
        <w:t xml:space="preserve">Zdroj: </w:t>
      </w:r>
      <w:r w:rsidRPr="00140BE2">
        <w:t>Roční zpráva o stavu požární ochrany Karlovarského kraje za rok 2015</w:t>
      </w:r>
    </w:p>
    <w:p w:rsidR="00397417" w:rsidRPr="00397417" w:rsidRDefault="00397417" w:rsidP="002C40B2">
      <w:pPr>
        <w:pStyle w:val="Nadpis2"/>
        <w:tabs>
          <w:tab w:val="left" w:pos="2715"/>
        </w:tabs>
        <w:rPr>
          <w:rFonts w:ascii="Calibri" w:hAnsi="Calibri"/>
        </w:rPr>
      </w:pPr>
      <w:r w:rsidRPr="00397417">
        <w:rPr>
          <w:rFonts w:ascii="Calibri" w:hAnsi="Calibri"/>
        </w:rPr>
        <w:t>Policie České republiky</w:t>
      </w:r>
      <w:r w:rsidRPr="00397417">
        <w:rPr>
          <w:rFonts w:ascii="Calibri" w:hAnsi="Calibri"/>
        </w:rPr>
        <w:tab/>
      </w:r>
    </w:p>
    <w:p w:rsidR="00397417" w:rsidRPr="00397417" w:rsidRDefault="00397417" w:rsidP="002C40B2">
      <w:r w:rsidRPr="00397417">
        <w:t>Krajské ředitelství Policie České republiky Karlovarského kraje je rozděleno do třech územních odborů</w:t>
      </w:r>
      <w:r w:rsidR="009C013E">
        <w:t xml:space="preserve"> – Cheb, Sokolov a Karlovy Vary.</w:t>
      </w:r>
    </w:p>
    <w:p w:rsidR="00397417" w:rsidRPr="00397417" w:rsidRDefault="00397417" w:rsidP="002C40B2">
      <w:r w:rsidRPr="00397417">
        <w:lastRenderedPageBreak/>
        <w:t xml:space="preserve">Na území kraje bylo za rok 2015 setřeno celkem 5.737 případů trestných činů. Objasněno bylo 3 976 případů - objasněnost trestných činů činila 69,3 %. Tato čísla dlouhodobě řadí karlovarské policisty na první místo v České republice. Ve srovnání s rokem 2014 došlo k poklesu trestných činů o 14,5 % </w:t>
      </w:r>
      <w:r w:rsidRPr="00397417">
        <w:br/>
        <w:t>(v roce 2014 bylo spácháno 6 726 trestných čin</w:t>
      </w:r>
      <w:r w:rsidR="00863C19">
        <w:t>ů</w:t>
      </w:r>
      <w:r w:rsidRPr="00397417">
        <w:t>). V číselném vyjádřeni, se jedná o 989 případů méně. V roce 2015 bylo stíháno nebo vyšetřováno celkem 3 898 osob, což je o 527 méně než v roce 2014. V roce 2015 byl zaznamenán nejvyšší počet spáchaných trestných činu v teritoriu Územního odboru Karlovy Vary – 2 478 skutků (v roce 2014 se jednalo o 2 942 skutků). Naproti tomu nejnižší počet spáchaných skutků byl zaznamenán v teritoriu Územního odboru Sokolov - 1 490 (v roce 2014 se jednalo o 1 723 skutků). V teritoriu Územního odboru Cheb bylo spácháno 1 769 skutků (v roce 2014 to bylo 2 061 skutků). Z celkového počtu 3.898 pachatelů bylo 2 148 recidivistů, nezletilých (1 - 14 let) bylo 59, mladistvých (15 - 17 let) bylo 99. Žen se na páchání trestné činnosti podílelo 661, mužů 3 237. Pod vlivem alkoholu nebo drog bylo 819 pachatelů.</w:t>
      </w:r>
    </w:p>
    <w:p w:rsidR="00397417" w:rsidRPr="00397417" w:rsidRDefault="00397417" w:rsidP="002C40B2">
      <w:r w:rsidRPr="00397417">
        <w:t>V Karlovarském kraji se v roce 2015 stalo celkem 1</w:t>
      </w:r>
      <w:r w:rsidR="00863C19">
        <w:t xml:space="preserve"> </w:t>
      </w:r>
      <w:r w:rsidRPr="00397417">
        <w:t>996 evidovaných dopravních nehod. V těchto případech došlo k usmrcení 24 osob, 53 osob bylo zraněno těžce a 744 osob zraněno lehce. Výše hmotné škody na majetku činila cca 111 058 300 Kč. U 142 viníků dopravních nehod byl zjištěn alkohol, v 8 případech</w:t>
      </w:r>
      <w:r w:rsidR="00863C19" w:rsidRPr="00863C19">
        <w:t xml:space="preserve"> </w:t>
      </w:r>
      <w:r w:rsidR="00863C19" w:rsidRPr="00397417">
        <w:t>drogy</w:t>
      </w:r>
      <w:r w:rsidRPr="00397417">
        <w:t>. Při dopravní nehodě mělo nad 1 promile 108 řidičů, což je o 17 řidičů více, než v roce 2014. Srážku s lesní zvěří nahlásilo 415 řidičů, což je proti roku 2014 o 216 případů více.</w:t>
      </w:r>
    </w:p>
    <w:p w:rsidR="00397417" w:rsidRPr="00397417" w:rsidRDefault="00397417" w:rsidP="000B3B9C">
      <w:pPr>
        <w:pStyle w:val="Titulek"/>
      </w:pPr>
      <w:bookmarkStart w:id="483" w:name="_Toc488233525"/>
      <w:r w:rsidRPr="00397417">
        <w:t xml:space="preserve">Tabulka </w:t>
      </w:r>
      <w:r w:rsidR="008965FE">
        <w:fldChar w:fldCharType="begin"/>
      </w:r>
      <w:r w:rsidR="00B33DFE">
        <w:instrText xml:space="preserve"> STYLEREF 1 \s </w:instrText>
      </w:r>
      <w:r w:rsidR="008965FE">
        <w:fldChar w:fldCharType="separate"/>
      </w:r>
      <w:r w:rsidR="00CB29BD">
        <w:t>21</w:t>
      </w:r>
      <w:r w:rsidR="008965FE">
        <w:fldChar w:fldCharType="end"/>
      </w:r>
      <w:r w:rsidR="002C40B2">
        <w:t>.</w:t>
      </w:r>
      <w:r w:rsidR="004F2330">
        <w:fldChar w:fldCharType="begin"/>
      </w:r>
      <w:r w:rsidR="004F2330">
        <w:instrText xml:space="preserve"> SEQ Tabulka \* ARABIC \s 1 </w:instrText>
      </w:r>
      <w:r w:rsidR="004F2330">
        <w:fldChar w:fldCharType="separate"/>
      </w:r>
      <w:r w:rsidR="00CB29BD">
        <w:t>4</w:t>
      </w:r>
      <w:r w:rsidR="004F2330">
        <w:fldChar w:fldCharType="end"/>
      </w:r>
      <w:r w:rsidRPr="00397417">
        <w:t>: Statistika nehod v letech 2014 a 2015</w:t>
      </w:r>
      <w:bookmarkEnd w:id="483"/>
    </w:p>
    <w:tbl>
      <w:tblPr>
        <w:tblW w:w="9238" w:type="dxa"/>
        <w:tblInd w:w="108" w:type="dxa"/>
        <w:tblBorders>
          <w:top w:val="nil"/>
          <w:left w:val="nil"/>
          <w:bottom w:val="nil"/>
          <w:right w:val="nil"/>
        </w:tblBorders>
        <w:tblLayout w:type="fixed"/>
        <w:tblLook w:val="0000" w:firstRow="0" w:lastRow="0" w:firstColumn="0" w:lastColumn="0" w:noHBand="0" w:noVBand="0"/>
      </w:tblPr>
      <w:tblGrid>
        <w:gridCol w:w="2079"/>
        <w:gridCol w:w="2212"/>
        <w:gridCol w:w="2405"/>
        <w:gridCol w:w="2542"/>
      </w:tblGrid>
      <w:tr w:rsidR="00140BE2" w:rsidRPr="00140BE2" w:rsidTr="00140BE2">
        <w:trPr>
          <w:trHeight w:hRule="exact" w:val="284"/>
        </w:trPr>
        <w:tc>
          <w:tcPr>
            <w:tcW w:w="2079"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rPr>
                <w:sz w:val="20"/>
                <w:szCs w:val="20"/>
              </w:rPr>
            </w:pPr>
          </w:p>
        </w:tc>
        <w:tc>
          <w:tcPr>
            <w:tcW w:w="221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b/>
                <w:sz w:val="20"/>
                <w:szCs w:val="20"/>
              </w:rPr>
            </w:pPr>
            <w:r w:rsidRPr="00140BE2">
              <w:rPr>
                <w:b/>
                <w:sz w:val="20"/>
                <w:szCs w:val="20"/>
              </w:rPr>
              <w:t>2014</w:t>
            </w:r>
          </w:p>
        </w:tc>
        <w:tc>
          <w:tcPr>
            <w:tcW w:w="2405"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b/>
                <w:sz w:val="20"/>
                <w:szCs w:val="20"/>
              </w:rPr>
            </w:pPr>
            <w:r w:rsidRPr="00140BE2">
              <w:rPr>
                <w:b/>
                <w:sz w:val="20"/>
                <w:szCs w:val="20"/>
              </w:rPr>
              <w:t>2015</w:t>
            </w:r>
          </w:p>
        </w:tc>
        <w:tc>
          <w:tcPr>
            <w:tcW w:w="254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b/>
                <w:sz w:val="20"/>
                <w:szCs w:val="20"/>
              </w:rPr>
            </w:pPr>
            <w:r w:rsidRPr="00140BE2">
              <w:rPr>
                <w:b/>
                <w:sz w:val="20"/>
                <w:szCs w:val="20"/>
              </w:rPr>
              <w:t>Rozdíl</w:t>
            </w:r>
          </w:p>
        </w:tc>
      </w:tr>
      <w:tr w:rsidR="00140BE2" w:rsidRPr="00140BE2" w:rsidTr="00140BE2">
        <w:trPr>
          <w:trHeight w:hRule="exact" w:val="284"/>
        </w:trPr>
        <w:tc>
          <w:tcPr>
            <w:tcW w:w="2079"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rPr>
                <w:b/>
                <w:sz w:val="20"/>
                <w:szCs w:val="20"/>
              </w:rPr>
            </w:pPr>
            <w:r w:rsidRPr="00140BE2">
              <w:rPr>
                <w:b/>
                <w:sz w:val="20"/>
                <w:szCs w:val="20"/>
              </w:rPr>
              <w:t xml:space="preserve">Celkem nehod </w:t>
            </w:r>
          </w:p>
        </w:tc>
        <w:tc>
          <w:tcPr>
            <w:tcW w:w="221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1732</w:t>
            </w:r>
          </w:p>
        </w:tc>
        <w:tc>
          <w:tcPr>
            <w:tcW w:w="2405"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1996</w:t>
            </w:r>
          </w:p>
        </w:tc>
        <w:tc>
          <w:tcPr>
            <w:tcW w:w="254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+ 264</w:t>
            </w:r>
          </w:p>
        </w:tc>
      </w:tr>
      <w:tr w:rsidR="00140BE2" w:rsidRPr="00140BE2" w:rsidTr="00140BE2">
        <w:trPr>
          <w:trHeight w:hRule="exact" w:val="284"/>
        </w:trPr>
        <w:tc>
          <w:tcPr>
            <w:tcW w:w="2079"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rPr>
                <w:b/>
                <w:sz w:val="20"/>
                <w:szCs w:val="20"/>
              </w:rPr>
            </w:pPr>
            <w:r w:rsidRPr="00140BE2">
              <w:rPr>
                <w:b/>
                <w:sz w:val="20"/>
                <w:szCs w:val="20"/>
              </w:rPr>
              <w:t xml:space="preserve">Usmrceno osob </w:t>
            </w:r>
          </w:p>
        </w:tc>
        <w:tc>
          <w:tcPr>
            <w:tcW w:w="221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15</w:t>
            </w:r>
          </w:p>
        </w:tc>
        <w:tc>
          <w:tcPr>
            <w:tcW w:w="2405"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24</w:t>
            </w:r>
          </w:p>
        </w:tc>
        <w:tc>
          <w:tcPr>
            <w:tcW w:w="254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+9</w:t>
            </w:r>
          </w:p>
        </w:tc>
      </w:tr>
      <w:tr w:rsidR="00140BE2" w:rsidRPr="00140BE2" w:rsidTr="00140BE2">
        <w:trPr>
          <w:trHeight w:hRule="exact" w:val="284"/>
        </w:trPr>
        <w:tc>
          <w:tcPr>
            <w:tcW w:w="2079"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rPr>
                <w:b/>
                <w:sz w:val="20"/>
                <w:szCs w:val="20"/>
              </w:rPr>
            </w:pPr>
            <w:r w:rsidRPr="00140BE2">
              <w:rPr>
                <w:b/>
                <w:sz w:val="20"/>
                <w:szCs w:val="20"/>
              </w:rPr>
              <w:t xml:space="preserve">Těžce zraněno </w:t>
            </w:r>
          </w:p>
        </w:tc>
        <w:tc>
          <w:tcPr>
            <w:tcW w:w="221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83</w:t>
            </w:r>
          </w:p>
        </w:tc>
        <w:tc>
          <w:tcPr>
            <w:tcW w:w="2405"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53</w:t>
            </w:r>
          </w:p>
        </w:tc>
        <w:tc>
          <w:tcPr>
            <w:tcW w:w="254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-30</w:t>
            </w:r>
          </w:p>
        </w:tc>
      </w:tr>
      <w:tr w:rsidR="00140BE2" w:rsidRPr="00140BE2" w:rsidTr="00140BE2">
        <w:trPr>
          <w:trHeight w:hRule="exact" w:val="284"/>
        </w:trPr>
        <w:tc>
          <w:tcPr>
            <w:tcW w:w="2079"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rPr>
                <w:b/>
                <w:sz w:val="20"/>
                <w:szCs w:val="20"/>
              </w:rPr>
            </w:pPr>
            <w:r w:rsidRPr="00140BE2">
              <w:rPr>
                <w:b/>
                <w:sz w:val="20"/>
                <w:szCs w:val="20"/>
              </w:rPr>
              <w:t xml:space="preserve">Lehce zraněno </w:t>
            </w:r>
          </w:p>
        </w:tc>
        <w:tc>
          <w:tcPr>
            <w:tcW w:w="221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753</w:t>
            </w:r>
          </w:p>
        </w:tc>
        <w:tc>
          <w:tcPr>
            <w:tcW w:w="2405"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744</w:t>
            </w:r>
          </w:p>
        </w:tc>
        <w:tc>
          <w:tcPr>
            <w:tcW w:w="254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-9</w:t>
            </w:r>
          </w:p>
        </w:tc>
      </w:tr>
      <w:tr w:rsidR="00140BE2" w:rsidRPr="00140BE2" w:rsidTr="00140BE2">
        <w:trPr>
          <w:trHeight w:hRule="exact" w:val="284"/>
        </w:trPr>
        <w:tc>
          <w:tcPr>
            <w:tcW w:w="2079"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rPr>
                <w:b/>
                <w:sz w:val="20"/>
                <w:szCs w:val="20"/>
              </w:rPr>
            </w:pPr>
            <w:r w:rsidRPr="00140BE2">
              <w:rPr>
                <w:b/>
                <w:sz w:val="20"/>
                <w:szCs w:val="20"/>
              </w:rPr>
              <w:t xml:space="preserve">Hmotná škoda </w:t>
            </w:r>
          </w:p>
        </w:tc>
        <w:tc>
          <w:tcPr>
            <w:tcW w:w="221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103.584.000,--Kč</w:t>
            </w:r>
          </w:p>
        </w:tc>
        <w:tc>
          <w:tcPr>
            <w:tcW w:w="2405"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111.058.300,--Kč</w:t>
            </w:r>
          </w:p>
        </w:tc>
        <w:tc>
          <w:tcPr>
            <w:tcW w:w="2542" w:type="dxa"/>
            <w:tcBorders>
              <w:top w:val="single" w:sz="6" w:space="0" w:color="000000"/>
              <w:left w:val="single" w:sz="6" w:space="0" w:color="000000"/>
              <w:bottom w:val="single" w:sz="6" w:space="0" w:color="000000"/>
              <w:right w:val="single" w:sz="6" w:space="0" w:color="000000"/>
            </w:tcBorders>
          </w:tcPr>
          <w:p w:rsidR="00397417" w:rsidRPr="00140BE2" w:rsidRDefault="00397417" w:rsidP="002C40B2">
            <w:pPr>
              <w:jc w:val="center"/>
              <w:rPr>
                <w:sz w:val="20"/>
                <w:szCs w:val="20"/>
              </w:rPr>
            </w:pPr>
            <w:r w:rsidRPr="00140BE2">
              <w:rPr>
                <w:sz w:val="20"/>
                <w:szCs w:val="20"/>
              </w:rPr>
              <w:t>+ 7.474.300,--Kč</w:t>
            </w:r>
          </w:p>
        </w:tc>
      </w:tr>
    </w:tbl>
    <w:p w:rsidR="00397417" w:rsidRPr="00140BE2" w:rsidRDefault="00397417" w:rsidP="002C40B2">
      <w:pPr>
        <w:pStyle w:val="poznzdroj"/>
        <w:spacing w:line="276" w:lineRule="auto"/>
        <w:rPr>
          <w:szCs w:val="20"/>
        </w:rPr>
      </w:pPr>
      <w:r w:rsidRPr="00140BE2">
        <w:rPr>
          <w:szCs w:val="20"/>
        </w:rPr>
        <w:t xml:space="preserve">Zdroj: </w:t>
      </w:r>
      <w:r w:rsidRPr="00140BE2">
        <w:rPr>
          <w:rFonts w:cs="Times New Roman"/>
          <w:szCs w:val="20"/>
        </w:rPr>
        <w:t>Zpráva o bezpečnostní situaci v Karlovarském kraji za období roku 2015</w:t>
      </w:r>
    </w:p>
    <w:p w:rsidR="00397417" w:rsidRPr="00397417" w:rsidRDefault="00397417" w:rsidP="002C40B2">
      <w:pPr>
        <w:pStyle w:val="Nadpis2"/>
        <w:rPr>
          <w:rFonts w:ascii="Calibri" w:hAnsi="Calibri" w:cs="Times New Roman"/>
          <w:bCs/>
          <w:szCs w:val="24"/>
        </w:rPr>
      </w:pPr>
      <w:r w:rsidRPr="00397417">
        <w:rPr>
          <w:rFonts w:ascii="Calibri" w:hAnsi="Calibri" w:cs="Times New Roman"/>
          <w:szCs w:val="24"/>
        </w:rPr>
        <w:t>Klíčové výzvy/problémy</w:t>
      </w:r>
    </w:p>
    <w:p w:rsidR="00397417" w:rsidRPr="00140BE2" w:rsidRDefault="00397417" w:rsidP="002C40B2">
      <w:pPr>
        <w:rPr>
          <w:rFonts w:cs="Times New Roman"/>
          <w:b/>
        </w:rPr>
      </w:pPr>
      <w:r w:rsidRPr="00140BE2">
        <w:rPr>
          <w:rFonts w:cs="Times New Roman"/>
          <w:b/>
        </w:rPr>
        <w:t>Nízká úroveň ochrany měkkých cílů</w:t>
      </w:r>
    </w:p>
    <w:p w:rsidR="00397417" w:rsidRPr="00140BE2" w:rsidRDefault="00397417" w:rsidP="002C40B2">
      <w:pPr>
        <w:rPr>
          <w:rFonts w:cs="Times New Roman"/>
        </w:rPr>
      </w:pPr>
      <w:r w:rsidRPr="00140BE2">
        <w:rPr>
          <w:rFonts w:cs="Times New Roman"/>
          <w:bCs/>
        </w:rPr>
        <w:t xml:space="preserve">Měkký cíl </w:t>
      </w:r>
      <w:r w:rsidRPr="00140BE2">
        <w:rPr>
          <w:rFonts w:cs="Times New Roman"/>
        </w:rPr>
        <w:t>není přesně definován. Obecně však jde o místa s vysokou koncentrací osob a nízkou mírou zabezpečení proti násilnému útoku (například teroristů či duševně narušených jedinců). Na takových místech je vyšší pravděpodobnost napadení s možnými velkými škodami na životech a zdraví lidí. Může jít o různé kulturní, společenské nebo sportovní akce, ale i jiná místa, kde se schází velké množství lidí, například nádraží, obchodní centra školská zařízení apod.</w:t>
      </w:r>
    </w:p>
    <w:p w:rsidR="00397417" w:rsidRPr="00140BE2" w:rsidRDefault="00397417" w:rsidP="002C40B2">
      <w:pPr>
        <w:rPr>
          <w:rFonts w:cs="Times New Roman"/>
          <w:b/>
        </w:rPr>
      </w:pPr>
      <w:r w:rsidRPr="00140BE2">
        <w:rPr>
          <w:rFonts w:cs="Times New Roman"/>
          <w:b/>
        </w:rPr>
        <w:t>Příčiny</w:t>
      </w:r>
    </w:p>
    <w:p w:rsidR="00397417" w:rsidRPr="00140BE2" w:rsidRDefault="00397417" w:rsidP="002C40B2">
      <w:pPr>
        <w:rPr>
          <w:rFonts w:cs="Times New Roman"/>
        </w:rPr>
      </w:pPr>
      <w:r w:rsidRPr="00140BE2">
        <w:rPr>
          <w:rFonts w:cs="Times New Roman"/>
        </w:rPr>
        <w:t>Systematické ochranně měkkých cílů se v minulosti nevěnovala patřičná pozornost v systému řízení bezpečnosti na úrovni kraje.</w:t>
      </w:r>
    </w:p>
    <w:p w:rsidR="00397417" w:rsidRPr="00140BE2" w:rsidRDefault="00140BE2" w:rsidP="002C40B2">
      <w:pPr>
        <w:rPr>
          <w:rFonts w:cs="Times New Roman"/>
          <w:b/>
        </w:rPr>
      </w:pPr>
      <w:r w:rsidRPr="00140BE2">
        <w:rPr>
          <w:rFonts w:cs="Times New Roman"/>
          <w:b/>
        </w:rPr>
        <w:t>Důsledky</w:t>
      </w:r>
    </w:p>
    <w:p w:rsidR="00397417" w:rsidRPr="00140BE2" w:rsidRDefault="00397417" w:rsidP="002C40B2">
      <w:pPr>
        <w:rPr>
          <w:rFonts w:cs="Times New Roman"/>
        </w:rPr>
      </w:pPr>
      <w:r w:rsidRPr="00140BE2">
        <w:rPr>
          <w:rFonts w:cs="Times New Roman"/>
        </w:rPr>
        <w:t>Nejednotnost v oblasti ochrany měkkých cílů na území kraje.</w:t>
      </w:r>
    </w:p>
    <w:p w:rsidR="00397417" w:rsidRPr="00140BE2" w:rsidRDefault="00140BE2" w:rsidP="002C40B2">
      <w:pPr>
        <w:rPr>
          <w:rFonts w:cs="Times New Roman"/>
          <w:b/>
        </w:rPr>
      </w:pPr>
      <w:r w:rsidRPr="00140BE2">
        <w:rPr>
          <w:rFonts w:cs="Times New Roman"/>
          <w:b/>
        </w:rPr>
        <w:lastRenderedPageBreak/>
        <w:t>Kybernetická bezpečnost</w:t>
      </w:r>
    </w:p>
    <w:p w:rsidR="00397417" w:rsidRPr="00140BE2" w:rsidRDefault="00397417" w:rsidP="002C40B2">
      <w:pPr>
        <w:pStyle w:val="Default"/>
        <w:spacing w:after="240" w:line="276" w:lineRule="auto"/>
        <w:jc w:val="both"/>
        <w:rPr>
          <w:rFonts w:ascii="Calibri" w:hAnsi="Calibri" w:cs="Times New Roman"/>
          <w:color w:val="auto"/>
          <w:sz w:val="22"/>
          <w:szCs w:val="22"/>
        </w:rPr>
      </w:pPr>
      <w:r w:rsidRPr="00140BE2">
        <w:rPr>
          <w:rFonts w:ascii="Calibri" w:hAnsi="Calibri" w:cs="Times New Roman"/>
          <w:color w:val="auto"/>
          <w:sz w:val="22"/>
          <w:szCs w:val="22"/>
        </w:rPr>
        <w:t>Rostoucí závislost na informačních a komunikačních technologiích zvyšuje zranitelnost státní správy vůči kybernetickým útokům. Tyto útoky mohou být použity k destabilizaci společnosti. Úniky strategicky důležitých informací, zásahy do informačních systémů krajských institucí či strategických podniků a společností, které zajišťují základní funkce území, mohou ohrozit strategické zájmy Karlovarského kraje.</w:t>
      </w:r>
    </w:p>
    <w:p w:rsidR="00397417" w:rsidRPr="00140BE2" w:rsidRDefault="00140BE2" w:rsidP="002C40B2">
      <w:pPr>
        <w:pStyle w:val="Default"/>
        <w:spacing w:after="240" w:line="276" w:lineRule="auto"/>
        <w:jc w:val="both"/>
        <w:rPr>
          <w:rFonts w:ascii="Calibri" w:hAnsi="Calibri" w:cs="Times New Roman"/>
          <w:b/>
          <w:color w:val="auto"/>
          <w:sz w:val="22"/>
          <w:szCs w:val="22"/>
        </w:rPr>
      </w:pPr>
      <w:r>
        <w:rPr>
          <w:rFonts w:ascii="Calibri" w:hAnsi="Calibri" w:cs="Times New Roman"/>
          <w:b/>
          <w:color w:val="auto"/>
          <w:sz w:val="22"/>
          <w:szCs w:val="22"/>
        </w:rPr>
        <w:t>Příčiny</w:t>
      </w:r>
    </w:p>
    <w:p w:rsidR="00397417" w:rsidRPr="00140BE2" w:rsidRDefault="00397417" w:rsidP="002C40B2">
      <w:pPr>
        <w:pStyle w:val="Default"/>
        <w:spacing w:after="240" w:line="276" w:lineRule="auto"/>
        <w:jc w:val="both"/>
        <w:rPr>
          <w:rFonts w:ascii="Calibri" w:hAnsi="Calibri" w:cs="Times New Roman"/>
          <w:color w:val="auto"/>
          <w:sz w:val="22"/>
          <w:szCs w:val="22"/>
        </w:rPr>
      </w:pPr>
      <w:r w:rsidRPr="00140BE2">
        <w:rPr>
          <w:rFonts w:ascii="Calibri" w:hAnsi="Calibri" w:cs="Times New Roman"/>
          <w:color w:val="auto"/>
          <w:sz w:val="22"/>
          <w:szCs w:val="22"/>
        </w:rPr>
        <w:t>Kybernetická bezpečnost je novou oblastí v systému řízení bezpečnosti na území kraje a nebyla vzhledem k chybějící legislativě řešena. Přijetím zákona č. 181/5015 Sb., o kybernetické bezpečnosti se postupně začleňuje do systému řízení rizik na území.</w:t>
      </w:r>
    </w:p>
    <w:p w:rsidR="00397417" w:rsidRPr="00140BE2" w:rsidRDefault="00140BE2" w:rsidP="002C40B2">
      <w:pPr>
        <w:pStyle w:val="Default"/>
        <w:spacing w:after="240" w:line="276" w:lineRule="auto"/>
        <w:jc w:val="both"/>
        <w:rPr>
          <w:rFonts w:ascii="Calibri" w:hAnsi="Calibri" w:cs="Times New Roman"/>
          <w:b/>
          <w:color w:val="auto"/>
          <w:sz w:val="22"/>
          <w:szCs w:val="22"/>
        </w:rPr>
      </w:pPr>
      <w:r>
        <w:rPr>
          <w:rFonts w:ascii="Calibri" w:hAnsi="Calibri" w:cs="Times New Roman"/>
          <w:b/>
          <w:color w:val="auto"/>
          <w:sz w:val="22"/>
          <w:szCs w:val="22"/>
        </w:rPr>
        <w:t>Důsledky</w:t>
      </w:r>
    </w:p>
    <w:p w:rsidR="00397417" w:rsidRPr="00140BE2" w:rsidRDefault="00397417" w:rsidP="002C40B2">
      <w:pPr>
        <w:rPr>
          <w:rFonts w:cs="Times New Roman"/>
        </w:rPr>
      </w:pPr>
      <w:r w:rsidRPr="00140BE2">
        <w:rPr>
          <w:rFonts w:cs="Times New Roman"/>
        </w:rPr>
        <w:t>Nepřipravenost veřejné správy na oblast kybernetické bezpečnosti.</w:t>
      </w:r>
    </w:p>
    <w:p w:rsidR="00397417" w:rsidRPr="00140BE2" w:rsidRDefault="00397417" w:rsidP="002C40B2">
      <w:pPr>
        <w:pStyle w:val="Nadpis3"/>
        <w:spacing w:line="276" w:lineRule="auto"/>
      </w:pPr>
      <w:r w:rsidRPr="00140BE2">
        <w:t>Literatura:</w:t>
      </w:r>
    </w:p>
    <w:p w:rsidR="00397417" w:rsidRPr="00140BE2" w:rsidRDefault="00397417" w:rsidP="002C40B2">
      <w:pPr>
        <w:rPr>
          <w:rFonts w:cs="Times New Roman"/>
          <w:i/>
        </w:rPr>
      </w:pPr>
      <w:r w:rsidRPr="00140BE2">
        <w:rPr>
          <w:rFonts w:cs="Times New Roman"/>
          <w:i/>
        </w:rPr>
        <w:t>Bezpečnostní strategie Karlovarského kraje na roky 2017-2020. (Návrh - zatím neschváleno)</w:t>
      </w:r>
    </w:p>
    <w:p w:rsidR="00397417" w:rsidRPr="00140BE2" w:rsidRDefault="00397417" w:rsidP="002C40B2">
      <w:r w:rsidRPr="00140BE2">
        <w:t xml:space="preserve">ČSÚ. </w:t>
      </w:r>
      <w:r w:rsidRPr="00140BE2">
        <w:rPr>
          <w:i/>
        </w:rPr>
        <w:t xml:space="preserve">Statistická ročenka Karlovarského kraje 2015 </w:t>
      </w:r>
      <w:r w:rsidRPr="00140BE2">
        <w:rPr>
          <w:color w:val="000000"/>
        </w:rPr>
        <w:t>[online]</w:t>
      </w:r>
      <w:r w:rsidRPr="00140BE2">
        <w:rPr>
          <w:bCs/>
          <w:i/>
        </w:rPr>
        <w:t>.</w:t>
      </w:r>
      <w:r w:rsidRPr="00140BE2">
        <w:rPr>
          <w:bCs/>
        </w:rPr>
        <w:t xml:space="preserve"> 2015.</w:t>
      </w:r>
      <w:r w:rsidRPr="00140BE2">
        <w:t xml:space="preserve"> </w:t>
      </w:r>
      <w:r w:rsidRPr="00140BE2">
        <w:rPr>
          <w:bCs/>
        </w:rPr>
        <w:t>Dostupné z:</w:t>
      </w:r>
      <w:r w:rsidRPr="00140BE2">
        <w:t xml:space="preserve"> </w:t>
      </w:r>
      <w:hyperlink r:id="rId205" w:history="1">
        <w:r w:rsidRPr="00140BE2">
          <w:rPr>
            <w:rStyle w:val="Hypertextovodkaz"/>
            <w:rFonts w:eastAsia="Calibri"/>
          </w:rPr>
          <w:t>https://www.czso.cz/csu/czso/statisticka-rocenka-karlovarskeho-kraje-2015</w:t>
        </w:r>
      </w:hyperlink>
      <w:r w:rsidRPr="00140BE2">
        <w:t>.</w:t>
      </w:r>
    </w:p>
    <w:p w:rsidR="00397417" w:rsidRPr="00140BE2" w:rsidRDefault="00397417" w:rsidP="002C40B2">
      <w:pPr>
        <w:rPr>
          <w:rFonts w:cs="Times New Roman"/>
          <w:i/>
        </w:rPr>
      </w:pPr>
      <w:r w:rsidRPr="00140BE2">
        <w:rPr>
          <w:rFonts w:cs="Times New Roman"/>
          <w:i/>
        </w:rPr>
        <w:t>Přehled jednotek SDH obcí kategorie JPO II a JPO III v KK.</w:t>
      </w:r>
    </w:p>
    <w:p w:rsidR="00397417" w:rsidRPr="00140BE2" w:rsidRDefault="00397417" w:rsidP="002C40B2">
      <w:pPr>
        <w:rPr>
          <w:rFonts w:cs="Times New Roman"/>
          <w:i/>
        </w:rPr>
      </w:pPr>
      <w:r w:rsidRPr="00140BE2">
        <w:rPr>
          <w:rFonts w:cs="Times New Roman"/>
          <w:i/>
        </w:rPr>
        <w:t>Roční zpráva o stavu požární ochrany Karlovarského kraje za rok 2015.</w:t>
      </w:r>
    </w:p>
    <w:p w:rsidR="00397417" w:rsidRPr="00140BE2" w:rsidRDefault="00397417" w:rsidP="002C40B2">
      <w:r w:rsidRPr="00140BE2">
        <w:rPr>
          <w:rFonts w:cs="Times New Roman"/>
          <w:i/>
        </w:rPr>
        <w:t xml:space="preserve">Zpráva o bezpečnostní situaci v Karlovarském kraji za období roku 2015. </w:t>
      </w:r>
    </w:p>
    <w:p w:rsidR="00397417" w:rsidRPr="00140BE2" w:rsidRDefault="00397417" w:rsidP="002C40B2">
      <w:pPr>
        <w:spacing w:after="160"/>
        <w:jc w:val="left"/>
        <w:sectPr w:rsidR="00397417" w:rsidRPr="00140BE2" w:rsidSect="00495B4D">
          <w:footerReference w:type="default" r:id="rId206"/>
          <w:pgSz w:w="11906" w:h="16838"/>
          <w:pgMar w:top="1417" w:right="1417" w:bottom="1417" w:left="1417" w:header="708" w:footer="708" w:gutter="0"/>
          <w:pgNumType w:start="0"/>
          <w:cols w:space="708"/>
          <w:titlePg/>
          <w:docGrid w:linePitch="360"/>
        </w:sectPr>
      </w:pPr>
    </w:p>
    <w:p w:rsidR="00087C0A" w:rsidRDefault="00A57656" w:rsidP="00094A5B">
      <w:pPr>
        <w:pStyle w:val="Nadpis1"/>
      </w:pPr>
      <w:r>
        <w:lastRenderedPageBreak/>
        <w:t xml:space="preserve"> </w:t>
      </w:r>
      <w:bookmarkStart w:id="484" w:name="_Toc488233407"/>
      <w:r w:rsidR="00087C0A">
        <w:t>SMART veřejná správa</w:t>
      </w:r>
      <w:bookmarkEnd w:id="484"/>
    </w:p>
    <w:p w:rsidR="00131A3A" w:rsidRPr="00140BE2" w:rsidRDefault="00131A3A" w:rsidP="002C40B2">
      <w:pPr>
        <w:spacing w:after="160"/>
        <w:rPr>
          <w:rFonts w:eastAsia="Calibri" w:cs="Times New Roman"/>
        </w:rPr>
      </w:pPr>
      <w:r w:rsidRPr="00140BE2">
        <w:rPr>
          <w:rFonts w:eastAsia="Calibri" w:cs="Times New Roman"/>
        </w:rPr>
        <w:t>V souladu se strategií </w:t>
      </w:r>
      <w:hyperlink r:id="rId207" w:history="1">
        <w:r w:rsidR="002F684C" w:rsidRPr="002F684C">
          <w:rPr>
            <w:rFonts w:eastAsia="Calibri" w:cs="Times New Roman"/>
            <w:i/>
          </w:rPr>
          <w:t>Efektivní veřejná správa a přátelské veřejné služby (Smart Administration)</w:t>
        </w:r>
      </w:hyperlink>
      <w:r w:rsidRPr="00140BE2">
        <w:rPr>
          <w:rFonts w:eastAsia="Calibri" w:cs="Times New Roman"/>
        </w:rPr>
        <w:t xml:space="preserve">, jejímž základním cílem je transformace a zjednodušení postupů ve veřejné správě i proto, aby mohly využívat moderní informační a komunikační technologie, realizoval Karlovarský kraj v programovém období 2007–2013 projekty zejména zaměřené na budování jednotlivých pilířů eGovernmentu. Pro naplnění cílů eGovernmentu (tj. správy věcí veřejných za využití moderních elektronických nástrojů) musel kraj v první řadě vytvořit kvalitní a zejména bezpečnou infrastrukturu (viz podkapitola </w:t>
      </w:r>
      <w:r w:rsidR="00822CE7">
        <w:rPr>
          <w:rFonts w:eastAsia="Calibri" w:cs="Times New Roman"/>
        </w:rPr>
        <w:t xml:space="preserve">7. </w:t>
      </w:r>
      <w:r w:rsidRPr="00140BE2">
        <w:rPr>
          <w:rFonts w:eastAsia="Calibri" w:cs="Times New Roman"/>
        </w:rPr>
        <w:t xml:space="preserve">Informační a komunikační technologie).  </w:t>
      </w:r>
    </w:p>
    <w:p w:rsidR="00131A3A" w:rsidRPr="002C40B2" w:rsidRDefault="00131A3A" w:rsidP="002C40B2">
      <w:pPr>
        <w:pStyle w:val="Nadpis2"/>
        <w:rPr>
          <w:rFonts w:ascii="Calibri" w:hAnsi="Calibri"/>
        </w:rPr>
      </w:pPr>
      <w:r w:rsidRPr="002C40B2">
        <w:rPr>
          <w:rFonts w:ascii="Calibri" w:hAnsi="Calibri"/>
        </w:rPr>
        <w:t>Smart Government projekty Karlovarského kraje</w:t>
      </w:r>
    </w:p>
    <w:p w:rsidR="00131A3A" w:rsidRDefault="00131A3A" w:rsidP="002C40B2">
      <w:pPr>
        <w:pStyle w:val="Odstavecseseznamem"/>
        <w:numPr>
          <w:ilvl w:val="0"/>
          <w:numId w:val="30"/>
        </w:numPr>
        <w:rPr>
          <w:rFonts w:eastAsia="Calibri"/>
          <w:b/>
        </w:rPr>
      </w:pPr>
      <w:r>
        <w:rPr>
          <w:rFonts w:eastAsia="Calibri"/>
          <w:b/>
        </w:rPr>
        <w:t xml:space="preserve">ROZVOJ SLUŽEB </w:t>
      </w:r>
      <w:r w:rsidR="007D354F">
        <w:rPr>
          <w:rFonts w:eastAsia="Calibri"/>
          <w:b/>
        </w:rPr>
        <w:t>E</w:t>
      </w:r>
      <w:r>
        <w:rPr>
          <w:rFonts w:eastAsia="Calibri"/>
          <w:b/>
        </w:rPr>
        <w:t>GOVERNMENTU KARLOVARSKÉHO KRAJE</w:t>
      </w:r>
    </w:p>
    <w:p w:rsidR="00131A3A" w:rsidRDefault="00131A3A" w:rsidP="007D354F">
      <w:pPr>
        <w:rPr>
          <w:lang w:eastAsia="en-US"/>
        </w:rPr>
      </w:pPr>
      <w:r>
        <w:rPr>
          <w:lang w:eastAsia="en-US"/>
        </w:rPr>
        <w:t>Kraj realizoval projekt s názvem Rozvoj služeb eGovernmentu Karlovarského kraje, který umožnil reálný rozvoj konceptu eGovernmentu. Projekt souvisel s celkovou realizací strategie zavádění eGovernmentu v ČR (více viz kapitola 7 – Informační a komunikační technologie).</w:t>
      </w:r>
    </w:p>
    <w:p w:rsidR="00131A3A" w:rsidRDefault="00131A3A" w:rsidP="007D354F">
      <w:pPr>
        <w:rPr>
          <w:lang w:eastAsia="en-US"/>
        </w:rPr>
      </w:pPr>
      <w:r>
        <w:rPr>
          <w:lang w:eastAsia="en-US"/>
        </w:rPr>
        <w:t xml:space="preserve">Prostřednictvím vytvořené infrastruktury umožnil provoz služby potřebné pro obce a města celého regionu, tj. projekt vedl k naplnění legislativních požadavků vyplývající ze zavádění eGovernmentu ve veřejné správě a má naplnit příležitosti, které současné informační a komunikační technologie přináší pro rozvoj celého regionu. </w:t>
      </w:r>
    </w:p>
    <w:p w:rsidR="00131A3A" w:rsidRDefault="00131A3A" w:rsidP="007D354F">
      <w:pPr>
        <w:rPr>
          <w:lang w:eastAsia="en-US"/>
        </w:rPr>
      </w:pPr>
      <w:r>
        <w:rPr>
          <w:lang w:eastAsia="en-US"/>
        </w:rPr>
        <w:t xml:space="preserve">Projekt byl zaměřen zejména na: </w:t>
      </w:r>
    </w:p>
    <w:p w:rsidR="00131A3A" w:rsidRDefault="00131A3A" w:rsidP="002C40B2">
      <w:pPr>
        <w:pStyle w:val="Odstavecseseznamem"/>
        <w:numPr>
          <w:ilvl w:val="0"/>
          <w:numId w:val="31"/>
        </w:numPr>
        <w:spacing w:after="160"/>
        <w:rPr>
          <w:lang w:eastAsia="en-US"/>
        </w:rPr>
      </w:pPr>
      <w:r>
        <w:rPr>
          <w:lang w:eastAsia="en-US"/>
        </w:rPr>
        <w:t xml:space="preserve">využití informačních a telekomunikačních technologií k zefektivnění činnosti KÚ KK, </w:t>
      </w:r>
    </w:p>
    <w:p w:rsidR="00131A3A" w:rsidRDefault="00131A3A" w:rsidP="002C40B2">
      <w:pPr>
        <w:pStyle w:val="Odstavecseseznamem"/>
        <w:numPr>
          <w:ilvl w:val="0"/>
          <w:numId w:val="31"/>
        </w:numPr>
        <w:spacing w:after="160"/>
        <w:rPr>
          <w:lang w:eastAsia="en-US"/>
        </w:rPr>
      </w:pPr>
      <w:r>
        <w:rPr>
          <w:lang w:eastAsia="en-US"/>
        </w:rPr>
        <w:t>snížení finančních nároků na chod administrativy;</w:t>
      </w:r>
    </w:p>
    <w:p w:rsidR="00131A3A" w:rsidRDefault="00131A3A" w:rsidP="002C40B2">
      <w:pPr>
        <w:pStyle w:val="Odstavecseseznamem"/>
        <w:numPr>
          <w:ilvl w:val="0"/>
          <w:numId w:val="31"/>
        </w:numPr>
        <w:spacing w:after="160"/>
        <w:rPr>
          <w:lang w:eastAsia="en-US"/>
        </w:rPr>
      </w:pPr>
      <w:r>
        <w:rPr>
          <w:lang w:eastAsia="en-US"/>
        </w:rPr>
        <w:t>zajištění transparentního výkonu veřejné správy;</w:t>
      </w:r>
    </w:p>
    <w:p w:rsidR="00131A3A" w:rsidRDefault="00131A3A" w:rsidP="007D354F">
      <w:pPr>
        <w:pStyle w:val="Odstavecseseznamem"/>
        <w:numPr>
          <w:ilvl w:val="0"/>
          <w:numId w:val="31"/>
        </w:numPr>
        <w:spacing w:after="600"/>
        <w:ind w:left="714" w:hanging="357"/>
        <w:rPr>
          <w:lang w:eastAsia="en-US"/>
        </w:rPr>
      </w:pPr>
      <w:r>
        <w:rPr>
          <w:lang w:eastAsia="en-US"/>
        </w:rPr>
        <w:t>přiblížení a zkvalitnění veřejných služeb občanovi, včetně služeb poskytovaných organizacemi kraje a zajištění jejich maximální dostupnosti a kvality.</w:t>
      </w:r>
    </w:p>
    <w:p w:rsidR="007D354F" w:rsidRDefault="007D354F" w:rsidP="007D354F">
      <w:pPr>
        <w:pStyle w:val="Odstavecseseznamem"/>
        <w:spacing w:after="600"/>
        <w:ind w:left="714"/>
        <w:rPr>
          <w:lang w:eastAsia="en-US"/>
        </w:rPr>
      </w:pPr>
    </w:p>
    <w:p w:rsidR="00131A3A" w:rsidRDefault="00131A3A" w:rsidP="007D354F">
      <w:pPr>
        <w:pStyle w:val="Odstavecseseznamem"/>
        <w:numPr>
          <w:ilvl w:val="0"/>
          <w:numId w:val="30"/>
        </w:numPr>
        <w:spacing w:before="120"/>
        <w:ind w:left="714" w:hanging="357"/>
        <w:rPr>
          <w:rFonts w:eastAsia="Calibri"/>
          <w:b/>
        </w:rPr>
      </w:pPr>
      <w:r>
        <w:rPr>
          <w:rFonts w:eastAsia="Calibri"/>
          <w:b/>
        </w:rPr>
        <w:t>ROZVOJ LIDSKÝCH ZDROJŮ A ODBORNÉ VZDĚLÁVÁNÍ MANAŽERŮ VEŘEJNÉ SPRÁVY A SAMOSPRÁVY KARLOVARSKÉHO KRAJE V PODMÍNKÁCH EVROPSKÉ UNIE</w:t>
      </w:r>
    </w:p>
    <w:p w:rsidR="00131A3A" w:rsidRDefault="00131A3A" w:rsidP="007D354F">
      <w:pPr>
        <w:rPr>
          <w:lang w:eastAsia="en-US"/>
        </w:rPr>
      </w:pPr>
      <w:r>
        <w:rPr>
          <w:lang w:eastAsia="en-US"/>
        </w:rPr>
        <w:t>Projekt byl realizován za účelem rozvoje lidských zdrojů a odborného vzdělávání manažerů veřejné správy a samosprávy Karlovarského kraje v podmínkách Evropské unie. Cílem byla podpora zvyšování kvality a inovace v systémech, institucích a postupech odborného vzdělávání a přípravy; podpora účastníků odborné přípravy a dalších vzdělávacích činností v získávání a používání vědomostí, dovedností a kvalifikací podporujících jejich osobní rozvoj. V rámci projektu byly realizovány stáže a výměny zaměřené na další profesní rozvoj pracovníků v odborném vzdělávání a přípravě.</w:t>
      </w:r>
    </w:p>
    <w:p w:rsidR="00131A3A" w:rsidRDefault="00131A3A" w:rsidP="002C40B2">
      <w:pPr>
        <w:pStyle w:val="Odstavecseseznamem"/>
        <w:numPr>
          <w:ilvl w:val="0"/>
          <w:numId w:val="30"/>
        </w:numPr>
        <w:rPr>
          <w:rFonts w:eastAsia="Calibri"/>
          <w:b/>
        </w:rPr>
      </w:pPr>
      <w:r>
        <w:rPr>
          <w:rFonts w:eastAsia="Calibri"/>
          <w:b/>
        </w:rPr>
        <w:t>PRACOVNÍCI V ODBORNÉM VZDĚLÁVÁNÍ A PŘÍPRAVĚ</w:t>
      </w:r>
    </w:p>
    <w:p w:rsidR="00131A3A" w:rsidRDefault="00131A3A" w:rsidP="002C40B2">
      <w:pPr>
        <w:spacing w:after="160"/>
        <w:rPr>
          <w:lang w:eastAsia="en-US"/>
        </w:rPr>
      </w:pPr>
      <w:r>
        <w:rPr>
          <w:lang w:eastAsia="en-US"/>
        </w:rPr>
        <w:t xml:space="preserve">Hlavním cílem projektu byla podpora celoživotního odborného nevysokoškolského vzdělávání dospělých, podpora dalšího profesního rozvoje účastníků v odborném vzdělávání a přípravě. Důvodem realizace projektu byla značná potřeba získávání zkušeností s inovačními postupy a novými metodami aplikovatelnými v regionu. </w:t>
      </w:r>
    </w:p>
    <w:p w:rsidR="00131A3A" w:rsidRDefault="00131A3A" w:rsidP="002C40B2">
      <w:pPr>
        <w:spacing w:after="160"/>
        <w:rPr>
          <w:lang w:eastAsia="en-US"/>
        </w:rPr>
      </w:pPr>
      <w:r>
        <w:rPr>
          <w:lang w:eastAsia="en-US"/>
        </w:rPr>
        <w:lastRenderedPageBreak/>
        <w:t xml:space="preserve">Projektové cíle byly následující: </w:t>
      </w:r>
    </w:p>
    <w:p w:rsidR="00131A3A" w:rsidRDefault="00131A3A" w:rsidP="002C40B2">
      <w:pPr>
        <w:pStyle w:val="Odstavecseseznamem"/>
        <w:numPr>
          <w:ilvl w:val="0"/>
          <w:numId w:val="31"/>
        </w:numPr>
        <w:spacing w:after="160"/>
        <w:rPr>
          <w:lang w:eastAsia="en-US"/>
        </w:rPr>
      </w:pPr>
      <w:r>
        <w:rPr>
          <w:lang w:eastAsia="en-US"/>
        </w:rPr>
        <w:t>získat nápady a inovační postupy v oblasti profesního vzdělávání;</w:t>
      </w:r>
    </w:p>
    <w:p w:rsidR="00131A3A" w:rsidRDefault="00131A3A" w:rsidP="002C40B2">
      <w:pPr>
        <w:pStyle w:val="Odstavecseseznamem"/>
        <w:numPr>
          <w:ilvl w:val="0"/>
          <w:numId w:val="31"/>
        </w:numPr>
        <w:spacing w:after="160"/>
        <w:rPr>
          <w:lang w:eastAsia="en-US"/>
        </w:rPr>
      </w:pPr>
      <w:r>
        <w:rPr>
          <w:lang w:eastAsia="en-US"/>
        </w:rPr>
        <w:t>přispět k profesnímu rozvoji účastníků v odborném vzdělávání a přípravě;</w:t>
      </w:r>
    </w:p>
    <w:p w:rsidR="00131A3A" w:rsidRDefault="00131A3A" w:rsidP="002C40B2">
      <w:pPr>
        <w:pStyle w:val="Odstavecseseznamem"/>
        <w:numPr>
          <w:ilvl w:val="0"/>
          <w:numId w:val="31"/>
        </w:numPr>
        <w:spacing w:after="160"/>
        <w:rPr>
          <w:lang w:eastAsia="en-US"/>
        </w:rPr>
      </w:pPr>
      <w:r>
        <w:rPr>
          <w:lang w:eastAsia="en-US"/>
        </w:rPr>
        <w:t>zvýšit odborné kvalifikace a jazykové kompetence účastníků;</w:t>
      </w:r>
    </w:p>
    <w:p w:rsidR="00131A3A" w:rsidRDefault="00131A3A" w:rsidP="002C40B2">
      <w:pPr>
        <w:pStyle w:val="Odstavecseseznamem"/>
        <w:numPr>
          <w:ilvl w:val="0"/>
          <w:numId w:val="31"/>
        </w:numPr>
        <w:spacing w:after="160"/>
        <w:rPr>
          <w:lang w:eastAsia="en-US"/>
        </w:rPr>
      </w:pPr>
      <w:r>
        <w:rPr>
          <w:lang w:eastAsia="en-US"/>
        </w:rPr>
        <w:t>navázat nové kontakty na odborné úrovni;</w:t>
      </w:r>
    </w:p>
    <w:p w:rsidR="00131A3A" w:rsidRDefault="00131A3A" w:rsidP="002C40B2">
      <w:pPr>
        <w:pStyle w:val="Odstavecseseznamem"/>
        <w:numPr>
          <w:ilvl w:val="0"/>
          <w:numId w:val="31"/>
        </w:numPr>
        <w:spacing w:after="160"/>
        <w:rPr>
          <w:lang w:eastAsia="en-US"/>
        </w:rPr>
      </w:pPr>
      <w:r>
        <w:rPr>
          <w:lang w:eastAsia="en-US"/>
        </w:rPr>
        <w:t>přispět k rozvoji spolupráce a partnerství institucí na evropské úrovni.</w:t>
      </w:r>
    </w:p>
    <w:p w:rsidR="00131A3A" w:rsidRDefault="00131A3A" w:rsidP="002C40B2">
      <w:pPr>
        <w:spacing w:after="160"/>
        <w:rPr>
          <w:lang w:eastAsia="en-US"/>
        </w:rPr>
      </w:pPr>
      <w:r>
        <w:rPr>
          <w:lang w:eastAsia="en-US"/>
        </w:rPr>
        <w:t>Projekt tak cílil na podporu kreativity a inovativnosti v odborném vzdělávání a přípravě a dále na mobilitu odborníků v odborném vzdělávání a přípravě (spolupráce s malými a středními podniky).</w:t>
      </w:r>
    </w:p>
    <w:p w:rsidR="00131A3A" w:rsidRDefault="00131A3A" w:rsidP="002C40B2">
      <w:pPr>
        <w:pStyle w:val="Odstavecseseznamem"/>
        <w:numPr>
          <w:ilvl w:val="0"/>
          <w:numId w:val="30"/>
        </w:numPr>
        <w:rPr>
          <w:rFonts w:eastAsia="Calibri"/>
          <w:b/>
        </w:rPr>
      </w:pPr>
      <w:r>
        <w:rPr>
          <w:rFonts w:eastAsia="Calibri"/>
          <w:b/>
        </w:rPr>
        <w:t>APLIKACE MODERNÍCH METOD ZVYŠOVÁNÍ VÝKONNOSTI, KVALITY, EFEKTIVITY A TRANSPARENTNOSTI V KARLOVARSKÉM KRAJI</w:t>
      </w:r>
    </w:p>
    <w:p w:rsidR="00131A3A" w:rsidRDefault="00131A3A" w:rsidP="002C40B2">
      <w:pPr>
        <w:spacing w:after="160"/>
        <w:rPr>
          <w:lang w:eastAsia="en-US"/>
        </w:rPr>
      </w:pPr>
      <w:r>
        <w:rPr>
          <w:lang w:eastAsia="en-US"/>
        </w:rPr>
        <w:t>Karlovarský kraj využil pro zvýšení kvality veřejných služeb svého úřadu i svých organizací model CAF. Prostřednictvím projektu došlo nejen k zefektivnění řízení a zvýšení kvality poskytovaných služeb krajského úřadu a jeho organizací, ale i organizací, které dosud nepoužívaly standardy kvality. V rámci projektu byla provedena analýza stavu řízení s ohledem na informace v sebehodnotících zprávách CAF, návrh na hodnocení kvality řízení na bázi zjištěných ukazatelů, přezkoumání pozitiv mezinárodních standardů na inovaci řízené dokumentace, možnost využití procesního řízení, potřeba standardizace v oblasti bezpečnosti IS, implementace pokročilého bodování pro CAF a inovace benchmarkingu.</w:t>
      </w:r>
    </w:p>
    <w:p w:rsidR="00131A3A" w:rsidRDefault="00131A3A" w:rsidP="002C40B2">
      <w:pPr>
        <w:spacing w:after="160"/>
        <w:rPr>
          <w:lang w:eastAsia="en-US"/>
        </w:rPr>
      </w:pPr>
      <w:r>
        <w:rPr>
          <w:lang w:eastAsia="en-US"/>
        </w:rPr>
        <w:t>Cílem projektu bylo:</w:t>
      </w:r>
    </w:p>
    <w:p w:rsidR="00131A3A" w:rsidRDefault="00131A3A" w:rsidP="002C40B2">
      <w:pPr>
        <w:pStyle w:val="Odstavecseseznamem"/>
        <w:numPr>
          <w:ilvl w:val="0"/>
          <w:numId w:val="31"/>
        </w:numPr>
        <w:spacing w:after="160"/>
        <w:rPr>
          <w:lang w:eastAsia="en-US"/>
        </w:rPr>
      </w:pPr>
      <w:r>
        <w:rPr>
          <w:lang w:eastAsia="en-US"/>
        </w:rPr>
        <w:t>zefektivnění činnosti krajského úřadu i krajských organizací prostřednictvím aplikace modelu CAF;</w:t>
      </w:r>
    </w:p>
    <w:p w:rsidR="00131A3A" w:rsidRDefault="00131A3A" w:rsidP="002C40B2">
      <w:pPr>
        <w:pStyle w:val="Odstavecseseznamem"/>
        <w:numPr>
          <w:ilvl w:val="0"/>
          <w:numId w:val="31"/>
        </w:numPr>
        <w:spacing w:after="160"/>
        <w:rPr>
          <w:lang w:eastAsia="en-US"/>
        </w:rPr>
      </w:pPr>
      <w:r>
        <w:rPr>
          <w:lang w:eastAsia="en-US"/>
        </w:rPr>
        <w:t>zavedení systému řízení kvality a sledování výkonnosti na úřadě;</w:t>
      </w:r>
    </w:p>
    <w:p w:rsidR="00131A3A" w:rsidRDefault="00131A3A" w:rsidP="002C40B2">
      <w:pPr>
        <w:pStyle w:val="Odstavecseseznamem"/>
        <w:numPr>
          <w:ilvl w:val="0"/>
          <w:numId w:val="31"/>
        </w:numPr>
        <w:spacing w:after="160"/>
        <w:rPr>
          <w:lang w:eastAsia="en-US"/>
        </w:rPr>
      </w:pPr>
      <w:r>
        <w:rPr>
          <w:lang w:eastAsia="en-US"/>
        </w:rPr>
        <w:t>přiblížení veřejné služby občanovi.</w:t>
      </w:r>
    </w:p>
    <w:p w:rsidR="00131A3A" w:rsidRDefault="00131A3A" w:rsidP="002C40B2">
      <w:pPr>
        <w:spacing w:after="160"/>
        <w:rPr>
          <w:lang w:eastAsia="en-US"/>
        </w:rPr>
      </w:pPr>
      <w:r>
        <w:rPr>
          <w:lang w:eastAsia="en-US"/>
        </w:rPr>
        <w:t>Model CAF je i nadále používán. V roce 2016 proběhlo dotazníkové šetření napříč úřadem týkající se spokojenosti zaměstnanců a dalších oblastí. Samotné sebehodnocení nebylo v roce 2016 provedeno. Pracovní tým CAF existuje a v případě potřeby ze strany vedení je využíván (např. průzkumy, operativní dotazy u odborů). Procesní řízení bylo po ukončení projektu dále rozšířeno a krajský úřad získal certifikaci ISO 9001. Nové vedení kraje již netrvalo na obnovení certifikace, nicméně procesní řízení bude stále relevantní oblastí v mnoha oblastech, ve kterých KK působí.</w:t>
      </w:r>
    </w:p>
    <w:p w:rsidR="00131A3A" w:rsidRDefault="00131A3A" w:rsidP="002C40B2">
      <w:pPr>
        <w:spacing w:before="240"/>
      </w:pPr>
      <w:r>
        <w:t>Více viz Terminologický slovník CAF a metodická příručka pro zavedení procesního řízení na Krajském úřadu Karlovarského kraje.</w:t>
      </w:r>
    </w:p>
    <w:p w:rsidR="00131A3A" w:rsidRDefault="00131A3A" w:rsidP="002C40B2">
      <w:pPr>
        <w:pStyle w:val="Odstavecseseznamem"/>
        <w:numPr>
          <w:ilvl w:val="0"/>
          <w:numId w:val="30"/>
        </w:numPr>
        <w:rPr>
          <w:rFonts w:eastAsia="Calibri"/>
          <w:b/>
        </w:rPr>
      </w:pPr>
      <w:r>
        <w:rPr>
          <w:rFonts w:eastAsia="Calibri"/>
          <w:b/>
        </w:rPr>
        <w:t>PERSONÁLNÍ AUDIT KRAJSKÉHO ÚŘADU KARLOVARSKÉHO KRAJE</w:t>
      </w:r>
    </w:p>
    <w:p w:rsidR="00131A3A" w:rsidRDefault="00131A3A" w:rsidP="002C40B2">
      <w:pPr>
        <w:spacing w:after="160"/>
        <w:rPr>
          <w:lang w:eastAsia="en-US"/>
        </w:rPr>
      </w:pPr>
      <w:r>
        <w:rPr>
          <w:lang w:eastAsia="en-US"/>
        </w:rPr>
        <w:t xml:space="preserve">Projekt se zaměřil na oblast personálního auditu, tj. cílem projektu bylo zvýšení efektivnosti a kvality veřejných služeb poskytovaných krajským úřadem. </w:t>
      </w:r>
    </w:p>
    <w:p w:rsidR="00131A3A" w:rsidRDefault="00131A3A" w:rsidP="002C40B2">
      <w:pPr>
        <w:spacing w:before="240"/>
      </w:pPr>
      <w:r>
        <w:t>Specifické cíle projektu byly:</w:t>
      </w:r>
    </w:p>
    <w:p w:rsidR="00131A3A" w:rsidRDefault="00131A3A" w:rsidP="002C40B2">
      <w:pPr>
        <w:pStyle w:val="Odstavecseseznamem"/>
        <w:numPr>
          <w:ilvl w:val="0"/>
          <w:numId w:val="32"/>
        </w:numPr>
        <w:spacing w:before="240"/>
      </w:pPr>
      <w:r>
        <w:t>optimalizace potřebných kapacit krajského úřadu ve vztahu k poskytovaným veřejným službám s cílem zvýšení efektivity při poskytování těchto služeb;</w:t>
      </w:r>
    </w:p>
    <w:p w:rsidR="00131A3A" w:rsidRDefault="00131A3A" w:rsidP="002C40B2">
      <w:pPr>
        <w:pStyle w:val="Odstavecseseznamem"/>
        <w:numPr>
          <w:ilvl w:val="0"/>
          <w:numId w:val="32"/>
        </w:numPr>
        <w:spacing w:before="240"/>
      </w:pPr>
      <w:r>
        <w:lastRenderedPageBreak/>
        <w:t>optimalizace personálního obsazení systemizovaných míst krajského úřadu na základě kompetenční a profesní způsobilosti zaměstnanců;</w:t>
      </w:r>
    </w:p>
    <w:p w:rsidR="00131A3A" w:rsidRDefault="00131A3A" w:rsidP="002C40B2">
      <w:pPr>
        <w:pStyle w:val="Odstavecseseznamem"/>
        <w:numPr>
          <w:ilvl w:val="0"/>
          <w:numId w:val="32"/>
        </w:numPr>
        <w:spacing w:before="240"/>
      </w:pPr>
      <w:r>
        <w:t>vytvoření systému hodnocení zaměstnanců;</w:t>
      </w:r>
    </w:p>
    <w:p w:rsidR="00131A3A" w:rsidRDefault="00131A3A" w:rsidP="002C40B2">
      <w:pPr>
        <w:pStyle w:val="Odstavecseseznamem"/>
        <w:numPr>
          <w:ilvl w:val="0"/>
          <w:numId w:val="32"/>
        </w:numPr>
        <w:spacing w:before="240"/>
      </w:pPr>
      <w:r>
        <w:t>vyškolení vybraných zaměstnanců krajského úřadu pro zajištění dlouhodobé udržitelnosti výstupů projektu;</w:t>
      </w:r>
    </w:p>
    <w:p w:rsidR="00131A3A" w:rsidRDefault="00131A3A" w:rsidP="002C40B2">
      <w:pPr>
        <w:pStyle w:val="Odstavecseseznamem"/>
        <w:numPr>
          <w:ilvl w:val="0"/>
          <w:numId w:val="32"/>
        </w:numPr>
        <w:spacing w:before="240"/>
      </w:pPr>
      <w:r>
        <w:t>implementace doporučení do praxe.</w:t>
      </w:r>
    </w:p>
    <w:p w:rsidR="00131A3A" w:rsidRDefault="00131A3A" w:rsidP="002C40B2">
      <w:pPr>
        <w:spacing w:before="240"/>
      </w:pPr>
      <w:r>
        <w:t>Výše uvedených cílů bylo dosaženo realizací dílčích, vzájemně provázaných auditů realizovaných externím dodavatelem. Prvním auditem byl kapacitní audit stanovující potřebné kapacity a optimální strukturu krajského úřadu. Následně byl proveden audit kompetenční a profesní způsobilosti zaměstnanců. Na tento audit navázal audit systému hodnocení a motivace zaměstnanců. Následně krajský úřad implementoval navržená opatření a nadále sleduje jejich dopady a případně uskutečňuje nápravná opatření. Výstupy z jednotlivých auditů byly aplikovány do nadstavby informačního systému pro personalisty a personální práce, který byl v rámci projektu rovněž pořízen.</w:t>
      </w:r>
    </w:p>
    <w:p w:rsidR="00131A3A" w:rsidRDefault="00131A3A" w:rsidP="002C40B2">
      <w:pPr>
        <w:pStyle w:val="Odstavecseseznamem"/>
        <w:numPr>
          <w:ilvl w:val="0"/>
          <w:numId w:val="30"/>
        </w:numPr>
        <w:rPr>
          <w:rFonts w:eastAsia="Calibri"/>
          <w:b/>
        </w:rPr>
      </w:pPr>
      <w:r>
        <w:rPr>
          <w:rFonts w:eastAsia="Calibri"/>
          <w:b/>
        </w:rPr>
        <w:t>VZDĚLÁVACÍ KURZY K PROBLEMATICE EU/EHP V BRUSELU</w:t>
      </w:r>
    </w:p>
    <w:p w:rsidR="00131A3A" w:rsidRDefault="00131A3A" w:rsidP="002C40B2">
      <w:pPr>
        <w:pStyle w:val="Normln1"/>
        <w:spacing w:line="276" w:lineRule="auto"/>
        <w:rPr>
          <w:rFonts w:ascii="Calibri" w:hAnsi="Calibri" w:cs="Calibri"/>
          <w:color w:val="auto"/>
          <w:sz w:val="22"/>
          <w:szCs w:val="22"/>
        </w:rPr>
      </w:pPr>
      <w:r>
        <w:rPr>
          <w:rFonts w:ascii="Calibri" w:hAnsi="Calibri" w:cs="Calibri"/>
          <w:color w:val="auto"/>
          <w:sz w:val="22"/>
          <w:szCs w:val="22"/>
        </w:rPr>
        <w:t xml:space="preserve">Za účelem celoživotního vzdělávání úředníků a politiků (zástupci kraje a obcí, resp. jeho úřadů) byl realizován projekt, který zahrnoval sérii školení, vzdělávacích aktivit a workshopů připravených ve spolupráci s norským regionálním partnerem - regionem Trondelags, Mid-Norway European Office a dalšími zástupci z Norska a Evropským vzdělávacím institutem. </w:t>
      </w:r>
    </w:p>
    <w:p w:rsidR="00131A3A" w:rsidRDefault="00131A3A" w:rsidP="002C40B2">
      <w:pPr>
        <w:spacing w:before="240"/>
      </w:pPr>
      <w:r>
        <w:t xml:space="preserve">Účastníci projektu se seznámili s evropskými institucemi, získali nové informace o fondech a evropských programech (operačních, komunitárních), které jim měly pomoci při přípravě projektů, zefektivnění pracovní činnosti v kraji, získání informací o fungování státní správy i místní samosprávy jiné země a dalších oblastech. Účastníci měli možnost v rámci projektu navštívit Evropský parlament, Výbor regionů, setkat se s českými europoslanci a poznat blíže Brusel. </w:t>
      </w:r>
    </w:p>
    <w:p w:rsidR="00131A3A" w:rsidRDefault="00131A3A" w:rsidP="002C40B2">
      <w:pPr>
        <w:pStyle w:val="Odstavecseseznamem"/>
        <w:numPr>
          <w:ilvl w:val="0"/>
          <w:numId w:val="30"/>
        </w:numPr>
        <w:rPr>
          <w:rFonts w:eastAsia="Calibri"/>
          <w:b/>
        </w:rPr>
      </w:pPr>
      <w:r>
        <w:rPr>
          <w:rFonts w:eastAsia="Calibri"/>
          <w:b/>
        </w:rPr>
        <w:t>VZDĚLÁVÁNÍ PRO KONKURENCESCHOPNOST KARLOVARSKÉHO KRAJE</w:t>
      </w:r>
    </w:p>
    <w:p w:rsidR="00131A3A" w:rsidRDefault="00131A3A" w:rsidP="002C40B2">
      <w:pPr>
        <w:pStyle w:val="Normln1"/>
        <w:spacing w:line="276" w:lineRule="auto"/>
        <w:rPr>
          <w:rFonts w:ascii="Calibri" w:hAnsi="Calibri" w:cs="Calibri"/>
          <w:color w:val="auto"/>
          <w:sz w:val="22"/>
          <w:szCs w:val="22"/>
        </w:rPr>
      </w:pPr>
      <w:r>
        <w:rPr>
          <w:rFonts w:ascii="Calibri" w:hAnsi="Calibri" w:cs="Calibri"/>
          <w:color w:val="auto"/>
          <w:sz w:val="22"/>
          <w:szCs w:val="22"/>
        </w:rPr>
        <w:t>Cílem projektu byla výměna zkušeností a podpora spolupráce mezi českými subjekty a subjekty z navštívených zemí (tj. Maďarska a Itálie). Výměna zkušeností se týkala následujících oblastí:</w:t>
      </w:r>
    </w:p>
    <w:p w:rsidR="00131A3A" w:rsidRDefault="0063545E" w:rsidP="002C40B2">
      <w:pPr>
        <w:pStyle w:val="Odstavecseseznamem"/>
        <w:numPr>
          <w:ilvl w:val="0"/>
          <w:numId w:val="32"/>
        </w:numPr>
        <w:spacing w:before="240"/>
      </w:pPr>
      <w:r>
        <w:t>i</w:t>
      </w:r>
      <w:r w:rsidR="00131A3A">
        <w:t>novace prospívající podnikatelskému prostředí (např. zlepšení účinnosti investic do výzkumu a inovací, zlepšení inovací v podnikání a konkurenceschopnost);</w:t>
      </w:r>
    </w:p>
    <w:p w:rsidR="00131A3A" w:rsidRDefault="0063545E" w:rsidP="002C40B2">
      <w:pPr>
        <w:pStyle w:val="Odstavecseseznamem"/>
        <w:numPr>
          <w:ilvl w:val="0"/>
          <w:numId w:val="32"/>
        </w:numPr>
        <w:spacing w:before="240"/>
      </w:pPr>
      <w:r>
        <w:t>r</w:t>
      </w:r>
      <w:r w:rsidR="00131A3A">
        <w:t>ozvoj infrastruktury pro růst a konkurenceschopnost (např. zlepšení dostupnosti a udržitelné způsoby dopravy);</w:t>
      </w:r>
    </w:p>
    <w:p w:rsidR="00131A3A" w:rsidRDefault="0063545E" w:rsidP="002C40B2">
      <w:pPr>
        <w:pStyle w:val="Odstavecseseznamem"/>
        <w:numPr>
          <w:ilvl w:val="0"/>
          <w:numId w:val="32"/>
        </w:numPr>
        <w:spacing w:before="240"/>
      </w:pPr>
      <w:r>
        <w:t>r</w:t>
      </w:r>
      <w:r w:rsidR="00131A3A">
        <w:t>ůst založený na lidském kapitálu a zvýšená účast na trhu práce (např. posílení všech stupňů vzdělávání pro zlepšení jeho kvality, jeho přínosu pro sociální začlenění a významu pro trh práce, zapojení rodičů s malými dětmi do trhu práce, integrace a zaměstnanost dalších zranitelných/znevýhodněných skupin);</w:t>
      </w:r>
    </w:p>
    <w:p w:rsidR="00131A3A" w:rsidRDefault="0063545E" w:rsidP="002C40B2">
      <w:pPr>
        <w:pStyle w:val="Odstavecseseznamem"/>
        <w:numPr>
          <w:ilvl w:val="0"/>
          <w:numId w:val="32"/>
        </w:numPr>
        <w:spacing w:before="240"/>
      </w:pPr>
      <w:r>
        <w:t>h</w:t>
      </w:r>
      <w:r w:rsidR="00131A3A">
        <w:t>ospodářství příznivé pro životní prostředí a účinně využívající zdroje (např. ochrana životního prostředí a lepší hospodaření s přírodními zdroji; posun k energeticky účinnému, nízkouhlíkovému hospodářství);</w:t>
      </w:r>
    </w:p>
    <w:p w:rsidR="00131A3A" w:rsidRDefault="0063545E" w:rsidP="002C40B2">
      <w:pPr>
        <w:pStyle w:val="Odstavecseseznamem"/>
        <w:numPr>
          <w:ilvl w:val="0"/>
          <w:numId w:val="32"/>
        </w:numPr>
        <w:spacing w:before="240"/>
      </w:pPr>
      <w:r>
        <w:t>m</w:t>
      </w:r>
      <w:r w:rsidR="00131A3A">
        <w:t>oderní a profesionální správa.</w:t>
      </w:r>
    </w:p>
    <w:p w:rsidR="00131A3A" w:rsidRDefault="00131A3A" w:rsidP="002C40B2">
      <w:pPr>
        <w:pStyle w:val="Normln1"/>
        <w:spacing w:line="276" w:lineRule="auto"/>
        <w:rPr>
          <w:rFonts w:ascii="Calibri" w:hAnsi="Calibri" w:cs="Calibri"/>
          <w:color w:val="auto"/>
          <w:sz w:val="22"/>
          <w:szCs w:val="22"/>
        </w:rPr>
      </w:pPr>
      <w:r>
        <w:rPr>
          <w:rFonts w:ascii="Calibri" w:hAnsi="Calibri" w:cs="Calibri"/>
          <w:color w:val="auto"/>
          <w:sz w:val="22"/>
          <w:szCs w:val="22"/>
        </w:rPr>
        <w:lastRenderedPageBreak/>
        <w:t>Cílovou skupinu projektu představovali politici</w:t>
      </w:r>
      <w:r w:rsidR="00822CE7">
        <w:rPr>
          <w:rFonts w:ascii="Calibri" w:hAnsi="Calibri" w:cs="Calibri"/>
          <w:color w:val="auto"/>
          <w:sz w:val="22"/>
          <w:szCs w:val="22"/>
        </w:rPr>
        <w:t xml:space="preserve"> na</w:t>
      </w:r>
      <w:r>
        <w:rPr>
          <w:rFonts w:ascii="Calibri" w:hAnsi="Calibri" w:cs="Calibri"/>
          <w:color w:val="auto"/>
          <w:sz w:val="22"/>
          <w:szCs w:val="22"/>
        </w:rPr>
        <w:t xml:space="preserve"> regionální úrovni, představitelé místní samosprávy, pracovníci odborů KÚ KK, manažeři území apod.</w:t>
      </w:r>
    </w:p>
    <w:p w:rsidR="00131A3A" w:rsidRPr="00B711FF" w:rsidRDefault="00131A3A" w:rsidP="002C40B2">
      <w:pPr>
        <w:pStyle w:val="Nadpis2"/>
        <w:rPr>
          <w:rFonts w:ascii="Calibri" w:hAnsi="Calibri"/>
          <w:bCs/>
        </w:rPr>
      </w:pPr>
      <w:r w:rsidRPr="00B711FF">
        <w:rPr>
          <w:rFonts w:ascii="Calibri" w:hAnsi="Calibri"/>
        </w:rPr>
        <w:t>Klíčové výzvy</w:t>
      </w:r>
    </w:p>
    <w:p w:rsidR="0078682E" w:rsidRPr="00DD137F" w:rsidRDefault="0078682E" w:rsidP="002C40B2">
      <w:pPr>
        <w:rPr>
          <w:b/>
          <w:lang w:eastAsia="en-US"/>
        </w:rPr>
      </w:pPr>
      <w:r>
        <w:rPr>
          <w:b/>
          <w:lang w:eastAsia="en-US"/>
        </w:rPr>
        <w:t>Rozvoj eGovernmentu</w:t>
      </w:r>
    </w:p>
    <w:p w:rsidR="00131A3A" w:rsidRDefault="00131A3A" w:rsidP="002C40B2">
      <w:pPr>
        <w:rPr>
          <w:b/>
        </w:rPr>
      </w:pPr>
      <w:r>
        <w:rPr>
          <w:lang w:eastAsia="en-US"/>
        </w:rPr>
        <w:t>V návaznosti na strategii </w:t>
      </w:r>
      <w:hyperlink r:id="rId208" w:history="1">
        <w:r w:rsidR="002F684C" w:rsidRPr="002F684C">
          <w:rPr>
            <w:rFonts w:eastAsia="Calibri"/>
            <w:i/>
          </w:rPr>
          <w:t>Efektivní veřejná správa a přátelské veřejné služby (Smart Administration)</w:t>
        </w:r>
      </w:hyperlink>
      <w:r>
        <w:rPr>
          <w:lang w:eastAsia="en-US"/>
        </w:rPr>
        <w:t xml:space="preserve"> bude třeba nadále pokračovat v rozvoji </w:t>
      </w:r>
      <w:r>
        <w:t>služeb eGovernmentu a realizaci dalších služeb a opatření, která povedou k jejímu naplnění.</w:t>
      </w:r>
      <w:r>
        <w:rPr>
          <w:b/>
        </w:rPr>
        <w:t xml:space="preserve"> </w:t>
      </w:r>
      <w:r>
        <w:t>Zejména půjde o elektronizace agend veřejné správy, budování k tomu potřebné infrastruktury a zajištění její bezpečnosti.</w:t>
      </w:r>
      <w:r>
        <w:rPr>
          <w:b/>
        </w:rPr>
        <w:t xml:space="preserve"> </w:t>
      </w:r>
    </w:p>
    <w:p w:rsidR="0078682E" w:rsidRDefault="0078682E" w:rsidP="002C40B2">
      <w:pPr>
        <w:rPr>
          <w:b/>
          <w:i/>
        </w:rPr>
      </w:pPr>
      <w:r w:rsidRPr="00DD137F">
        <w:rPr>
          <w:b/>
          <w:i/>
        </w:rPr>
        <w:t>Příčiny</w:t>
      </w:r>
    </w:p>
    <w:p w:rsidR="0078682E" w:rsidRDefault="0078682E" w:rsidP="002C40B2">
      <w:r>
        <w:t>Okolní svět, a nejedná se už jen o západní Evropu, dynamicky rozvíjí nové nástroje (tzv. smart řešení) využívají</w:t>
      </w:r>
      <w:r w:rsidR="0028464F">
        <w:t>cí</w:t>
      </w:r>
      <w:r>
        <w:t xml:space="preserve"> informační technologie a propojuj</w:t>
      </w:r>
      <w:r w:rsidR="0028464F">
        <w:t>e</w:t>
      </w:r>
      <w:r>
        <w:t xml:space="preserve"> je s jinými tradičními postupy. Smart řešení se netýkají pouze komerčních služeb či průmyslu, ale také veřejné správy. V tomto smyslu roste konkurence také mezi subjekty veřejné správy.</w:t>
      </w:r>
    </w:p>
    <w:p w:rsidR="0078682E" w:rsidRDefault="0078682E" w:rsidP="002C40B2">
      <w:r>
        <w:rPr>
          <w:b/>
          <w:i/>
        </w:rPr>
        <w:t>Důsledky</w:t>
      </w:r>
    </w:p>
    <w:p w:rsidR="0078682E" w:rsidRPr="00DD137F" w:rsidRDefault="0078682E" w:rsidP="002C40B2">
      <w:r>
        <w:t>eGovernment je nezbytným požadavkem na plnohodnotný, moderní a efektivní výkon veřejné správy, který vytváří podmínky pro život a podnikání v kraji. Rozvoj eGovernmentu je odpovědí na požadavky společnosti, které jsou umocně</w:t>
      </w:r>
      <w:r w:rsidR="00A653C7">
        <w:t>ny mobilitou lidského kapitálu, a je jedním z předpokladů rozvoje ekonomické výkonnosti kraje.</w:t>
      </w:r>
    </w:p>
    <w:p w:rsidR="00131A3A" w:rsidRDefault="00131A3A" w:rsidP="002C40B2">
      <w:pPr>
        <w:pStyle w:val="Nadpis3"/>
        <w:spacing w:line="276" w:lineRule="auto"/>
        <w:rPr>
          <w:b w:val="0"/>
        </w:rPr>
      </w:pPr>
      <w:r>
        <w:rPr>
          <w:b w:val="0"/>
        </w:rPr>
        <w:t>Literatura:</w:t>
      </w:r>
    </w:p>
    <w:p w:rsidR="0063545E" w:rsidRDefault="0063545E" w:rsidP="0063545E">
      <w:pPr>
        <w:rPr>
          <w:rFonts w:cs="Times New Roman"/>
          <w:i/>
          <w:szCs w:val="24"/>
        </w:rPr>
      </w:pPr>
      <w:r>
        <w:rPr>
          <w:rFonts w:cs="Times New Roman"/>
          <w:i/>
          <w:szCs w:val="24"/>
        </w:rPr>
        <w:t xml:space="preserve">Program rozvoje Karlovarského kraje 2007–2013 – Akční plán </w:t>
      </w:r>
      <w:r w:rsidR="002F684C" w:rsidRPr="002F684C">
        <w:rPr>
          <w:rFonts w:cs="Times New Roman"/>
          <w:szCs w:val="24"/>
        </w:rPr>
        <w:t>(interní dokument)</w:t>
      </w:r>
    </w:p>
    <w:p w:rsidR="0063545E" w:rsidRPr="0063545E" w:rsidRDefault="002F684C" w:rsidP="0063545E">
      <w:r w:rsidRPr="002F684C">
        <w:rPr>
          <w:rFonts w:cs="Times New Roman"/>
          <w:szCs w:val="24"/>
        </w:rPr>
        <w:t>KÚKK</w:t>
      </w:r>
      <w:r w:rsidR="0063545E">
        <w:rPr>
          <w:rFonts w:cs="Times New Roman"/>
          <w:i/>
          <w:szCs w:val="24"/>
        </w:rPr>
        <w:t xml:space="preserve">. Terminologický slovník CAF a metodická příručka pro zavedení procesního řízení na Krajském úřadu Karlovarského kraje. </w:t>
      </w:r>
      <w:r w:rsidR="0063545E">
        <w:rPr>
          <w:rFonts w:eastAsiaTheme="minorHAnsi"/>
          <w:color w:val="000000"/>
          <w:lang w:eastAsia="en-US"/>
        </w:rPr>
        <w:t>[</w:t>
      </w:r>
      <w:r w:rsidR="0063545E" w:rsidRPr="0063545E">
        <w:rPr>
          <w:rFonts w:eastAsiaTheme="minorHAnsi"/>
          <w:color w:val="000000"/>
          <w:lang w:eastAsia="en-US"/>
        </w:rPr>
        <w:t xml:space="preserve">online]. </w:t>
      </w:r>
      <w:r w:rsidRPr="002F684C">
        <w:rPr>
          <w:rFonts w:eastAsiaTheme="minorHAnsi"/>
          <w:iCs/>
          <w:lang w:eastAsia="en-US"/>
        </w:rPr>
        <w:t xml:space="preserve">2016. Dostupné z: </w:t>
      </w:r>
      <w:hyperlink r:id="rId209" w:history="1">
        <w:r w:rsidRPr="002F684C">
          <w:rPr>
            <w:rFonts w:eastAsiaTheme="minorHAnsi"/>
            <w:iCs/>
            <w:color w:val="0000FF"/>
            <w:u w:val="single"/>
            <w:lang w:eastAsia="en-US"/>
          </w:rPr>
          <w:t>http://www.caf-kk.cz/cz/ke-stazeni</w:t>
        </w:r>
      </w:hyperlink>
      <w:r w:rsidRPr="002F684C">
        <w:rPr>
          <w:rFonts w:eastAsiaTheme="minorHAnsi"/>
          <w:iCs/>
          <w:lang w:eastAsia="en-US"/>
        </w:rPr>
        <w:t>.</w:t>
      </w:r>
    </w:p>
    <w:p w:rsidR="00087C0A" w:rsidRDefault="00087C0A" w:rsidP="002C40B2">
      <w:pPr>
        <w:spacing w:after="160"/>
        <w:jc w:val="left"/>
        <w:rPr>
          <w:lang w:eastAsia="en-US"/>
        </w:rPr>
      </w:pPr>
      <w:r>
        <w:rPr>
          <w:lang w:eastAsia="en-US"/>
        </w:rPr>
        <w:br w:type="page"/>
      </w:r>
    </w:p>
    <w:p w:rsidR="00F84B78" w:rsidRPr="00DE7326" w:rsidRDefault="00087C0A" w:rsidP="00094A5B">
      <w:pPr>
        <w:pStyle w:val="Nadpis1"/>
      </w:pPr>
      <w:r>
        <w:lastRenderedPageBreak/>
        <w:t xml:space="preserve"> </w:t>
      </w:r>
      <w:bookmarkStart w:id="485" w:name="_Toc488233408"/>
      <w:r w:rsidR="00CB10CF" w:rsidRPr="00DE7326">
        <w:t>Přílohy</w:t>
      </w:r>
      <w:bookmarkEnd w:id="485"/>
    </w:p>
    <w:p w:rsidR="00E76DF0" w:rsidRDefault="00E76DF0" w:rsidP="000B3B9C">
      <w:pPr>
        <w:pStyle w:val="Titulek"/>
      </w:pPr>
      <w:bookmarkStart w:id="486" w:name="_Ref468694134"/>
      <w:bookmarkStart w:id="487" w:name="_Ref466892701"/>
      <w:bookmarkStart w:id="488" w:name="_Toc488233193"/>
      <w:r>
        <w:t xml:space="preserve">Příloha </w:t>
      </w:r>
      <w:r w:rsidR="004F2330">
        <w:fldChar w:fldCharType="begin"/>
      </w:r>
      <w:r w:rsidR="004F2330">
        <w:instrText xml:space="preserve"> SEQ Příloha \* ARABIC </w:instrText>
      </w:r>
      <w:r w:rsidR="004F2330">
        <w:fldChar w:fldCharType="separate"/>
      </w:r>
      <w:r w:rsidR="00CB29BD">
        <w:t>1</w:t>
      </w:r>
      <w:r w:rsidR="004F2330">
        <w:fldChar w:fldCharType="end"/>
      </w:r>
      <w:bookmarkEnd w:id="486"/>
      <w:r>
        <w:t>: Produktivita s</w:t>
      </w:r>
      <w:r w:rsidRPr="00AE46CF">
        <w:t>ektor</w:t>
      </w:r>
      <w:r>
        <w:t xml:space="preserve">ů ekonomiky </w:t>
      </w:r>
      <w:r w:rsidRPr="00AE46CF">
        <w:t xml:space="preserve">dle NACE </w:t>
      </w:r>
      <w:r>
        <w:t>v KK a ČR v roce 2014</w:t>
      </w:r>
      <w:bookmarkEnd w:id="487"/>
      <w:bookmarkEnd w:id="488"/>
    </w:p>
    <w:tbl>
      <w:tblPr>
        <w:tblW w:w="5000" w:type="pct"/>
        <w:tblLayout w:type="fixed"/>
        <w:tblCellMar>
          <w:left w:w="70" w:type="dxa"/>
          <w:right w:w="70" w:type="dxa"/>
        </w:tblCellMar>
        <w:tblLook w:val="04A0" w:firstRow="1" w:lastRow="0" w:firstColumn="1" w:lastColumn="0" w:noHBand="0" w:noVBand="1"/>
      </w:tblPr>
      <w:tblGrid>
        <w:gridCol w:w="836"/>
        <w:gridCol w:w="656"/>
        <w:gridCol w:w="560"/>
        <w:gridCol w:w="652"/>
        <w:gridCol w:w="654"/>
        <w:gridCol w:w="838"/>
        <w:gridCol w:w="746"/>
        <w:gridCol w:w="840"/>
        <w:gridCol w:w="748"/>
        <w:gridCol w:w="652"/>
        <w:gridCol w:w="652"/>
        <w:gridCol w:w="746"/>
        <w:gridCol w:w="630"/>
      </w:tblGrid>
      <w:tr w:rsidR="00E76DF0" w:rsidRPr="007361AC" w:rsidTr="00A710FA">
        <w:trPr>
          <w:trHeight w:val="480"/>
        </w:trPr>
        <w:tc>
          <w:tcPr>
            <w:tcW w:w="4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 </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Zaměst</w:t>
            </w:r>
            <w:r>
              <w:rPr>
                <w:rFonts w:ascii="Arial" w:hAnsi="Arial" w:cs="Arial"/>
                <w:b/>
                <w:bCs/>
                <w:color w:val="000000"/>
                <w:sz w:val="18"/>
                <w:szCs w:val="18"/>
              </w:rPr>
              <w:t>-</w:t>
            </w:r>
            <w:r>
              <w:rPr>
                <w:rFonts w:ascii="Arial" w:hAnsi="Arial" w:cs="Arial"/>
                <w:b/>
                <w:bCs/>
                <w:color w:val="000000"/>
                <w:sz w:val="18"/>
                <w:szCs w:val="18"/>
              </w:rPr>
              <w:br/>
            </w:r>
            <w:r w:rsidRPr="007361AC">
              <w:rPr>
                <w:rFonts w:ascii="Arial" w:hAnsi="Arial" w:cs="Arial"/>
                <w:b/>
                <w:bCs/>
                <w:color w:val="000000"/>
                <w:sz w:val="18"/>
                <w:szCs w:val="18"/>
              </w:rPr>
              <w:t xml:space="preserve">nanost celkem (osoby) </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Země</w:t>
            </w:r>
            <w:r>
              <w:rPr>
                <w:rFonts w:ascii="Arial" w:hAnsi="Arial" w:cs="Arial"/>
                <w:b/>
                <w:bCs/>
                <w:color w:val="000000"/>
                <w:sz w:val="18"/>
                <w:szCs w:val="18"/>
              </w:rPr>
              <w:t>-</w:t>
            </w:r>
            <w:r>
              <w:rPr>
                <w:rFonts w:ascii="Arial" w:hAnsi="Arial" w:cs="Arial"/>
                <w:b/>
                <w:bCs/>
                <w:color w:val="000000"/>
                <w:sz w:val="18"/>
                <w:szCs w:val="18"/>
              </w:rPr>
              <w:br/>
            </w:r>
            <w:r w:rsidRPr="007361AC">
              <w:rPr>
                <w:rFonts w:ascii="Arial" w:hAnsi="Arial" w:cs="Arial"/>
                <w:b/>
                <w:bCs/>
                <w:color w:val="000000"/>
                <w:sz w:val="18"/>
                <w:szCs w:val="18"/>
              </w:rPr>
              <w:t>dělství, lesnic</w:t>
            </w:r>
            <w:r>
              <w:rPr>
                <w:rFonts w:ascii="Arial" w:hAnsi="Arial" w:cs="Arial"/>
                <w:b/>
                <w:bCs/>
                <w:color w:val="000000"/>
                <w:sz w:val="18"/>
                <w:szCs w:val="18"/>
              </w:rPr>
              <w:t>_</w:t>
            </w:r>
          </w:p>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tví a rybářství</w:t>
            </w:r>
          </w:p>
        </w:tc>
        <w:tc>
          <w:tcPr>
            <w:tcW w:w="709" w:type="pct"/>
            <w:gridSpan w:val="2"/>
            <w:tcBorders>
              <w:top w:val="single" w:sz="4" w:space="0" w:color="auto"/>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Průmysl, těžba a dobývání</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Stavebnictví</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Obchod, doprava, ubytování a pohostin</w:t>
            </w:r>
            <w:r>
              <w:rPr>
                <w:rFonts w:ascii="Arial" w:hAnsi="Arial" w:cs="Arial"/>
                <w:b/>
                <w:bCs/>
                <w:color w:val="000000"/>
                <w:sz w:val="18"/>
                <w:szCs w:val="18"/>
              </w:rPr>
              <w:t>-</w:t>
            </w:r>
            <w:r w:rsidRPr="007361AC">
              <w:rPr>
                <w:rFonts w:ascii="Arial" w:hAnsi="Arial" w:cs="Arial"/>
                <w:b/>
                <w:bCs/>
                <w:color w:val="000000"/>
                <w:sz w:val="18"/>
                <w:szCs w:val="18"/>
              </w:rPr>
              <w:t>ství</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Informační a komuni</w:t>
            </w:r>
            <w:r>
              <w:rPr>
                <w:rFonts w:ascii="Arial" w:hAnsi="Arial" w:cs="Arial"/>
                <w:b/>
                <w:bCs/>
                <w:color w:val="000000"/>
                <w:sz w:val="18"/>
                <w:szCs w:val="18"/>
              </w:rPr>
              <w:t>-</w:t>
            </w:r>
            <w:r w:rsidRPr="007361AC">
              <w:rPr>
                <w:rFonts w:ascii="Arial" w:hAnsi="Arial" w:cs="Arial"/>
                <w:b/>
                <w:bCs/>
                <w:color w:val="000000"/>
                <w:sz w:val="18"/>
                <w:szCs w:val="18"/>
              </w:rPr>
              <w:t>ka</w:t>
            </w:r>
            <w:r>
              <w:rPr>
                <w:rFonts w:ascii="Arial" w:hAnsi="Arial" w:cs="Arial"/>
                <w:b/>
                <w:bCs/>
                <w:color w:val="000000"/>
                <w:sz w:val="18"/>
                <w:szCs w:val="18"/>
              </w:rPr>
              <w:t>č</w:t>
            </w:r>
            <w:r w:rsidRPr="007361AC">
              <w:rPr>
                <w:rFonts w:ascii="Arial" w:hAnsi="Arial" w:cs="Arial"/>
                <w:b/>
                <w:bCs/>
                <w:color w:val="000000"/>
                <w:sz w:val="18"/>
                <w:szCs w:val="18"/>
              </w:rPr>
              <w:t>ní činnosti</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Peněžnictví a pojišťov</w:t>
            </w:r>
            <w:r>
              <w:rPr>
                <w:rFonts w:ascii="Arial" w:hAnsi="Arial" w:cs="Arial"/>
                <w:b/>
                <w:bCs/>
                <w:color w:val="000000"/>
                <w:sz w:val="18"/>
                <w:szCs w:val="18"/>
              </w:rPr>
              <w:t>-</w:t>
            </w:r>
            <w:r w:rsidRPr="007361AC">
              <w:rPr>
                <w:rFonts w:ascii="Arial" w:hAnsi="Arial" w:cs="Arial"/>
                <w:b/>
                <w:bCs/>
                <w:color w:val="000000"/>
                <w:sz w:val="18"/>
                <w:szCs w:val="18"/>
              </w:rPr>
              <w:t>nictví</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Činnosti v oblasti nemovi</w:t>
            </w:r>
            <w:r>
              <w:rPr>
                <w:rFonts w:ascii="Arial" w:hAnsi="Arial" w:cs="Arial"/>
                <w:b/>
                <w:bCs/>
                <w:color w:val="000000"/>
                <w:sz w:val="18"/>
                <w:szCs w:val="18"/>
              </w:rPr>
              <w:t>-</w:t>
            </w:r>
            <w:r w:rsidRPr="007361AC">
              <w:rPr>
                <w:rFonts w:ascii="Arial" w:hAnsi="Arial" w:cs="Arial"/>
                <w:b/>
                <w:bCs/>
                <w:color w:val="000000"/>
                <w:sz w:val="18"/>
                <w:szCs w:val="18"/>
              </w:rPr>
              <w:t>tostí</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Profesní, vědecké, technické a admini</w:t>
            </w:r>
            <w:r>
              <w:rPr>
                <w:rFonts w:ascii="Arial" w:hAnsi="Arial" w:cs="Arial"/>
                <w:b/>
                <w:bCs/>
                <w:color w:val="000000"/>
                <w:sz w:val="18"/>
                <w:szCs w:val="18"/>
              </w:rPr>
              <w:t>-</w:t>
            </w:r>
            <w:r w:rsidRPr="007361AC">
              <w:rPr>
                <w:rFonts w:ascii="Arial" w:hAnsi="Arial" w:cs="Arial"/>
                <w:b/>
                <w:bCs/>
                <w:color w:val="000000"/>
                <w:sz w:val="18"/>
                <w:szCs w:val="18"/>
              </w:rPr>
              <w:t>strativní činnosti</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Veřejná správa a obrana, vzdělávání, zdravotní a sociální péče</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Ostatní činnosti</w:t>
            </w:r>
          </w:p>
        </w:tc>
      </w:tr>
      <w:tr w:rsidR="00E76DF0" w:rsidRPr="007361AC" w:rsidTr="00A710FA">
        <w:trPr>
          <w:trHeight w:val="30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4" w:type="pct"/>
            <w:vMerge w:val="restart"/>
            <w:tcBorders>
              <w:top w:val="nil"/>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celkem</w:t>
            </w:r>
          </w:p>
        </w:tc>
        <w:tc>
          <w:tcPr>
            <w:tcW w:w="355"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z toho:</w:t>
            </w: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r>
      <w:tr w:rsidR="00E76DF0" w:rsidRPr="007361AC" w:rsidTr="00A710FA">
        <w:trPr>
          <w:trHeight w:val="720"/>
        </w:trPr>
        <w:tc>
          <w:tcPr>
            <w:tcW w:w="45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4" w:type="pct"/>
            <w:vMerge/>
            <w:tcBorders>
              <w:top w:val="nil"/>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5"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zpracova</w:t>
            </w:r>
            <w:r>
              <w:rPr>
                <w:rFonts w:ascii="Arial" w:hAnsi="Arial" w:cs="Arial"/>
                <w:b/>
                <w:bCs/>
                <w:color w:val="000000"/>
                <w:sz w:val="18"/>
                <w:szCs w:val="18"/>
              </w:rPr>
              <w:t>-</w:t>
            </w:r>
            <w:r w:rsidRPr="007361AC">
              <w:rPr>
                <w:rFonts w:ascii="Arial" w:hAnsi="Arial" w:cs="Arial"/>
                <w:b/>
                <w:bCs/>
                <w:color w:val="000000"/>
                <w:sz w:val="18"/>
                <w:szCs w:val="18"/>
              </w:rPr>
              <w:t>telský průmysl</w:t>
            </w: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E76DF0" w:rsidRPr="007361AC" w:rsidRDefault="00E76DF0" w:rsidP="002C40B2">
            <w:pPr>
              <w:spacing w:after="0"/>
              <w:jc w:val="left"/>
              <w:rPr>
                <w:rFonts w:ascii="Arial" w:hAnsi="Arial" w:cs="Arial"/>
                <w:b/>
                <w:bCs/>
                <w:color w:val="000000"/>
                <w:sz w:val="18"/>
                <w:szCs w:val="18"/>
              </w:rPr>
            </w:pPr>
          </w:p>
        </w:tc>
      </w:tr>
      <w:tr w:rsidR="00E76DF0" w:rsidRPr="007361AC" w:rsidTr="00A710FA">
        <w:trPr>
          <w:trHeight w:val="300"/>
        </w:trPr>
        <w:tc>
          <w:tcPr>
            <w:tcW w:w="454" w:type="pct"/>
            <w:tcBorders>
              <w:top w:val="nil"/>
              <w:left w:val="single" w:sz="4" w:space="0" w:color="auto"/>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NACE</w:t>
            </w:r>
          </w:p>
        </w:tc>
        <w:tc>
          <w:tcPr>
            <w:tcW w:w="356"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 </w:t>
            </w:r>
          </w:p>
        </w:tc>
        <w:tc>
          <w:tcPr>
            <w:tcW w:w="304"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A</w:t>
            </w:r>
          </w:p>
        </w:tc>
        <w:tc>
          <w:tcPr>
            <w:tcW w:w="354"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B+C+D+E</w:t>
            </w:r>
          </w:p>
        </w:tc>
        <w:tc>
          <w:tcPr>
            <w:tcW w:w="355"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C</w:t>
            </w:r>
          </w:p>
        </w:tc>
        <w:tc>
          <w:tcPr>
            <w:tcW w:w="455"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F</w:t>
            </w:r>
          </w:p>
        </w:tc>
        <w:tc>
          <w:tcPr>
            <w:tcW w:w="405"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G+H+I</w:t>
            </w:r>
          </w:p>
        </w:tc>
        <w:tc>
          <w:tcPr>
            <w:tcW w:w="456"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J</w:t>
            </w:r>
          </w:p>
        </w:tc>
        <w:tc>
          <w:tcPr>
            <w:tcW w:w="406"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K</w:t>
            </w:r>
          </w:p>
        </w:tc>
        <w:tc>
          <w:tcPr>
            <w:tcW w:w="354"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L</w:t>
            </w:r>
          </w:p>
        </w:tc>
        <w:tc>
          <w:tcPr>
            <w:tcW w:w="354"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M+N</w:t>
            </w:r>
          </w:p>
        </w:tc>
        <w:tc>
          <w:tcPr>
            <w:tcW w:w="405"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O+P+Q</w:t>
            </w:r>
          </w:p>
        </w:tc>
        <w:tc>
          <w:tcPr>
            <w:tcW w:w="342" w:type="pct"/>
            <w:tcBorders>
              <w:top w:val="nil"/>
              <w:left w:val="nil"/>
              <w:bottom w:val="single" w:sz="4" w:space="0" w:color="auto"/>
              <w:right w:val="single" w:sz="4" w:space="0" w:color="auto"/>
            </w:tcBorders>
            <w:shd w:val="clear" w:color="auto" w:fill="auto"/>
            <w:vAlign w:val="center"/>
            <w:hideMark/>
          </w:tcPr>
          <w:p w:rsidR="00E76DF0" w:rsidRPr="007361AC" w:rsidRDefault="00E76DF0" w:rsidP="002C40B2">
            <w:pPr>
              <w:spacing w:after="0"/>
              <w:jc w:val="center"/>
              <w:rPr>
                <w:rFonts w:ascii="Arial" w:hAnsi="Arial" w:cs="Arial"/>
                <w:b/>
                <w:bCs/>
                <w:color w:val="000000"/>
                <w:sz w:val="18"/>
                <w:szCs w:val="18"/>
              </w:rPr>
            </w:pPr>
            <w:r w:rsidRPr="007361AC">
              <w:rPr>
                <w:rFonts w:ascii="Arial" w:hAnsi="Arial" w:cs="Arial"/>
                <w:b/>
                <w:bCs/>
                <w:color w:val="000000"/>
                <w:sz w:val="18"/>
                <w:szCs w:val="18"/>
              </w:rPr>
              <w:t>R+S+T+U</w:t>
            </w:r>
          </w:p>
        </w:tc>
      </w:tr>
      <w:tr w:rsidR="00E76DF0" w:rsidRPr="007361AC" w:rsidTr="00A710FA">
        <w:trPr>
          <w:trHeight w:val="495"/>
        </w:trPr>
        <w:tc>
          <w:tcPr>
            <w:tcW w:w="454" w:type="pct"/>
            <w:tcBorders>
              <w:top w:val="nil"/>
              <w:left w:val="single" w:sz="4" w:space="0" w:color="auto"/>
              <w:bottom w:val="single" w:sz="4" w:space="0" w:color="auto"/>
              <w:right w:val="single" w:sz="4" w:space="0" w:color="auto"/>
            </w:tcBorders>
            <w:shd w:val="clear" w:color="auto" w:fill="auto"/>
            <w:vAlign w:val="bottom"/>
            <w:hideMark/>
          </w:tcPr>
          <w:p w:rsidR="00E76DF0" w:rsidRPr="007361AC" w:rsidRDefault="00E76DF0" w:rsidP="002C40B2">
            <w:pPr>
              <w:spacing w:after="0"/>
              <w:jc w:val="left"/>
              <w:rPr>
                <w:rFonts w:ascii="Arial" w:hAnsi="Arial" w:cs="Arial"/>
                <w:color w:val="000000"/>
                <w:sz w:val="18"/>
                <w:szCs w:val="18"/>
              </w:rPr>
            </w:pPr>
            <w:r w:rsidRPr="007361AC">
              <w:rPr>
                <w:rFonts w:ascii="Arial" w:hAnsi="Arial" w:cs="Arial"/>
                <w:color w:val="000000"/>
                <w:sz w:val="18"/>
                <w:szCs w:val="18"/>
              </w:rPr>
              <w:t>zaměstnanost ČR</w:t>
            </w:r>
          </w:p>
        </w:tc>
        <w:tc>
          <w:tcPr>
            <w:tcW w:w="3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5 109 195</w:t>
            </w:r>
          </w:p>
        </w:tc>
        <w:tc>
          <w:tcPr>
            <w:tcW w:w="30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167 374</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1 457 551</w:t>
            </w:r>
          </w:p>
        </w:tc>
        <w:tc>
          <w:tcPr>
            <w:tcW w:w="3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1 332 163</w:t>
            </w:r>
          </w:p>
        </w:tc>
        <w:tc>
          <w:tcPr>
            <w:tcW w:w="4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422 010</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1 230 832</w:t>
            </w:r>
          </w:p>
        </w:tc>
        <w:tc>
          <w:tcPr>
            <w:tcW w:w="4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131 529</w:t>
            </w:r>
          </w:p>
        </w:tc>
        <w:tc>
          <w:tcPr>
            <w:tcW w:w="40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92 256</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96 707</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428 987</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900 378</w:t>
            </w:r>
          </w:p>
        </w:tc>
        <w:tc>
          <w:tcPr>
            <w:tcW w:w="342"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181 571</w:t>
            </w:r>
          </w:p>
        </w:tc>
      </w:tr>
      <w:tr w:rsidR="00E76DF0" w:rsidRPr="007361AC" w:rsidTr="00A710FA">
        <w:trPr>
          <w:trHeight w:val="300"/>
        </w:trPr>
        <w:tc>
          <w:tcPr>
            <w:tcW w:w="454" w:type="pct"/>
            <w:tcBorders>
              <w:top w:val="nil"/>
              <w:left w:val="single" w:sz="4" w:space="0" w:color="auto"/>
              <w:bottom w:val="single" w:sz="4" w:space="0" w:color="auto"/>
              <w:right w:val="single" w:sz="4" w:space="0" w:color="auto"/>
            </w:tcBorders>
            <w:shd w:val="clear" w:color="auto" w:fill="auto"/>
            <w:vAlign w:val="bottom"/>
            <w:hideMark/>
          </w:tcPr>
          <w:p w:rsidR="00E76DF0" w:rsidRPr="007361AC" w:rsidRDefault="00E76DF0" w:rsidP="002C40B2">
            <w:pPr>
              <w:spacing w:after="0"/>
              <w:jc w:val="left"/>
              <w:rPr>
                <w:rFonts w:ascii="Arial" w:hAnsi="Arial" w:cs="Arial"/>
                <w:color w:val="000000"/>
                <w:sz w:val="18"/>
                <w:szCs w:val="18"/>
              </w:rPr>
            </w:pPr>
            <w:r w:rsidRPr="007361AC">
              <w:rPr>
                <w:rFonts w:ascii="Arial" w:hAnsi="Arial" w:cs="Arial"/>
                <w:color w:val="000000"/>
                <w:sz w:val="18"/>
                <w:szCs w:val="18"/>
              </w:rPr>
              <w:t>HPH ČR</w:t>
            </w:r>
          </w:p>
        </w:tc>
        <w:tc>
          <w:tcPr>
            <w:tcW w:w="3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3 855 364</w:t>
            </w:r>
          </w:p>
        </w:tc>
        <w:tc>
          <w:tcPr>
            <w:tcW w:w="30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104 265</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1 248 230</w:t>
            </w:r>
          </w:p>
        </w:tc>
        <w:tc>
          <w:tcPr>
            <w:tcW w:w="3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1 024 814</w:t>
            </w:r>
          </w:p>
        </w:tc>
        <w:tc>
          <w:tcPr>
            <w:tcW w:w="4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215 280</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692 629</w:t>
            </w:r>
          </w:p>
        </w:tc>
        <w:tc>
          <w:tcPr>
            <w:tcW w:w="4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189 648</w:t>
            </w:r>
          </w:p>
        </w:tc>
        <w:tc>
          <w:tcPr>
            <w:tcW w:w="40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173 680</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319 221</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259 330</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569 694</w:t>
            </w:r>
          </w:p>
        </w:tc>
        <w:tc>
          <w:tcPr>
            <w:tcW w:w="342"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83 387</w:t>
            </w:r>
          </w:p>
        </w:tc>
      </w:tr>
      <w:tr w:rsidR="00E76DF0" w:rsidRPr="007361AC" w:rsidTr="00A710FA">
        <w:trPr>
          <w:trHeight w:val="300"/>
        </w:trPr>
        <w:tc>
          <w:tcPr>
            <w:tcW w:w="454" w:type="pct"/>
            <w:tcBorders>
              <w:top w:val="nil"/>
              <w:left w:val="single" w:sz="4" w:space="0" w:color="auto"/>
              <w:bottom w:val="single" w:sz="4" w:space="0" w:color="auto"/>
              <w:right w:val="single" w:sz="4" w:space="0" w:color="auto"/>
            </w:tcBorders>
            <w:shd w:val="clear" w:color="auto" w:fill="auto"/>
            <w:vAlign w:val="bottom"/>
            <w:hideMark/>
          </w:tcPr>
          <w:p w:rsidR="00E76DF0" w:rsidRPr="007361AC" w:rsidRDefault="00E76DF0" w:rsidP="002C40B2">
            <w:pPr>
              <w:spacing w:after="0"/>
              <w:jc w:val="left"/>
              <w:rPr>
                <w:rFonts w:ascii="Arial" w:hAnsi="Arial" w:cs="Arial"/>
                <w:color w:val="000000"/>
                <w:sz w:val="18"/>
                <w:szCs w:val="18"/>
              </w:rPr>
            </w:pPr>
            <w:r w:rsidRPr="007361AC">
              <w:rPr>
                <w:rFonts w:ascii="Arial" w:hAnsi="Arial" w:cs="Arial"/>
                <w:color w:val="000000"/>
                <w:sz w:val="18"/>
                <w:szCs w:val="18"/>
              </w:rPr>
              <w:t>HPH/zam.</w:t>
            </w:r>
          </w:p>
        </w:tc>
        <w:tc>
          <w:tcPr>
            <w:tcW w:w="35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0,75</w:t>
            </w:r>
          </w:p>
        </w:tc>
        <w:tc>
          <w:tcPr>
            <w:tcW w:w="30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0,62</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0,86</w:t>
            </w:r>
          </w:p>
        </w:tc>
        <w:tc>
          <w:tcPr>
            <w:tcW w:w="35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0,77</w:t>
            </w:r>
          </w:p>
        </w:tc>
        <w:tc>
          <w:tcPr>
            <w:tcW w:w="45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0,51</w:t>
            </w:r>
          </w:p>
        </w:tc>
        <w:tc>
          <w:tcPr>
            <w:tcW w:w="40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0,56</w:t>
            </w:r>
          </w:p>
        </w:tc>
        <w:tc>
          <w:tcPr>
            <w:tcW w:w="45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1,44</w:t>
            </w:r>
          </w:p>
        </w:tc>
        <w:tc>
          <w:tcPr>
            <w:tcW w:w="40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1,88</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3,30</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0,60</w:t>
            </w:r>
          </w:p>
        </w:tc>
        <w:tc>
          <w:tcPr>
            <w:tcW w:w="40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0,63</w:t>
            </w:r>
          </w:p>
        </w:tc>
        <w:tc>
          <w:tcPr>
            <w:tcW w:w="342"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0,46</w:t>
            </w:r>
          </w:p>
        </w:tc>
      </w:tr>
      <w:tr w:rsidR="00E76DF0" w:rsidRPr="007361AC" w:rsidTr="00A710FA">
        <w:trPr>
          <w:trHeight w:val="300"/>
        </w:trPr>
        <w:tc>
          <w:tcPr>
            <w:tcW w:w="454" w:type="pct"/>
            <w:tcBorders>
              <w:top w:val="nil"/>
              <w:left w:val="single" w:sz="4" w:space="0" w:color="auto"/>
              <w:bottom w:val="single" w:sz="4" w:space="0" w:color="auto"/>
              <w:right w:val="single" w:sz="4" w:space="0" w:color="auto"/>
            </w:tcBorders>
            <w:shd w:val="clear" w:color="auto" w:fill="auto"/>
            <w:vAlign w:val="bottom"/>
            <w:hideMark/>
          </w:tcPr>
          <w:p w:rsidR="00E76DF0" w:rsidRPr="007361AC" w:rsidRDefault="00E76DF0" w:rsidP="002C40B2">
            <w:pPr>
              <w:spacing w:after="0"/>
              <w:jc w:val="left"/>
              <w:rPr>
                <w:rFonts w:ascii="Arial" w:hAnsi="Arial" w:cs="Arial"/>
                <w:color w:val="000000"/>
                <w:sz w:val="18"/>
                <w:szCs w:val="18"/>
              </w:rPr>
            </w:pPr>
            <w:r w:rsidRPr="007361AC">
              <w:rPr>
                <w:rFonts w:ascii="Arial" w:hAnsi="Arial" w:cs="Arial"/>
                <w:color w:val="000000"/>
                <w:sz w:val="18"/>
                <w:szCs w:val="18"/>
              </w:rPr>
              <w:t>zaměstnanost KK</w:t>
            </w:r>
          </w:p>
        </w:tc>
        <w:tc>
          <w:tcPr>
            <w:tcW w:w="3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135 463</w:t>
            </w:r>
          </w:p>
        </w:tc>
        <w:tc>
          <w:tcPr>
            <w:tcW w:w="30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4 198</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42 394</w:t>
            </w:r>
          </w:p>
        </w:tc>
        <w:tc>
          <w:tcPr>
            <w:tcW w:w="3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34 374</w:t>
            </w:r>
          </w:p>
        </w:tc>
        <w:tc>
          <w:tcPr>
            <w:tcW w:w="4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9 279</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35 693</w:t>
            </w:r>
          </w:p>
        </w:tc>
        <w:tc>
          <w:tcPr>
            <w:tcW w:w="4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672</w:t>
            </w:r>
          </w:p>
        </w:tc>
        <w:tc>
          <w:tcPr>
            <w:tcW w:w="40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1 197</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2 433</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6 169</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28 664</w:t>
            </w:r>
          </w:p>
        </w:tc>
        <w:tc>
          <w:tcPr>
            <w:tcW w:w="342"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4 764</w:t>
            </w:r>
          </w:p>
        </w:tc>
      </w:tr>
      <w:tr w:rsidR="00E76DF0" w:rsidRPr="007361AC" w:rsidTr="00A710FA">
        <w:trPr>
          <w:trHeight w:val="300"/>
        </w:trPr>
        <w:tc>
          <w:tcPr>
            <w:tcW w:w="454" w:type="pct"/>
            <w:tcBorders>
              <w:top w:val="nil"/>
              <w:left w:val="single" w:sz="4" w:space="0" w:color="auto"/>
              <w:bottom w:val="single" w:sz="4" w:space="0" w:color="auto"/>
              <w:right w:val="single" w:sz="4" w:space="0" w:color="auto"/>
            </w:tcBorders>
            <w:shd w:val="clear" w:color="auto" w:fill="auto"/>
            <w:vAlign w:val="bottom"/>
            <w:hideMark/>
          </w:tcPr>
          <w:p w:rsidR="00E76DF0" w:rsidRPr="007361AC" w:rsidRDefault="00E76DF0" w:rsidP="002C40B2">
            <w:pPr>
              <w:spacing w:after="0"/>
              <w:jc w:val="left"/>
              <w:rPr>
                <w:rFonts w:ascii="Arial" w:hAnsi="Arial" w:cs="Arial"/>
                <w:color w:val="000000"/>
                <w:sz w:val="18"/>
                <w:szCs w:val="18"/>
              </w:rPr>
            </w:pPr>
            <w:r w:rsidRPr="007361AC">
              <w:rPr>
                <w:rFonts w:ascii="Arial" w:hAnsi="Arial" w:cs="Arial"/>
                <w:color w:val="000000"/>
                <w:sz w:val="18"/>
                <w:szCs w:val="18"/>
              </w:rPr>
              <w:t>HPH KK</w:t>
            </w:r>
          </w:p>
        </w:tc>
        <w:tc>
          <w:tcPr>
            <w:tcW w:w="3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75 145</w:t>
            </w:r>
          </w:p>
        </w:tc>
        <w:tc>
          <w:tcPr>
            <w:tcW w:w="30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3 481</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23 522</w:t>
            </w:r>
          </w:p>
        </w:tc>
        <w:tc>
          <w:tcPr>
            <w:tcW w:w="3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16 039</w:t>
            </w:r>
          </w:p>
        </w:tc>
        <w:tc>
          <w:tcPr>
            <w:tcW w:w="45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4 094</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15 128</w:t>
            </w:r>
          </w:p>
        </w:tc>
        <w:tc>
          <w:tcPr>
            <w:tcW w:w="45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769</w:t>
            </w:r>
          </w:p>
        </w:tc>
        <w:tc>
          <w:tcPr>
            <w:tcW w:w="406"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864</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7 174</w:t>
            </w:r>
          </w:p>
        </w:tc>
        <w:tc>
          <w:tcPr>
            <w:tcW w:w="354"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2 623</w:t>
            </w:r>
          </w:p>
        </w:tc>
        <w:tc>
          <w:tcPr>
            <w:tcW w:w="405"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14 665</w:t>
            </w:r>
          </w:p>
        </w:tc>
        <w:tc>
          <w:tcPr>
            <w:tcW w:w="342" w:type="pct"/>
            <w:tcBorders>
              <w:top w:val="nil"/>
              <w:left w:val="nil"/>
              <w:bottom w:val="single" w:sz="4" w:space="0" w:color="auto"/>
              <w:right w:val="single" w:sz="4" w:space="0" w:color="auto"/>
            </w:tcBorders>
            <w:shd w:val="clear" w:color="auto" w:fill="auto"/>
            <w:vAlign w:val="bottom"/>
            <w:hideMark/>
          </w:tcPr>
          <w:p w:rsidR="00E76DF0" w:rsidRPr="007361AC" w:rsidRDefault="00E76DF0" w:rsidP="002C40B2">
            <w:pPr>
              <w:spacing w:after="0"/>
              <w:jc w:val="center"/>
              <w:rPr>
                <w:rFonts w:ascii="Arial" w:hAnsi="Arial" w:cs="Arial"/>
                <w:color w:val="000000"/>
                <w:sz w:val="18"/>
                <w:szCs w:val="18"/>
              </w:rPr>
            </w:pPr>
            <w:r w:rsidRPr="007361AC">
              <w:rPr>
                <w:rFonts w:ascii="Arial" w:hAnsi="Arial" w:cs="Arial"/>
                <w:color w:val="000000"/>
                <w:sz w:val="18"/>
                <w:szCs w:val="18"/>
              </w:rPr>
              <w:t>2 825</w:t>
            </w:r>
          </w:p>
        </w:tc>
      </w:tr>
      <w:tr w:rsidR="00E76DF0" w:rsidRPr="007361AC" w:rsidTr="00A710FA">
        <w:trPr>
          <w:trHeight w:val="300"/>
        </w:trPr>
        <w:tc>
          <w:tcPr>
            <w:tcW w:w="454" w:type="pct"/>
            <w:tcBorders>
              <w:top w:val="nil"/>
              <w:left w:val="single" w:sz="4" w:space="0" w:color="auto"/>
              <w:bottom w:val="single" w:sz="4" w:space="0" w:color="auto"/>
              <w:right w:val="single" w:sz="4" w:space="0" w:color="auto"/>
            </w:tcBorders>
            <w:shd w:val="clear" w:color="auto" w:fill="auto"/>
            <w:vAlign w:val="bottom"/>
            <w:hideMark/>
          </w:tcPr>
          <w:p w:rsidR="00E76DF0" w:rsidRPr="007361AC" w:rsidRDefault="00E76DF0" w:rsidP="002C40B2">
            <w:pPr>
              <w:spacing w:after="0"/>
              <w:jc w:val="left"/>
              <w:rPr>
                <w:rFonts w:ascii="Arial" w:hAnsi="Arial" w:cs="Arial"/>
                <w:color w:val="000000"/>
                <w:sz w:val="18"/>
                <w:szCs w:val="18"/>
              </w:rPr>
            </w:pPr>
            <w:r w:rsidRPr="007361AC">
              <w:rPr>
                <w:rFonts w:ascii="Arial" w:hAnsi="Arial" w:cs="Arial"/>
                <w:color w:val="000000"/>
                <w:sz w:val="18"/>
                <w:szCs w:val="18"/>
              </w:rPr>
              <w:t>HPH/zam.</w:t>
            </w:r>
          </w:p>
        </w:tc>
        <w:tc>
          <w:tcPr>
            <w:tcW w:w="35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0,55</w:t>
            </w:r>
          </w:p>
        </w:tc>
        <w:tc>
          <w:tcPr>
            <w:tcW w:w="30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0,83</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0,55</w:t>
            </w:r>
          </w:p>
        </w:tc>
        <w:tc>
          <w:tcPr>
            <w:tcW w:w="35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0,47</w:t>
            </w:r>
          </w:p>
        </w:tc>
        <w:tc>
          <w:tcPr>
            <w:tcW w:w="45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0,44</w:t>
            </w:r>
          </w:p>
        </w:tc>
        <w:tc>
          <w:tcPr>
            <w:tcW w:w="40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0,42</w:t>
            </w:r>
          </w:p>
        </w:tc>
        <w:tc>
          <w:tcPr>
            <w:tcW w:w="45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1,14</w:t>
            </w:r>
          </w:p>
        </w:tc>
        <w:tc>
          <w:tcPr>
            <w:tcW w:w="40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0,72</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2,95</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0,43</w:t>
            </w:r>
          </w:p>
        </w:tc>
        <w:tc>
          <w:tcPr>
            <w:tcW w:w="40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0,51</w:t>
            </w:r>
          </w:p>
        </w:tc>
        <w:tc>
          <w:tcPr>
            <w:tcW w:w="342"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0,59</w:t>
            </w:r>
          </w:p>
        </w:tc>
      </w:tr>
      <w:tr w:rsidR="00E76DF0" w:rsidRPr="007361AC" w:rsidTr="00A710FA">
        <w:trPr>
          <w:trHeight w:val="300"/>
        </w:trPr>
        <w:tc>
          <w:tcPr>
            <w:tcW w:w="454" w:type="pct"/>
            <w:tcBorders>
              <w:top w:val="nil"/>
              <w:left w:val="single" w:sz="4" w:space="0" w:color="auto"/>
              <w:bottom w:val="single" w:sz="4" w:space="0" w:color="auto"/>
              <w:right w:val="single" w:sz="4" w:space="0" w:color="auto"/>
            </w:tcBorders>
            <w:shd w:val="clear" w:color="auto" w:fill="auto"/>
            <w:vAlign w:val="bottom"/>
            <w:hideMark/>
          </w:tcPr>
          <w:p w:rsidR="00E76DF0" w:rsidRPr="007361AC" w:rsidRDefault="00E76DF0" w:rsidP="002C40B2">
            <w:pPr>
              <w:spacing w:after="0"/>
              <w:jc w:val="left"/>
              <w:rPr>
                <w:rFonts w:ascii="Arial" w:hAnsi="Arial" w:cs="Arial"/>
                <w:color w:val="000000"/>
                <w:sz w:val="18"/>
                <w:szCs w:val="18"/>
              </w:rPr>
            </w:pPr>
            <w:r w:rsidRPr="007361AC">
              <w:rPr>
                <w:rFonts w:ascii="Arial" w:hAnsi="Arial" w:cs="Arial"/>
                <w:color w:val="000000"/>
                <w:sz w:val="18"/>
                <w:szCs w:val="18"/>
              </w:rPr>
              <w:t>KVK/ČR=100</w:t>
            </w:r>
          </w:p>
        </w:tc>
        <w:tc>
          <w:tcPr>
            <w:tcW w:w="35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73,51</w:t>
            </w:r>
          </w:p>
        </w:tc>
        <w:tc>
          <w:tcPr>
            <w:tcW w:w="30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133,11</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64,79</w:t>
            </w:r>
          </w:p>
        </w:tc>
        <w:tc>
          <w:tcPr>
            <w:tcW w:w="35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60,65</w:t>
            </w:r>
          </w:p>
        </w:tc>
        <w:tc>
          <w:tcPr>
            <w:tcW w:w="45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86,49</w:t>
            </w:r>
          </w:p>
        </w:tc>
        <w:tc>
          <w:tcPr>
            <w:tcW w:w="40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75,32</w:t>
            </w:r>
          </w:p>
        </w:tc>
        <w:tc>
          <w:tcPr>
            <w:tcW w:w="45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79,37</w:t>
            </w:r>
          </w:p>
        </w:tc>
        <w:tc>
          <w:tcPr>
            <w:tcW w:w="406"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38,34</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89,33</w:t>
            </w:r>
          </w:p>
        </w:tc>
        <w:tc>
          <w:tcPr>
            <w:tcW w:w="354"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70,34</w:t>
            </w:r>
          </w:p>
        </w:tc>
        <w:tc>
          <w:tcPr>
            <w:tcW w:w="405"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80,86</w:t>
            </w:r>
          </w:p>
        </w:tc>
        <w:tc>
          <w:tcPr>
            <w:tcW w:w="342" w:type="pct"/>
            <w:tcBorders>
              <w:top w:val="nil"/>
              <w:left w:val="nil"/>
              <w:bottom w:val="single" w:sz="4" w:space="0" w:color="auto"/>
              <w:right w:val="single" w:sz="4" w:space="0" w:color="auto"/>
            </w:tcBorders>
            <w:shd w:val="clear" w:color="auto" w:fill="auto"/>
            <w:noWrap/>
            <w:vAlign w:val="bottom"/>
            <w:hideMark/>
          </w:tcPr>
          <w:p w:rsidR="00E76DF0" w:rsidRPr="007361AC" w:rsidRDefault="00E76DF0" w:rsidP="002C40B2">
            <w:pPr>
              <w:spacing w:after="0"/>
              <w:jc w:val="center"/>
              <w:rPr>
                <w:rFonts w:cs="Times New Roman"/>
              </w:rPr>
            </w:pPr>
            <w:r w:rsidRPr="007361AC">
              <w:rPr>
                <w:rFonts w:cs="Times New Roman"/>
              </w:rPr>
              <w:t>129,12</w:t>
            </w:r>
          </w:p>
        </w:tc>
      </w:tr>
    </w:tbl>
    <w:p w:rsidR="00E76DF0" w:rsidRDefault="00DA50E1" w:rsidP="002C40B2">
      <w:pPr>
        <w:spacing w:before="120"/>
        <w:rPr>
          <w:rStyle w:val="Siln"/>
          <w:rFonts w:eastAsia="Calibri"/>
          <w:b w:val="0"/>
          <w:i/>
          <w:sz w:val="20"/>
          <w:szCs w:val="20"/>
        </w:rPr>
      </w:pPr>
      <w:r>
        <w:rPr>
          <w:rStyle w:val="Siln"/>
          <w:rFonts w:eastAsia="Calibri"/>
          <w:b w:val="0"/>
          <w:i/>
          <w:sz w:val="20"/>
          <w:szCs w:val="20"/>
        </w:rPr>
        <w:t>Zdroj: ČSÚ -</w:t>
      </w:r>
      <w:r w:rsidR="00E76DF0" w:rsidRPr="007361AC">
        <w:rPr>
          <w:rStyle w:val="Siln"/>
          <w:rFonts w:eastAsia="Calibri"/>
          <w:b w:val="0"/>
          <w:i/>
          <w:sz w:val="20"/>
          <w:szCs w:val="20"/>
        </w:rPr>
        <w:t xml:space="preserve"> Veřejná databáze, vlastní výpočty</w:t>
      </w:r>
    </w:p>
    <w:p w:rsidR="003A7558" w:rsidRDefault="003A7558" w:rsidP="002C40B2">
      <w:pPr>
        <w:spacing w:after="160"/>
        <w:jc w:val="left"/>
        <w:rPr>
          <w:rStyle w:val="Siln"/>
          <w:rFonts w:eastAsia="Calibri"/>
          <w:b w:val="0"/>
          <w:i/>
          <w:sz w:val="20"/>
          <w:szCs w:val="20"/>
        </w:rPr>
      </w:pPr>
      <w:r>
        <w:rPr>
          <w:rStyle w:val="Siln"/>
          <w:rFonts w:eastAsia="Calibri"/>
          <w:b w:val="0"/>
          <w:i/>
          <w:sz w:val="20"/>
          <w:szCs w:val="20"/>
        </w:rPr>
        <w:br w:type="page"/>
      </w:r>
    </w:p>
    <w:p w:rsidR="00DA50E1" w:rsidRDefault="00E76DF0" w:rsidP="000B3B9C">
      <w:pPr>
        <w:pStyle w:val="Titulek"/>
      </w:pPr>
      <w:bookmarkStart w:id="489" w:name="_Ref468706782"/>
      <w:bookmarkStart w:id="490" w:name="_Toc488233194"/>
      <w:r w:rsidRPr="00FB148F">
        <w:lastRenderedPageBreak/>
        <w:t xml:space="preserve">Příloha </w:t>
      </w:r>
      <w:r w:rsidR="004F2330">
        <w:fldChar w:fldCharType="begin"/>
      </w:r>
      <w:r w:rsidR="004F2330">
        <w:instrText xml:space="preserve"> SEQ Příloha \* ARABIC </w:instrText>
      </w:r>
      <w:r w:rsidR="004F2330">
        <w:fldChar w:fldCharType="separate"/>
      </w:r>
      <w:r w:rsidR="00CB29BD">
        <w:t>2</w:t>
      </w:r>
      <w:r w:rsidR="004F2330">
        <w:fldChar w:fldCharType="end"/>
      </w:r>
      <w:bookmarkEnd w:id="489"/>
      <w:r>
        <w:t xml:space="preserve">: </w:t>
      </w:r>
      <w:r w:rsidR="00DA50E1">
        <w:t>Podíl nezaměstnaných osob podle obcí v Karlovarském kraji k 31.</w:t>
      </w:r>
      <w:r w:rsidR="00613AD3">
        <w:t xml:space="preserve"> </w:t>
      </w:r>
      <w:r w:rsidR="00DA50E1">
        <w:t>12.</w:t>
      </w:r>
      <w:r w:rsidR="00613AD3">
        <w:t xml:space="preserve"> </w:t>
      </w:r>
      <w:r w:rsidR="00DA50E1">
        <w:t>2014 (v %)</w:t>
      </w:r>
      <w:bookmarkEnd w:id="490"/>
    </w:p>
    <w:p w:rsidR="00DA50E1" w:rsidRDefault="00DA50E1" w:rsidP="002C40B2">
      <w:r w:rsidRPr="00785D6E">
        <w:rPr>
          <w:noProof/>
        </w:rPr>
        <w:drawing>
          <wp:inline distT="0" distB="0" distL="0" distR="0">
            <wp:extent cx="5896800" cy="3340800"/>
            <wp:effectExtent l="0" t="0" r="0" b="0"/>
            <wp:docPr id="59" name="Obrázek 59" descr="C:\Users\kamila.vostova\Desktop\PRKK\9. trh práce\priloh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mila.vostova\Desktop\PRKK\9. trh práce\priloha 11.png"/>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a:stretch/>
                  </pic:blipFill>
                  <pic:spPr bwMode="auto">
                    <a:xfrm>
                      <a:off x="0" y="0"/>
                      <a:ext cx="5896800" cy="3340800"/>
                    </a:xfrm>
                    <a:prstGeom prst="rect">
                      <a:avLst/>
                    </a:prstGeom>
                    <a:noFill/>
                    <a:ln>
                      <a:noFill/>
                    </a:ln>
                    <a:extLst>
                      <a:ext uri="{53640926-AAD7-44D8-BBD7-CCE9431645EC}">
                        <a14:shadowObscured xmlns:a14="http://schemas.microsoft.com/office/drawing/2010/main"/>
                      </a:ext>
                    </a:extLst>
                  </pic:spPr>
                </pic:pic>
              </a:graphicData>
            </a:graphic>
          </wp:inline>
        </w:drawing>
      </w:r>
    </w:p>
    <w:p w:rsidR="00DA50E1" w:rsidRPr="00DA50E1" w:rsidRDefault="00DA50E1" w:rsidP="002C40B2">
      <w:pPr>
        <w:pStyle w:val="Zdrojdat"/>
        <w:spacing w:before="120" w:line="276" w:lineRule="auto"/>
        <w:rPr>
          <w:rStyle w:val="Siln"/>
          <w:rFonts w:eastAsia="Calibri"/>
          <w:b w:val="0"/>
          <w:iCs/>
          <w:sz w:val="20"/>
          <w:szCs w:val="20"/>
        </w:rPr>
      </w:pPr>
      <w:r w:rsidRPr="00DA50E1">
        <w:rPr>
          <w:rStyle w:val="Siln"/>
          <w:rFonts w:eastAsia="Calibri"/>
          <w:b w:val="0"/>
          <w:iCs/>
          <w:sz w:val="20"/>
          <w:szCs w:val="20"/>
        </w:rPr>
        <w:t>Poznámka: Podíl dosažitelných uchazečů o zaměstnání ve věku 15 – 64 let ze všech obyvatel ve stejném věku.</w:t>
      </w:r>
    </w:p>
    <w:p w:rsidR="00DA50E1" w:rsidRDefault="00DA50E1" w:rsidP="002C40B2">
      <w:pPr>
        <w:pStyle w:val="Zdrojdat"/>
        <w:spacing w:before="120" w:line="276" w:lineRule="auto"/>
        <w:rPr>
          <w:sz w:val="20"/>
          <w:szCs w:val="20"/>
        </w:rPr>
      </w:pPr>
      <w:r w:rsidRPr="00DA50E1">
        <w:rPr>
          <w:rStyle w:val="Siln"/>
          <w:rFonts w:eastAsia="Calibri"/>
          <w:b w:val="0"/>
          <w:iCs/>
          <w:sz w:val="20"/>
          <w:szCs w:val="20"/>
        </w:rPr>
        <w:t>Zdroj: MPSV</w:t>
      </w:r>
      <w:r w:rsidR="00417743">
        <w:rPr>
          <w:rStyle w:val="Siln"/>
          <w:rFonts w:eastAsia="Calibri"/>
          <w:b w:val="0"/>
          <w:iCs/>
          <w:sz w:val="20"/>
          <w:szCs w:val="20"/>
        </w:rPr>
        <w:t xml:space="preserve"> - </w:t>
      </w:r>
      <w:r w:rsidR="00417743" w:rsidRPr="000D104C">
        <w:rPr>
          <w:sz w:val="20"/>
          <w:szCs w:val="20"/>
        </w:rPr>
        <w:t>Statistiky nezaměstnanosti z územního hlediska</w:t>
      </w:r>
    </w:p>
    <w:p w:rsidR="00417743" w:rsidRDefault="00417743" w:rsidP="002C40B2">
      <w:pPr>
        <w:spacing w:after="160"/>
        <w:jc w:val="left"/>
      </w:pPr>
      <w:r>
        <w:br w:type="page"/>
      </w:r>
    </w:p>
    <w:p w:rsidR="00CB10CF" w:rsidRPr="00FB148F" w:rsidRDefault="00DA50E1" w:rsidP="000B3B9C">
      <w:pPr>
        <w:pStyle w:val="Titulek"/>
        <w:rPr>
          <w:i/>
        </w:rPr>
      </w:pPr>
      <w:bookmarkStart w:id="491" w:name="_Ref468712265"/>
      <w:bookmarkStart w:id="492" w:name="_Toc488233195"/>
      <w:r>
        <w:lastRenderedPageBreak/>
        <w:t xml:space="preserve">Příloha </w:t>
      </w:r>
      <w:r w:rsidR="004F2330">
        <w:fldChar w:fldCharType="begin"/>
      </w:r>
      <w:r w:rsidR="004F2330">
        <w:instrText xml:space="preserve"> SEQ Příloha \* ARABIC </w:instrText>
      </w:r>
      <w:r w:rsidR="004F2330">
        <w:fldChar w:fldCharType="separate"/>
      </w:r>
      <w:r w:rsidR="00CB29BD">
        <w:t>3</w:t>
      </w:r>
      <w:r w:rsidR="004F2330">
        <w:fldChar w:fldCharType="end"/>
      </w:r>
      <w:bookmarkEnd w:id="491"/>
      <w:r>
        <w:t xml:space="preserve">: </w:t>
      </w:r>
      <w:r w:rsidR="00CB10CF" w:rsidRPr="00FB148F">
        <w:t>Projekce obyvatelstva Karlovarského kraje - pohyb a věkové složení obyvatelstva bez migrace</w:t>
      </w:r>
      <w:bookmarkEnd w:id="492"/>
    </w:p>
    <w:tbl>
      <w:tblPr>
        <w:tblW w:w="5000" w:type="pct"/>
        <w:tblCellMar>
          <w:left w:w="70" w:type="dxa"/>
          <w:right w:w="70" w:type="dxa"/>
        </w:tblCellMar>
        <w:tblLook w:val="04A0" w:firstRow="1" w:lastRow="0" w:firstColumn="1" w:lastColumn="0" w:noHBand="0" w:noVBand="1"/>
      </w:tblPr>
      <w:tblGrid>
        <w:gridCol w:w="1426"/>
        <w:gridCol w:w="638"/>
        <w:gridCol w:w="638"/>
        <w:gridCol w:w="683"/>
        <w:gridCol w:w="683"/>
        <w:gridCol w:w="637"/>
        <w:gridCol w:w="637"/>
        <w:gridCol w:w="683"/>
        <w:gridCol w:w="637"/>
        <w:gridCol w:w="637"/>
        <w:gridCol w:w="637"/>
        <w:gridCol w:w="637"/>
        <w:gridCol w:w="637"/>
      </w:tblGrid>
      <w:tr w:rsidR="00CB10CF" w:rsidRPr="00CB10CF" w:rsidTr="00CB10CF">
        <w:trPr>
          <w:trHeight w:val="270"/>
        </w:trPr>
        <w:tc>
          <w:tcPr>
            <w:tcW w:w="133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10CF" w:rsidRPr="00B174B8" w:rsidRDefault="00B174B8" w:rsidP="002C40B2">
            <w:pPr>
              <w:spacing w:after="0"/>
              <w:jc w:val="left"/>
              <w:rPr>
                <w:rFonts w:asciiTheme="minorHAnsi" w:hAnsiTheme="minorHAnsi" w:cs="Arial"/>
                <w:b/>
                <w:bCs/>
                <w:sz w:val="20"/>
                <w:szCs w:val="20"/>
              </w:rPr>
            </w:pPr>
            <w:r>
              <w:rPr>
                <w:rFonts w:asciiTheme="minorHAnsi" w:hAnsiTheme="minorHAnsi"/>
                <w:b/>
                <w:bCs/>
                <w:sz w:val="20"/>
                <w:szCs w:val="20"/>
              </w:rPr>
              <w:t>U</w:t>
            </w:r>
            <w:r w:rsidR="00CB10CF" w:rsidRPr="00B174B8">
              <w:rPr>
                <w:rFonts w:asciiTheme="minorHAnsi" w:hAnsiTheme="minorHAnsi"/>
                <w:b/>
                <w:bCs/>
                <w:sz w:val="20"/>
                <w:szCs w:val="20"/>
              </w:rPr>
              <w:t>kazatel</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2018</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2019</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2020</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2025</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2030</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2035</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2040</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2045</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2050</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2055</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2060</w:t>
            </w:r>
          </w:p>
        </w:tc>
        <w:tc>
          <w:tcPr>
            <w:tcW w:w="30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cs="Arial"/>
                <w:b/>
                <w:bCs/>
                <w:sz w:val="20"/>
                <w:szCs w:val="20"/>
              </w:rPr>
              <w:t>2065</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počet obyvatel</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310 314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310 210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310 035</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308 010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304 015</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298 634</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292 593</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286 294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279 618</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272 390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264 299</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255 264</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přirozený přírůstek</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-104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-175</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-249</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-647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-980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-1181</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-1233</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-1305</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-1387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-1539</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-1744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-1877</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naděje dožití muži</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75,5</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75,8</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76,1</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77,4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78,7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79,7</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80,7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81,7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82,7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83,7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84,7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85,7</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naděje dožití ženy</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81,4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81,6</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81,9</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83,1</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84,3</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85,1</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86</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86,8</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87,6</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88,5</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89,3</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90,2</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podíl 0-14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15,60%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15,70%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15,70%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14,90%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13,70%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12,70%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12,50%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12,80%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13,30%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13,30%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12,80%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12,30%</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podíl 15-64</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65,60%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65,00%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64,40%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63,20%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62,60%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61,80%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59,30%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56,10%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54,10%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52,30%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51,80%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53,10%</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podíl 65+</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18,70%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19,40%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19,90%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21,90%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23,70%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25,50%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28,20%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31,00%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32,60%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34,40%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35,40%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34,60%</w:t>
            </w:r>
          </w:p>
        </w:tc>
      </w:tr>
      <w:tr w:rsidR="00CB10CF" w:rsidRPr="00CB10CF" w:rsidTr="00CB10CF">
        <w:trPr>
          <w:trHeight w:val="270"/>
        </w:trPr>
        <w:tc>
          <w:tcPr>
            <w:tcW w:w="1337" w:type="pct"/>
            <w:tcBorders>
              <w:top w:val="nil"/>
              <w:left w:val="single" w:sz="8" w:space="0" w:color="auto"/>
              <w:bottom w:val="single" w:sz="8" w:space="0" w:color="auto"/>
              <w:right w:val="single" w:sz="8" w:space="0" w:color="auto"/>
            </w:tcBorders>
            <w:shd w:val="clear" w:color="auto" w:fill="auto"/>
            <w:noWrap/>
            <w:vAlign w:val="center"/>
            <w:hideMark/>
          </w:tcPr>
          <w:p w:rsidR="00CB10CF" w:rsidRPr="00CB10CF" w:rsidRDefault="00CB10CF" w:rsidP="002C40B2">
            <w:pPr>
              <w:spacing w:after="0"/>
              <w:rPr>
                <w:rFonts w:asciiTheme="minorHAnsi" w:hAnsiTheme="minorHAnsi" w:cs="Arial"/>
                <w:sz w:val="20"/>
                <w:szCs w:val="20"/>
              </w:rPr>
            </w:pPr>
            <w:r w:rsidRPr="00CB10CF">
              <w:rPr>
                <w:rFonts w:asciiTheme="minorHAnsi" w:hAnsiTheme="minorHAnsi" w:cs="Arial"/>
                <w:sz w:val="20"/>
                <w:szCs w:val="20"/>
              </w:rPr>
              <w:t xml:space="preserve">index stáří </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124</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127</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147</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173</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200</w:t>
            </w:r>
          </w:p>
        </w:tc>
        <w:tc>
          <w:tcPr>
            <w:tcW w:w="305" w:type="pct"/>
            <w:tcBorders>
              <w:top w:val="nil"/>
              <w:left w:val="nil"/>
              <w:bottom w:val="single" w:sz="8" w:space="0" w:color="auto"/>
              <w:right w:val="single" w:sz="8" w:space="0" w:color="auto"/>
            </w:tcBorders>
            <w:shd w:val="clear" w:color="auto" w:fill="auto"/>
            <w:noWrap/>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226</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242</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246</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260</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276</w:t>
            </w:r>
          </w:p>
        </w:tc>
        <w:tc>
          <w:tcPr>
            <w:tcW w:w="305" w:type="pct"/>
            <w:tcBorders>
              <w:top w:val="nil"/>
              <w:left w:val="nil"/>
              <w:bottom w:val="single" w:sz="8" w:space="0" w:color="auto"/>
              <w:right w:val="single" w:sz="8" w:space="0" w:color="auto"/>
            </w:tcBorders>
            <w:shd w:val="clear" w:color="auto" w:fill="auto"/>
            <w:vAlign w:val="center"/>
            <w:hideMark/>
          </w:tcPr>
          <w:p w:rsidR="00CB10CF" w:rsidRPr="00CB10CF" w:rsidRDefault="00CB10CF" w:rsidP="002C40B2">
            <w:pPr>
              <w:spacing w:after="0"/>
              <w:jc w:val="center"/>
              <w:rPr>
                <w:rFonts w:asciiTheme="minorHAnsi" w:hAnsiTheme="minorHAnsi" w:cs="Arial"/>
                <w:sz w:val="20"/>
                <w:szCs w:val="20"/>
              </w:rPr>
            </w:pPr>
            <w:r w:rsidRPr="00CB10CF">
              <w:rPr>
                <w:rFonts w:asciiTheme="minorHAnsi" w:hAnsiTheme="minorHAnsi" w:cs="Arial"/>
                <w:sz w:val="20"/>
                <w:szCs w:val="20"/>
              </w:rPr>
              <w:t>280</w:t>
            </w:r>
          </w:p>
        </w:tc>
      </w:tr>
    </w:tbl>
    <w:p w:rsidR="00CB10CF" w:rsidRPr="00DA50E1" w:rsidRDefault="00CB10CF" w:rsidP="002C40B2">
      <w:pPr>
        <w:pStyle w:val="Zdrojdat"/>
        <w:spacing w:before="120" w:line="276" w:lineRule="auto"/>
        <w:rPr>
          <w:rStyle w:val="Siln"/>
          <w:rFonts w:eastAsia="Calibri"/>
          <w:b w:val="0"/>
          <w:iCs/>
          <w:sz w:val="20"/>
          <w:szCs w:val="20"/>
        </w:rPr>
      </w:pPr>
      <w:r w:rsidRPr="00DA50E1">
        <w:rPr>
          <w:rStyle w:val="Siln"/>
          <w:rFonts w:eastAsia="Calibri"/>
          <w:b w:val="0"/>
          <w:iCs/>
          <w:sz w:val="20"/>
          <w:szCs w:val="20"/>
        </w:rPr>
        <w:t>Poznámka: Přirozený přírůstek, migrační saldo i celkový přírůstek jsou uvedeny v hodnotách na 1 000 obyvatel středního stavu. Podíl 0-14 (%) vyjadřuje podíl obyvatel ve věku 0-14 let, podíl 65+ podíl obyvatel starších 65 let. Index stáří je definován jako počet osob ve věku 65 a více let na 100 dětí ve věku 0-14 let.</w:t>
      </w:r>
    </w:p>
    <w:p w:rsidR="00CB10CF" w:rsidRPr="00DA50E1" w:rsidRDefault="00CB10CF" w:rsidP="002C40B2">
      <w:pPr>
        <w:pStyle w:val="Zdrojdat"/>
        <w:spacing w:before="120" w:line="276" w:lineRule="auto"/>
        <w:rPr>
          <w:rStyle w:val="Siln"/>
          <w:rFonts w:eastAsia="Calibri"/>
          <w:b w:val="0"/>
          <w:iCs/>
          <w:sz w:val="20"/>
          <w:szCs w:val="20"/>
        </w:rPr>
      </w:pPr>
      <w:r w:rsidRPr="00DA50E1">
        <w:rPr>
          <w:rStyle w:val="Siln"/>
          <w:rFonts w:eastAsia="Calibri"/>
          <w:b w:val="0"/>
          <w:iCs/>
          <w:sz w:val="20"/>
          <w:szCs w:val="20"/>
        </w:rPr>
        <w:t>Zdroj: ČSÚ - Projekce obyvatelstva v krajích a oblastech ČR do roku 2065</w:t>
      </w:r>
    </w:p>
    <w:p w:rsidR="00CB10CF" w:rsidRPr="00FB148F" w:rsidRDefault="00CB10CF" w:rsidP="000B3B9C">
      <w:pPr>
        <w:pStyle w:val="Titulek"/>
        <w:rPr>
          <w:i/>
        </w:rPr>
      </w:pPr>
      <w:bookmarkStart w:id="493" w:name="_Ref468712269"/>
      <w:bookmarkStart w:id="494" w:name="_Toc310601703"/>
      <w:bookmarkStart w:id="495" w:name="_Toc488233196"/>
      <w:r w:rsidRPr="00FB148F">
        <w:t xml:space="preserve">Příloha </w:t>
      </w:r>
      <w:r w:rsidR="004F2330">
        <w:fldChar w:fldCharType="begin"/>
      </w:r>
      <w:r w:rsidR="004F2330">
        <w:instrText xml:space="preserve"> SEQ Příloha \* ARABIC </w:instrText>
      </w:r>
      <w:r w:rsidR="004F2330">
        <w:fldChar w:fldCharType="separate"/>
      </w:r>
      <w:r w:rsidR="00CB29BD">
        <w:t>4</w:t>
      </w:r>
      <w:r w:rsidR="004F2330">
        <w:fldChar w:fldCharType="end"/>
      </w:r>
      <w:bookmarkEnd w:id="493"/>
      <w:r w:rsidRPr="00FB148F">
        <w:t>: Projekce počtu obyvatel Karlovarského kraje ve věkových skupinách dětí, mladistvých a seniorů bez migrace</w:t>
      </w:r>
      <w:bookmarkEnd w:id="494"/>
      <w:bookmarkEnd w:id="495"/>
      <w:r w:rsidRPr="00FB148F">
        <w:t xml:space="preserve"> </w:t>
      </w:r>
    </w:p>
    <w:tbl>
      <w:tblPr>
        <w:tblW w:w="5000" w:type="pct"/>
        <w:tblCellMar>
          <w:left w:w="70" w:type="dxa"/>
          <w:right w:w="70" w:type="dxa"/>
        </w:tblCellMar>
        <w:tblLook w:val="04A0" w:firstRow="1" w:lastRow="0" w:firstColumn="1" w:lastColumn="0" w:noHBand="0" w:noVBand="1"/>
      </w:tblPr>
      <w:tblGrid>
        <w:gridCol w:w="1447"/>
        <w:gridCol w:w="631"/>
        <w:gridCol w:w="631"/>
        <w:gridCol w:w="693"/>
        <w:gridCol w:w="693"/>
        <w:gridCol w:w="633"/>
        <w:gridCol w:w="633"/>
        <w:gridCol w:w="693"/>
        <w:gridCol w:w="633"/>
        <w:gridCol w:w="634"/>
        <w:gridCol w:w="634"/>
        <w:gridCol w:w="634"/>
        <w:gridCol w:w="621"/>
      </w:tblGrid>
      <w:tr w:rsidR="00B174B8" w:rsidRPr="00B174B8" w:rsidTr="00B174B8">
        <w:trPr>
          <w:trHeight w:val="270"/>
        </w:trPr>
        <w:tc>
          <w:tcPr>
            <w:tcW w:w="5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10CF" w:rsidRPr="00B174B8" w:rsidRDefault="00B174B8" w:rsidP="002C40B2">
            <w:pPr>
              <w:spacing w:after="0"/>
              <w:rPr>
                <w:rFonts w:asciiTheme="minorHAnsi" w:hAnsiTheme="minorHAnsi" w:cs="Arial"/>
                <w:b/>
                <w:bCs/>
                <w:sz w:val="20"/>
                <w:szCs w:val="20"/>
              </w:rPr>
            </w:pPr>
            <w:r w:rsidRPr="00B174B8">
              <w:rPr>
                <w:rFonts w:asciiTheme="minorHAnsi" w:hAnsiTheme="minorHAnsi"/>
                <w:b/>
                <w:bCs/>
                <w:sz w:val="20"/>
                <w:szCs w:val="20"/>
              </w:rPr>
              <w:t>V</w:t>
            </w:r>
            <w:r w:rsidR="00CB10CF" w:rsidRPr="00B174B8">
              <w:rPr>
                <w:rFonts w:asciiTheme="minorHAnsi" w:hAnsiTheme="minorHAnsi"/>
                <w:b/>
                <w:bCs/>
                <w:sz w:val="20"/>
                <w:szCs w:val="20"/>
              </w:rPr>
              <w:t>ěková skupina</w:t>
            </w:r>
          </w:p>
        </w:tc>
        <w:tc>
          <w:tcPr>
            <w:tcW w:w="374"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2018</w:t>
            </w:r>
          </w:p>
        </w:tc>
        <w:tc>
          <w:tcPr>
            <w:tcW w:w="374"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2019</w:t>
            </w:r>
          </w:p>
        </w:tc>
        <w:tc>
          <w:tcPr>
            <w:tcW w:w="375" w:type="pct"/>
            <w:tcBorders>
              <w:top w:val="single" w:sz="8" w:space="0" w:color="auto"/>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2020</w:t>
            </w:r>
          </w:p>
        </w:tc>
        <w:tc>
          <w:tcPr>
            <w:tcW w:w="375" w:type="pct"/>
            <w:tcBorders>
              <w:top w:val="single" w:sz="8" w:space="0" w:color="auto"/>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2021</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2022</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2023</w:t>
            </w:r>
          </w:p>
        </w:tc>
        <w:tc>
          <w:tcPr>
            <w:tcW w:w="375" w:type="pct"/>
            <w:tcBorders>
              <w:top w:val="single" w:sz="8" w:space="0" w:color="auto"/>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2024</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2025</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2026</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2027</w:t>
            </w:r>
          </w:p>
        </w:tc>
        <w:tc>
          <w:tcPr>
            <w:tcW w:w="375"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2028</w:t>
            </w:r>
          </w:p>
        </w:tc>
        <w:tc>
          <w:tcPr>
            <w:tcW w:w="368" w:type="pct"/>
            <w:tcBorders>
              <w:top w:val="single" w:sz="8" w:space="0" w:color="auto"/>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b/>
                <w:bCs/>
                <w:sz w:val="20"/>
                <w:szCs w:val="20"/>
              </w:rPr>
            </w:pPr>
            <w:r w:rsidRPr="00B174B8">
              <w:rPr>
                <w:rFonts w:asciiTheme="minorHAnsi" w:hAnsiTheme="minorHAnsi"/>
                <w:b/>
                <w:bCs/>
                <w:sz w:val="20"/>
                <w:szCs w:val="20"/>
              </w:rPr>
              <w:t>2029</w:t>
            </w:r>
          </w:p>
        </w:tc>
      </w:tr>
      <w:tr w:rsidR="00CB10CF" w:rsidRPr="00B174B8" w:rsidTr="00B174B8">
        <w:trPr>
          <w:trHeight w:val="270"/>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CB10CF" w:rsidRPr="00B174B8" w:rsidRDefault="00CB10CF" w:rsidP="002C40B2">
            <w:pPr>
              <w:spacing w:after="0"/>
              <w:rPr>
                <w:rFonts w:asciiTheme="minorHAnsi" w:hAnsiTheme="minorHAnsi" w:cs="Arial"/>
                <w:sz w:val="20"/>
                <w:szCs w:val="20"/>
              </w:rPr>
            </w:pPr>
            <w:r w:rsidRPr="00B174B8">
              <w:rPr>
                <w:rFonts w:asciiTheme="minorHAnsi" w:hAnsiTheme="minorHAnsi" w:cs="Arial"/>
                <w:sz w:val="20"/>
                <w:szCs w:val="20"/>
              </w:rPr>
              <w:t>0 - 4 let</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15 901</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15 620</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15 336</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15 048</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14 760</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14 465</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14 163</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13 854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13 854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13 543</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13 230</w:t>
            </w:r>
          </w:p>
        </w:tc>
        <w:tc>
          <w:tcPr>
            <w:tcW w:w="368"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12 927</w:t>
            </w:r>
          </w:p>
        </w:tc>
      </w:tr>
      <w:tr w:rsidR="00CB10CF" w:rsidRPr="00B174B8" w:rsidTr="00B174B8">
        <w:trPr>
          <w:trHeight w:val="270"/>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CB10CF" w:rsidRPr="00B174B8" w:rsidRDefault="00CB10CF" w:rsidP="002C40B2">
            <w:pPr>
              <w:spacing w:after="0"/>
              <w:rPr>
                <w:rFonts w:asciiTheme="minorHAnsi" w:hAnsiTheme="minorHAnsi" w:cs="Arial"/>
                <w:sz w:val="20"/>
                <w:szCs w:val="20"/>
              </w:rPr>
            </w:pPr>
            <w:r w:rsidRPr="00B174B8">
              <w:rPr>
                <w:rFonts w:asciiTheme="minorHAnsi" w:hAnsiTheme="minorHAnsi" w:cs="Arial"/>
                <w:sz w:val="20"/>
                <w:szCs w:val="20"/>
              </w:rPr>
              <w:t>5 - 9 let</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17 213</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16 951</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16 696</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16 440</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16 172</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15 895</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15 614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15 330</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15 330</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15 043</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14 753</w:t>
            </w:r>
          </w:p>
        </w:tc>
        <w:tc>
          <w:tcPr>
            <w:tcW w:w="368"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14 458</w:t>
            </w:r>
          </w:p>
        </w:tc>
      </w:tr>
      <w:tr w:rsidR="00CB10CF" w:rsidRPr="00B174B8" w:rsidTr="00B174B8">
        <w:trPr>
          <w:trHeight w:val="525"/>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CB10CF" w:rsidRPr="00B174B8" w:rsidRDefault="00CB10CF" w:rsidP="002C40B2">
            <w:pPr>
              <w:spacing w:after="0"/>
              <w:rPr>
                <w:rFonts w:asciiTheme="minorHAnsi" w:hAnsiTheme="minorHAnsi" w:cs="Arial"/>
                <w:sz w:val="20"/>
                <w:szCs w:val="20"/>
              </w:rPr>
            </w:pPr>
            <w:r w:rsidRPr="00B174B8">
              <w:rPr>
                <w:rFonts w:asciiTheme="minorHAnsi" w:hAnsiTheme="minorHAnsi" w:cs="Arial"/>
                <w:sz w:val="20"/>
                <w:szCs w:val="20"/>
              </w:rPr>
              <w:t>10 - 14 let</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15 308</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16 008</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16 622</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17 041</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17 250</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17 208</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16 946</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16 694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16 694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16 437</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16 167</w:t>
            </w:r>
          </w:p>
        </w:tc>
        <w:tc>
          <w:tcPr>
            <w:tcW w:w="368"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15 890</w:t>
            </w:r>
          </w:p>
        </w:tc>
      </w:tr>
      <w:tr w:rsidR="00CB10CF" w:rsidRPr="00B174B8" w:rsidTr="00B174B8">
        <w:trPr>
          <w:trHeight w:val="525"/>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CB10CF" w:rsidRPr="00B174B8" w:rsidRDefault="00CB10CF" w:rsidP="002C40B2">
            <w:pPr>
              <w:spacing w:after="0"/>
              <w:rPr>
                <w:rFonts w:asciiTheme="minorHAnsi" w:hAnsiTheme="minorHAnsi" w:cs="Arial"/>
                <w:sz w:val="20"/>
                <w:szCs w:val="20"/>
              </w:rPr>
            </w:pPr>
            <w:r w:rsidRPr="00B174B8">
              <w:rPr>
                <w:rFonts w:asciiTheme="minorHAnsi" w:hAnsiTheme="minorHAnsi" w:cs="Arial"/>
                <w:sz w:val="20"/>
                <w:szCs w:val="20"/>
              </w:rPr>
              <w:t>15 - 19 let</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14 203</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14 209</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14 385</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14 580</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14 825</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15 292</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15 990</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16 603</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16 603</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17 024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17 234</w:t>
            </w:r>
          </w:p>
        </w:tc>
        <w:tc>
          <w:tcPr>
            <w:tcW w:w="368"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17 190</w:t>
            </w:r>
          </w:p>
        </w:tc>
      </w:tr>
      <w:tr w:rsidR="00CB10CF" w:rsidRPr="00B174B8" w:rsidTr="00B174B8">
        <w:trPr>
          <w:trHeight w:val="525"/>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CB10CF" w:rsidRPr="00B174B8" w:rsidRDefault="00CB10CF" w:rsidP="002C40B2">
            <w:pPr>
              <w:spacing w:after="0"/>
              <w:rPr>
                <w:rFonts w:asciiTheme="minorHAnsi" w:hAnsiTheme="minorHAnsi" w:cs="Arial"/>
                <w:sz w:val="20"/>
                <w:szCs w:val="20"/>
              </w:rPr>
            </w:pPr>
            <w:r w:rsidRPr="00B174B8">
              <w:rPr>
                <w:rFonts w:asciiTheme="minorHAnsi" w:hAnsiTheme="minorHAnsi" w:cs="Arial"/>
                <w:sz w:val="20"/>
                <w:szCs w:val="20"/>
              </w:rPr>
              <w:t>65 - 69 let</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20 799</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20 684</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20 515</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20 137</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19 745</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19 494</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18 801</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18 093</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17 596</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16 986</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16 677</w:t>
            </w:r>
          </w:p>
        </w:tc>
        <w:tc>
          <w:tcPr>
            <w:tcW w:w="368"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17 009</w:t>
            </w:r>
          </w:p>
        </w:tc>
      </w:tr>
      <w:tr w:rsidR="00CB10CF" w:rsidRPr="00B174B8" w:rsidTr="00B174B8">
        <w:trPr>
          <w:trHeight w:val="525"/>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CB10CF" w:rsidRPr="00B174B8" w:rsidRDefault="00CB10CF" w:rsidP="002C40B2">
            <w:pPr>
              <w:spacing w:after="0"/>
              <w:rPr>
                <w:rFonts w:asciiTheme="minorHAnsi" w:hAnsiTheme="minorHAnsi" w:cs="Arial"/>
                <w:sz w:val="20"/>
                <w:szCs w:val="20"/>
              </w:rPr>
            </w:pPr>
            <w:r w:rsidRPr="00B174B8">
              <w:rPr>
                <w:rFonts w:asciiTheme="minorHAnsi" w:hAnsiTheme="minorHAnsi" w:cs="Arial"/>
                <w:sz w:val="20"/>
                <w:szCs w:val="20"/>
              </w:rPr>
              <w:t>70 - 79 let</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26 137</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27 714</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28 898</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30 077</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31 348</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32 287</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33 248</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33 854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34 492</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34 598</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34 234</w:t>
            </w:r>
          </w:p>
        </w:tc>
        <w:tc>
          <w:tcPr>
            <w:tcW w:w="368"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33 675</w:t>
            </w:r>
          </w:p>
        </w:tc>
      </w:tr>
      <w:tr w:rsidR="00CB10CF" w:rsidRPr="00B174B8" w:rsidTr="00B174B8">
        <w:trPr>
          <w:trHeight w:val="525"/>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CB10CF" w:rsidRPr="00B174B8" w:rsidRDefault="00CB10CF" w:rsidP="002C40B2">
            <w:pPr>
              <w:spacing w:after="0"/>
              <w:rPr>
                <w:rFonts w:asciiTheme="minorHAnsi" w:hAnsiTheme="minorHAnsi" w:cs="Arial"/>
                <w:sz w:val="20"/>
                <w:szCs w:val="20"/>
              </w:rPr>
            </w:pPr>
            <w:r w:rsidRPr="00B174B8">
              <w:rPr>
                <w:rFonts w:asciiTheme="minorHAnsi" w:hAnsiTheme="minorHAnsi" w:cs="Arial"/>
                <w:sz w:val="20"/>
                <w:szCs w:val="20"/>
              </w:rPr>
              <w:t>80 a více let</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11 244</w:t>
            </w:r>
          </w:p>
        </w:tc>
        <w:tc>
          <w:tcPr>
            <w:tcW w:w="374"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11 663</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12 217</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12 884</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13 459</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14 047</w:t>
            </w:r>
          </w:p>
        </w:tc>
        <w:tc>
          <w:tcPr>
            <w:tcW w:w="375" w:type="pct"/>
            <w:tcBorders>
              <w:top w:val="nil"/>
              <w:left w:val="nil"/>
              <w:bottom w:val="single" w:sz="8" w:space="0" w:color="auto"/>
              <w:right w:val="single" w:sz="8" w:space="0" w:color="auto"/>
            </w:tcBorders>
            <w:shd w:val="clear" w:color="auto" w:fill="auto"/>
            <w:noWrap/>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14 766</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15 525</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16 177</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17 332</w:t>
            </w:r>
          </w:p>
        </w:tc>
        <w:tc>
          <w:tcPr>
            <w:tcW w:w="375"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18 778</w:t>
            </w:r>
          </w:p>
        </w:tc>
        <w:tc>
          <w:tcPr>
            <w:tcW w:w="368" w:type="pct"/>
            <w:tcBorders>
              <w:top w:val="nil"/>
              <w:left w:val="nil"/>
              <w:bottom w:val="single" w:sz="8" w:space="0" w:color="auto"/>
              <w:right w:val="single" w:sz="8" w:space="0" w:color="auto"/>
            </w:tcBorders>
            <w:shd w:val="clear" w:color="auto" w:fill="auto"/>
            <w:vAlign w:val="center"/>
            <w:hideMark/>
          </w:tcPr>
          <w:p w:rsidR="00CB10CF" w:rsidRPr="00B174B8" w:rsidRDefault="00CB10CF" w:rsidP="002C40B2">
            <w:pPr>
              <w:spacing w:after="0"/>
              <w:jc w:val="center"/>
              <w:rPr>
                <w:rFonts w:asciiTheme="minorHAnsi" w:hAnsiTheme="minorHAnsi" w:cs="Arial"/>
                <w:sz w:val="20"/>
                <w:szCs w:val="20"/>
              </w:rPr>
            </w:pPr>
            <w:r w:rsidRPr="00B174B8">
              <w:rPr>
                <w:rFonts w:asciiTheme="minorHAnsi" w:hAnsiTheme="minorHAnsi" w:cs="Arial"/>
                <w:sz w:val="20"/>
                <w:szCs w:val="20"/>
              </w:rPr>
              <w:t>20 151</w:t>
            </w:r>
          </w:p>
        </w:tc>
      </w:tr>
    </w:tbl>
    <w:p w:rsidR="00CB10CF" w:rsidRDefault="00CB10CF" w:rsidP="002C40B2">
      <w:pPr>
        <w:pStyle w:val="Zdrojdat"/>
        <w:spacing w:before="120" w:line="276" w:lineRule="auto"/>
        <w:rPr>
          <w:rStyle w:val="Siln"/>
          <w:rFonts w:eastAsia="Calibri"/>
          <w:b w:val="0"/>
          <w:iCs/>
          <w:sz w:val="20"/>
          <w:szCs w:val="20"/>
        </w:rPr>
      </w:pPr>
      <w:r w:rsidRPr="00DA50E1">
        <w:rPr>
          <w:rStyle w:val="Siln"/>
          <w:rFonts w:eastAsia="Calibri"/>
          <w:b w:val="0"/>
          <w:iCs/>
          <w:sz w:val="20"/>
          <w:szCs w:val="20"/>
        </w:rPr>
        <w:t>Zdroj: ČSÚ - Projekce obyvatelstva v krajích a oblastech ČR do roku 2065</w:t>
      </w:r>
    </w:p>
    <w:p w:rsidR="00FA2CCE" w:rsidRDefault="00FA2CCE" w:rsidP="002C40B2">
      <w:pPr>
        <w:spacing w:after="160"/>
        <w:jc w:val="left"/>
        <w:rPr>
          <w:rFonts w:eastAsia="Calibri"/>
        </w:rPr>
      </w:pPr>
      <w:r>
        <w:rPr>
          <w:rFonts w:eastAsia="Calibri"/>
        </w:rPr>
        <w:br w:type="page"/>
      </w:r>
    </w:p>
    <w:p w:rsidR="00785D6E" w:rsidRPr="00AE46CF" w:rsidRDefault="00785D6E" w:rsidP="000B3B9C">
      <w:pPr>
        <w:pStyle w:val="Titulek"/>
      </w:pPr>
      <w:bookmarkStart w:id="496" w:name="_Ref468872707"/>
      <w:bookmarkStart w:id="497" w:name="_Toc310601704"/>
      <w:bookmarkStart w:id="498" w:name="_Toc488233197"/>
      <w:r w:rsidRPr="00AE46CF">
        <w:lastRenderedPageBreak/>
        <w:t xml:space="preserve">Příloha </w:t>
      </w:r>
      <w:r w:rsidR="004F2330">
        <w:fldChar w:fldCharType="begin"/>
      </w:r>
      <w:r w:rsidR="004F2330">
        <w:instrText xml:space="preserve"> SEQ Příloha \* ARABIC </w:instrText>
      </w:r>
      <w:r w:rsidR="004F2330">
        <w:fldChar w:fldCharType="separate"/>
      </w:r>
      <w:r w:rsidR="00CB29BD">
        <w:t>5</w:t>
      </w:r>
      <w:r w:rsidR="004F2330">
        <w:fldChar w:fldCharType="end"/>
      </w:r>
      <w:bookmarkEnd w:id="496"/>
      <w:r w:rsidRPr="00AE46CF">
        <w:t>: Míra nezaměstnanosti absolventů v Karlovarském kraji v letech 20</w:t>
      </w:r>
      <w:r>
        <w:t>14</w:t>
      </w:r>
      <w:r w:rsidRPr="00AE46CF">
        <w:t xml:space="preserve"> až 201</w:t>
      </w:r>
      <w:r>
        <w:t>5</w:t>
      </w:r>
      <w:r w:rsidRPr="00AE46CF">
        <w:t xml:space="preserve"> podle skupiny oborů (denní studium, dubnové hodnoty)</w:t>
      </w:r>
      <w:bookmarkEnd w:id="497"/>
      <w:bookmarkEnd w:id="498"/>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5"/>
        <w:gridCol w:w="428"/>
        <w:gridCol w:w="424"/>
        <w:gridCol w:w="586"/>
        <w:gridCol w:w="551"/>
        <w:gridCol w:w="424"/>
        <w:gridCol w:w="426"/>
        <w:gridCol w:w="567"/>
        <w:gridCol w:w="426"/>
        <w:gridCol w:w="424"/>
        <w:gridCol w:w="426"/>
        <w:gridCol w:w="424"/>
        <w:gridCol w:w="426"/>
        <w:gridCol w:w="430"/>
        <w:gridCol w:w="426"/>
        <w:gridCol w:w="569"/>
        <w:gridCol w:w="417"/>
      </w:tblGrid>
      <w:tr w:rsidR="005B7484" w:rsidRPr="00DA3F4B" w:rsidTr="00843CFE">
        <w:trPr>
          <w:trHeight w:val="397"/>
          <w:tblHeader/>
        </w:trPr>
        <w:tc>
          <w:tcPr>
            <w:tcW w:w="983" w:type="pct"/>
            <w:vMerge w:val="restart"/>
            <w:noWrap/>
            <w:vAlign w:val="center"/>
          </w:tcPr>
          <w:p w:rsidR="00785D6E" w:rsidRPr="00DA3F4B" w:rsidRDefault="00785D6E" w:rsidP="00843CFE">
            <w:pPr>
              <w:pStyle w:val="Table"/>
              <w:spacing w:after="0"/>
              <w:jc w:val="left"/>
              <w:rPr>
                <w:rFonts w:ascii="Calibri" w:hAnsi="Calibri" w:cs="Calibri"/>
                <w:b/>
                <w:bCs/>
                <w:sz w:val="20"/>
              </w:rPr>
            </w:pPr>
            <w:r w:rsidRPr="00DA3F4B">
              <w:rPr>
                <w:rFonts w:ascii="Calibri" w:hAnsi="Calibri" w:cs="Calibri"/>
                <w:b/>
                <w:bCs/>
                <w:sz w:val="20"/>
              </w:rPr>
              <w:t xml:space="preserve">skupina oborů </w:t>
            </w:r>
          </w:p>
          <w:p w:rsidR="00785D6E" w:rsidRPr="00DA3F4B" w:rsidRDefault="00785D6E" w:rsidP="00843CFE">
            <w:pPr>
              <w:pStyle w:val="Table"/>
              <w:spacing w:after="0"/>
              <w:jc w:val="left"/>
              <w:rPr>
                <w:rFonts w:ascii="Calibri" w:hAnsi="Calibri" w:cs="Calibri"/>
                <w:b/>
                <w:sz w:val="20"/>
              </w:rPr>
            </w:pPr>
            <w:r w:rsidRPr="00DA3F4B">
              <w:rPr>
                <w:rFonts w:ascii="Calibri" w:hAnsi="Calibri" w:cs="Calibri"/>
                <w:b/>
                <w:bCs/>
                <w:sz w:val="20"/>
              </w:rPr>
              <w:t>(pouze obory, nabízené v Karlovarském kraji)</w:t>
            </w:r>
          </w:p>
        </w:tc>
        <w:tc>
          <w:tcPr>
            <w:tcW w:w="1083" w:type="pct"/>
            <w:gridSpan w:val="4"/>
            <w:noWrap/>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Střední vzdělání s výučním listem;</w:t>
            </w:r>
          </w:p>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Střední vzdělání bez MZ</w:t>
            </w:r>
          </w:p>
        </w:tc>
        <w:tc>
          <w:tcPr>
            <w:tcW w:w="1004" w:type="pct"/>
            <w:gridSpan w:val="4"/>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SO vzdělání s MZ a odbor. výcvikem; Nástavbové vzděl.</w:t>
            </w:r>
          </w:p>
        </w:tc>
        <w:tc>
          <w:tcPr>
            <w:tcW w:w="926" w:type="pct"/>
            <w:gridSpan w:val="4"/>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Střední odborné (SO) vzdělání s maturitní zkouškou (MZ)</w:t>
            </w:r>
          </w:p>
        </w:tc>
        <w:tc>
          <w:tcPr>
            <w:tcW w:w="1003" w:type="pct"/>
            <w:gridSpan w:val="4"/>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Vyšší odborné vzdělání</w:t>
            </w:r>
          </w:p>
        </w:tc>
      </w:tr>
      <w:tr w:rsidR="005B7484" w:rsidRPr="00DA3F4B" w:rsidTr="00843CFE">
        <w:trPr>
          <w:tblHeader/>
        </w:trPr>
        <w:tc>
          <w:tcPr>
            <w:tcW w:w="983" w:type="pct"/>
            <w:vMerge/>
            <w:noWrap/>
            <w:vAlign w:val="center"/>
          </w:tcPr>
          <w:p w:rsidR="00785D6E" w:rsidRPr="00DA3F4B" w:rsidRDefault="00785D6E" w:rsidP="00843CFE">
            <w:pPr>
              <w:pStyle w:val="Table"/>
              <w:spacing w:after="0"/>
              <w:jc w:val="left"/>
              <w:rPr>
                <w:rFonts w:ascii="Calibri" w:hAnsi="Calibri" w:cs="Calibri"/>
                <w:bCs/>
                <w:sz w:val="20"/>
              </w:rPr>
            </w:pPr>
          </w:p>
        </w:tc>
        <w:tc>
          <w:tcPr>
            <w:tcW w:w="464" w:type="pct"/>
            <w:gridSpan w:val="2"/>
            <w:noWrap/>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počet absolventů</w:t>
            </w:r>
          </w:p>
        </w:tc>
        <w:tc>
          <w:tcPr>
            <w:tcW w:w="619" w:type="pct"/>
            <w:gridSpan w:val="2"/>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míra nezam.</w:t>
            </w:r>
          </w:p>
        </w:tc>
        <w:tc>
          <w:tcPr>
            <w:tcW w:w="463" w:type="pct"/>
            <w:gridSpan w:val="2"/>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absolventi</w:t>
            </w:r>
          </w:p>
        </w:tc>
        <w:tc>
          <w:tcPr>
            <w:tcW w:w="541" w:type="pct"/>
            <w:gridSpan w:val="2"/>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míra nezam.</w:t>
            </w:r>
          </w:p>
        </w:tc>
        <w:tc>
          <w:tcPr>
            <w:tcW w:w="463" w:type="pct"/>
            <w:gridSpan w:val="2"/>
            <w:tcMar>
              <w:left w:w="0" w:type="dxa"/>
              <w:right w:w="0" w:type="dxa"/>
            </w:tcMar>
            <w:vAlign w:val="center"/>
          </w:tcPr>
          <w:p w:rsidR="00785D6E" w:rsidRPr="00DA3F4B" w:rsidRDefault="00785D6E" w:rsidP="002C40B2">
            <w:pPr>
              <w:spacing w:after="0"/>
              <w:jc w:val="center"/>
              <w:rPr>
                <w:b/>
                <w:sz w:val="20"/>
                <w:szCs w:val="20"/>
              </w:rPr>
            </w:pPr>
            <w:r w:rsidRPr="00DA3F4B">
              <w:rPr>
                <w:b/>
                <w:bCs/>
                <w:sz w:val="20"/>
                <w:szCs w:val="20"/>
              </w:rPr>
              <w:t>absolventi</w:t>
            </w:r>
          </w:p>
        </w:tc>
        <w:tc>
          <w:tcPr>
            <w:tcW w:w="463" w:type="pct"/>
            <w:gridSpan w:val="2"/>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míra nezam.</w:t>
            </w:r>
          </w:p>
        </w:tc>
        <w:tc>
          <w:tcPr>
            <w:tcW w:w="466" w:type="pct"/>
            <w:gridSpan w:val="2"/>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absolventi</w:t>
            </w:r>
          </w:p>
        </w:tc>
        <w:tc>
          <w:tcPr>
            <w:tcW w:w="537" w:type="pct"/>
            <w:gridSpan w:val="2"/>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míra nezam.</w:t>
            </w:r>
          </w:p>
        </w:tc>
      </w:tr>
      <w:tr w:rsidR="00843CFE" w:rsidRPr="00DA3F4B" w:rsidTr="00843CFE">
        <w:trPr>
          <w:tblHeader/>
        </w:trPr>
        <w:tc>
          <w:tcPr>
            <w:tcW w:w="983" w:type="pct"/>
            <w:vMerge/>
            <w:noWrap/>
            <w:vAlign w:val="center"/>
          </w:tcPr>
          <w:p w:rsidR="00785D6E" w:rsidRPr="00DA3F4B" w:rsidRDefault="00785D6E" w:rsidP="00843CFE">
            <w:pPr>
              <w:pStyle w:val="Table"/>
              <w:spacing w:after="0"/>
              <w:jc w:val="left"/>
              <w:rPr>
                <w:rFonts w:ascii="Calibri" w:hAnsi="Calibri" w:cs="Calibri"/>
                <w:bCs/>
                <w:sz w:val="20"/>
              </w:rPr>
            </w:pPr>
          </w:p>
        </w:tc>
        <w:tc>
          <w:tcPr>
            <w:tcW w:w="233" w:type="pct"/>
            <w:noWrap/>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231"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c>
          <w:tcPr>
            <w:tcW w:w="319"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300"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c>
          <w:tcPr>
            <w:tcW w:w="231"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232"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c>
          <w:tcPr>
            <w:tcW w:w="309"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232"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c>
          <w:tcPr>
            <w:tcW w:w="231"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232"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c>
          <w:tcPr>
            <w:tcW w:w="231"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232"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c>
          <w:tcPr>
            <w:tcW w:w="234"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232"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c>
          <w:tcPr>
            <w:tcW w:w="310"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2014</w:t>
            </w:r>
          </w:p>
        </w:tc>
        <w:tc>
          <w:tcPr>
            <w:tcW w:w="227" w:type="pct"/>
            <w:tcMar>
              <w:left w:w="0" w:type="dxa"/>
              <w:right w:w="0" w:type="dxa"/>
            </w:tcMar>
            <w:vAlign w:val="center"/>
          </w:tcPr>
          <w:p w:rsidR="00785D6E" w:rsidRPr="00DA3F4B" w:rsidRDefault="00785D6E" w:rsidP="002C40B2">
            <w:pPr>
              <w:pStyle w:val="Table"/>
              <w:spacing w:after="0"/>
              <w:jc w:val="center"/>
              <w:rPr>
                <w:rFonts w:ascii="Calibri" w:hAnsi="Calibri" w:cs="Calibri"/>
                <w:b/>
                <w:bCs/>
                <w:sz w:val="20"/>
              </w:rPr>
            </w:pPr>
            <w:r w:rsidRPr="00DA3F4B">
              <w:rPr>
                <w:rFonts w:ascii="Calibri" w:hAnsi="Calibri" w:cs="Calibri"/>
                <w:b/>
                <w:bCs/>
                <w:sz w:val="20"/>
              </w:rPr>
              <w:t>2015</w:t>
            </w: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16 Ekologie a ochrana životního prostředí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5</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42,9%</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color w:val="000000"/>
                <w:sz w:val="20"/>
                <w:szCs w:val="20"/>
              </w:rPr>
            </w:pPr>
            <w:r>
              <w:rPr>
                <w:color w:val="000000"/>
                <w:sz w:val="20"/>
                <w:szCs w:val="20"/>
              </w:rPr>
              <w:t>18 Informatické obory</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62</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48</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4,8%</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10,4%</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23 Stro</w:t>
            </w:r>
            <w:r w:rsidR="00843CFE">
              <w:rPr>
                <w:color w:val="000000"/>
                <w:sz w:val="20"/>
                <w:szCs w:val="20"/>
              </w:rPr>
              <w:t>jírenství a strojírenská výroba</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138</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128</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9,4%</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7,8%</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w:t>
            </w:r>
          </w:p>
        </w:tc>
        <w:tc>
          <w:tcPr>
            <w:tcW w:w="309"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24</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12,5%</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26 Elektrotech., telekom. a výpočet. technika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57</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51</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w:t>
            </w:r>
          </w:p>
        </w:tc>
        <w:tc>
          <w:tcPr>
            <w:tcW w:w="309"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23</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15</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4,3%</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6,6%</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843CFE" w:rsidRDefault="00843CFE" w:rsidP="00843CFE">
            <w:pPr>
              <w:spacing w:after="0"/>
              <w:ind w:right="568"/>
              <w:jc w:val="left"/>
              <w:rPr>
                <w:color w:val="000000"/>
                <w:sz w:val="20"/>
                <w:szCs w:val="20"/>
              </w:rPr>
            </w:pPr>
            <w:r>
              <w:rPr>
                <w:color w:val="000000"/>
                <w:sz w:val="20"/>
                <w:szCs w:val="20"/>
              </w:rPr>
              <w:t xml:space="preserve">28 Tech. </w:t>
            </w:r>
            <w:r w:rsidR="00785D6E" w:rsidRPr="00AE46CF">
              <w:rPr>
                <w:color w:val="000000"/>
                <w:sz w:val="20"/>
                <w:szCs w:val="20"/>
              </w:rPr>
              <w:t xml:space="preserve">chemie a chemie silikátů </w:t>
            </w:r>
            <w:r w:rsidR="00785D6E"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15</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9</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6,7%</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11,1%</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8</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29 Potravinářství a potravinářská chemie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36</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25</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11,1%</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8,0%</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33 Zprac. dřeva a výroba hudeb. nástrojů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31</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26</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16,1%</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11,5%</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36 Stavebnictví, geodézie a kartografie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65</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39</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18,5%</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7,7%</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44</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23</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9,1%</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8,7%</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843CFE" w:rsidP="00843CFE">
            <w:pPr>
              <w:spacing w:after="0"/>
              <w:jc w:val="left"/>
              <w:rPr>
                <w:sz w:val="20"/>
                <w:szCs w:val="20"/>
              </w:rPr>
            </w:pPr>
            <w:r>
              <w:rPr>
                <w:color w:val="000000"/>
                <w:sz w:val="20"/>
                <w:szCs w:val="20"/>
              </w:rPr>
              <w:t>37 Doprava a spoje</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41</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31</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2,4%</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6,4%</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39 Speciální a interdisciplinár. tech. obory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26</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16</w:t>
            </w:r>
          </w:p>
        </w:tc>
        <w:tc>
          <w:tcPr>
            <w:tcW w:w="309"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7,7%</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31,2%</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41 Zemědělství a lesnictví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36</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32</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13,9%</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9,4%</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33</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26</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11,5%</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843CFE" w:rsidP="00843CFE">
            <w:pPr>
              <w:spacing w:after="0"/>
              <w:jc w:val="left"/>
              <w:rPr>
                <w:sz w:val="20"/>
                <w:szCs w:val="20"/>
              </w:rPr>
            </w:pPr>
            <w:r>
              <w:rPr>
                <w:color w:val="000000"/>
                <w:sz w:val="20"/>
                <w:szCs w:val="20"/>
              </w:rPr>
              <w:t>53 Zdravotnictví</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79</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70</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3,8%</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4"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38</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35</w:t>
            </w:r>
          </w:p>
        </w:tc>
        <w:tc>
          <w:tcPr>
            <w:tcW w:w="31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7,9%</w:t>
            </w:r>
          </w:p>
        </w:tc>
        <w:tc>
          <w:tcPr>
            <w:tcW w:w="227"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5,7%</w:t>
            </w: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63 Ekonomika a administrativa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131</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111</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11,5%</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6,3%</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64 P</w:t>
            </w:r>
            <w:r w:rsidR="00843CFE">
              <w:rPr>
                <w:color w:val="000000"/>
                <w:sz w:val="20"/>
                <w:szCs w:val="20"/>
              </w:rPr>
              <w:t>odnikání v oborech, v odvětvích</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28</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18</w:t>
            </w:r>
          </w:p>
        </w:tc>
        <w:tc>
          <w:tcPr>
            <w:tcW w:w="309"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7,1%</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11,1%</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65 Gastronomie, hotelnictví a turismus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239</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194</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14,6%</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11,3%</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36</w:t>
            </w:r>
          </w:p>
        </w:tc>
        <w:tc>
          <w:tcPr>
            <w:tcW w:w="309"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11,1%</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82</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70</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6,1%</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2,8%</w:t>
            </w:r>
          </w:p>
        </w:tc>
        <w:tc>
          <w:tcPr>
            <w:tcW w:w="234"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35</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28</w:t>
            </w:r>
          </w:p>
        </w:tc>
        <w:tc>
          <w:tcPr>
            <w:tcW w:w="31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14,3%</w:t>
            </w:r>
          </w:p>
        </w:tc>
        <w:tc>
          <w:tcPr>
            <w:tcW w:w="227"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3,5%</w:t>
            </w: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lastRenderedPageBreak/>
              <w:t xml:space="preserve">66 Obchod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24</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12</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12,5%</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8,3%</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68 Právo, právní a veřejnosprávní činnost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90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68</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6,7%</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7,3%</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69 Osobní a provozní služby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62</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45</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12,9%</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13,3%</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30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43</w:t>
            </w:r>
          </w:p>
        </w:tc>
        <w:tc>
          <w:tcPr>
            <w:tcW w:w="309"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13,3%</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11,6%</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72 Publicistika, knihovnictví a informatika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15</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11</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13,3%</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18,1%</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75 Pedagogika, učitelství a sociální péče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56</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54</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1,8%</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1,8%</w:t>
            </w:r>
          </w:p>
        </w:tc>
        <w:tc>
          <w:tcPr>
            <w:tcW w:w="234"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19</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17</w:t>
            </w:r>
          </w:p>
        </w:tc>
        <w:tc>
          <w:tcPr>
            <w:tcW w:w="31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10,5%</w:t>
            </w:r>
          </w:p>
        </w:tc>
        <w:tc>
          <w:tcPr>
            <w:tcW w:w="227"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78 Obecně odborná příprava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w:t>
            </w:r>
          </w:p>
        </w:tc>
        <w:tc>
          <w:tcPr>
            <w:tcW w:w="231"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w:t>
            </w:r>
          </w:p>
        </w:tc>
        <w:tc>
          <w:tcPr>
            <w:tcW w:w="319" w:type="pct"/>
            <w:noWrap/>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w:t>
            </w:r>
          </w:p>
        </w:tc>
        <w:tc>
          <w:tcPr>
            <w:tcW w:w="300"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w:t>
            </w: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74</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73</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2,7%</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1,4%</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sidRPr="00AE46CF">
              <w:rPr>
                <w:color w:val="000000"/>
                <w:sz w:val="20"/>
                <w:szCs w:val="20"/>
              </w:rPr>
              <w:t xml:space="preserve">82 Umění a užité umění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6</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w:t>
            </w:r>
          </w:p>
        </w:tc>
        <w:tc>
          <w:tcPr>
            <w:tcW w:w="309"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16,7%</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0,0%</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50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47</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10,0%</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10,6%</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spacing w:after="0"/>
              <w:jc w:val="left"/>
              <w:rPr>
                <w:sz w:val="20"/>
                <w:szCs w:val="20"/>
              </w:rPr>
            </w:pPr>
            <w:r>
              <w:rPr>
                <w:color w:val="000000"/>
                <w:sz w:val="20"/>
                <w:szCs w:val="20"/>
              </w:rPr>
              <w:t xml:space="preserve">79 </w:t>
            </w:r>
            <w:r w:rsidRPr="00AE46CF">
              <w:rPr>
                <w:color w:val="000000"/>
                <w:sz w:val="20"/>
                <w:szCs w:val="20"/>
              </w:rPr>
              <w:t xml:space="preserve">Gymnaziální vzdělání </w:t>
            </w:r>
            <w:r w:rsidRPr="00AE46CF">
              <w:rPr>
                <w:sz w:val="20"/>
                <w:szCs w:val="20"/>
              </w:rPr>
              <w:t xml:space="preserve"> </w:t>
            </w:r>
          </w:p>
        </w:tc>
        <w:tc>
          <w:tcPr>
            <w:tcW w:w="233" w:type="pct"/>
            <w:noWrap/>
            <w:tcMar>
              <w:left w:w="0" w:type="dxa"/>
              <w:right w:w="0" w:type="dxa"/>
            </w:tcMar>
            <w:vAlign w:val="center"/>
          </w:tcPr>
          <w:p w:rsidR="00785D6E" w:rsidRPr="00843CFE" w:rsidRDefault="00785D6E" w:rsidP="002C40B2">
            <w:pPr>
              <w:spacing w:after="0"/>
              <w:jc w:val="center"/>
              <w:rPr>
                <w:sz w:val="16"/>
                <w:szCs w:val="16"/>
              </w:rPr>
            </w:pPr>
          </w:p>
        </w:tc>
        <w:tc>
          <w:tcPr>
            <w:tcW w:w="231" w:type="pct"/>
            <w:noWrap/>
            <w:tcMar>
              <w:left w:w="0" w:type="dxa"/>
              <w:right w:w="0" w:type="dxa"/>
            </w:tcMar>
            <w:vAlign w:val="center"/>
          </w:tcPr>
          <w:p w:rsidR="00785D6E" w:rsidRPr="00843CFE" w:rsidRDefault="00785D6E" w:rsidP="002C40B2">
            <w:pPr>
              <w:spacing w:after="0"/>
              <w:jc w:val="center"/>
              <w:rPr>
                <w:sz w:val="16"/>
                <w:szCs w:val="16"/>
              </w:rPr>
            </w:pPr>
          </w:p>
        </w:tc>
        <w:tc>
          <w:tcPr>
            <w:tcW w:w="319" w:type="pct"/>
            <w:noWrap/>
            <w:tcMar>
              <w:left w:w="0" w:type="dxa"/>
              <w:right w:w="0" w:type="dxa"/>
            </w:tcMar>
            <w:vAlign w:val="center"/>
          </w:tcPr>
          <w:p w:rsidR="00785D6E" w:rsidRPr="00843CFE" w:rsidRDefault="00785D6E" w:rsidP="002C40B2">
            <w:pPr>
              <w:spacing w:after="0"/>
              <w:jc w:val="center"/>
              <w:rPr>
                <w:sz w:val="16"/>
                <w:szCs w:val="16"/>
              </w:rPr>
            </w:pPr>
          </w:p>
        </w:tc>
        <w:tc>
          <w:tcPr>
            <w:tcW w:w="300"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09"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487</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457</w:t>
            </w:r>
          </w:p>
        </w:tc>
        <w:tc>
          <w:tcPr>
            <w:tcW w:w="231"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4,1%</w:t>
            </w:r>
          </w:p>
        </w:tc>
        <w:tc>
          <w:tcPr>
            <w:tcW w:w="232" w:type="pct"/>
            <w:tcMar>
              <w:left w:w="0" w:type="dxa"/>
              <w:right w:w="0" w:type="dxa"/>
            </w:tcMar>
            <w:vAlign w:val="center"/>
          </w:tcPr>
          <w:p w:rsidR="00785D6E" w:rsidRPr="00843CFE" w:rsidRDefault="00785D6E" w:rsidP="002C40B2">
            <w:pPr>
              <w:spacing w:after="0"/>
              <w:jc w:val="center"/>
              <w:rPr>
                <w:sz w:val="16"/>
                <w:szCs w:val="16"/>
              </w:rPr>
            </w:pPr>
            <w:r w:rsidRPr="00843CFE">
              <w:rPr>
                <w:sz w:val="16"/>
                <w:szCs w:val="16"/>
              </w:rPr>
              <w:t>2,6%</w:t>
            </w:r>
          </w:p>
        </w:tc>
        <w:tc>
          <w:tcPr>
            <w:tcW w:w="234" w:type="pct"/>
            <w:tcMar>
              <w:left w:w="0" w:type="dxa"/>
              <w:right w:w="0" w:type="dxa"/>
            </w:tcMar>
            <w:vAlign w:val="center"/>
          </w:tcPr>
          <w:p w:rsidR="00785D6E" w:rsidRPr="00843CFE" w:rsidRDefault="00785D6E" w:rsidP="002C40B2">
            <w:pPr>
              <w:spacing w:after="0"/>
              <w:jc w:val="center"/>
              <w:rPr>
                <w:sz w:val="16"/>
                <w:szCs w:val="16"/>
              </w:rPr>
            </w:pPr>
          </w:p>
        </w:tc>
        <w:tc>
          <w:tcPr>
            <w:tcW w:w="232" w:type="pct"/>
            <w:tcMar>
              <w:left w:w="0" w:type="dxa"/>
              <w:right w:w="0" w:type="dxa"/>
            </w:tcMar>
            <w:vAlign w:val="center"/>
          </w:tcPr>
          <w:p w:rsidR="00785D6E" w:rsidRPr="00843CFE" w:rsidRDefault="00785D6E" w:rsidP="002C40B2">
            <w:pPr>
              <w:spacing w:after="0"/>
              <w:jc w:val="center"/>
              <w:rPr>
                <w:sz w:val="16"/>
                <w:szCs w:val="16"/>
              </w:rPr>
            </w:pPr>
          </w:p>
        </w:tc>
        <w:tc>
          <w:tcPr>
            <w:tcW w:w="310" w:type="pct"/>
            <w:tcMar>
              <w:left w:w="0" w:type="dxa"/>
              <w:right w:w="0" w:type="dxa"/>
            </w:tcMar>
            <w:vAlign w:val="center"/>
          </w:tcPr>
          <w:p w:rsidR="00785D6E" w:rsidRPr="00843CFE" w:rsidRDefault="00785D6E" w:rsidP="002C40B2">
            <w:pPr>
              <w:spacing w:after="0"/>
              <w:jc w:val="center"/>
              <w:rPr>
                <w:sz w:val="16"/>
                <w:szCs w:val="16"/>
              </w:rPr>
            </w:pPr>
          </w:p>
        </w:tc>
        <w:tc>
          <w:tcPr>
            <w:tcW w:w="227" w:type="pct"/>
            <w:tcMar>
              <w:left w:w="0" w:type="dxa"/>
              <w:right w:w="0" w:type="dxa"/>
            </w:tcMar>
            <w:vAlign w:val="center"/>
          </w:tcPr>
          <w:p w:rsidR="00785D6E" w:rsidRPr="00843CFE" w:rsidRDefault="00785D6E" w:rsidP="002C40B2">
            <w:pPr>
              <w:spacing w:after="0"/>
              <w:jc w:val="center"/>
              <w:rPr>
                <w:sz w:val="16"/>
                <w:szCs w:val="16"/>
              </w:rPr>
            </w:pPr>
          </w:p>
        </w:tc>
      </w:tr>
      <w:tr w:rsidR="00843CFE" w:rsidRPr="00AE46CF" w:rsidTr="00843CFE">
        <w:tc>
          <w:tcPr>
            <w:tcW w:w="983" w:type="pct"/>
            <w:noWrap/>
            <w:vAlign w:val="center"/>
          </w:tcPr>
          <w:p w:rsidR="00785D6E" w:rsidRPr="00AE46CF" w:rsidRDefault="00785D6E" w:rsidP="00843CFE">
            <w:pPr>
              <w:pStyle w:val="Table"/>
              <w:spacing w:after="0"/>
              <w:jc w:val="left"/>
              <w:rPr>
                <w:rFonts w:ascii="Calibri" w:hAnsi="Calibri" w:cs="Calibri"/>
                <w:b/>
                <w:bCs/>
                <w:sz w:val="20"/>
              </w:rPr>
            </w:pPr>
            <w:r w:rsidRPr="00AE46CF">
              <w:rPr>
                <w:rFonts w:ascii="Calibri" w:hAnsi="Calibri" w:cs="Calibri"/>
                <w:b/>
                <w:bCs/>
                <w:sz w:val="20"/>
              </w:rPr>
              <w:t>Celkem</w:t>
            </w:r>
          </w:p>
        </w:tc>
        <w:tc>
          <w:tcPr>
            <w:tcW w:w="233" w:type="pct"/>
            <w:noWrap/>
            <w:tcMar>
              <w:left w:w="0" w:type="dxa"/>
              <w:right w:w="0" w:type="dxa"/>
            </w:tcMar>
            <w:vAlign w:val="center"/>
          </w:tcPr>
          <w:p w:rsidR="00785D6E" w:rsidRPr="00AE46CF" w:rsidRDefault="00785D6E" w:rsidP="002C40B2">
            <w:pPr>
              <w:spacing w:after="0"/>
              <w:jc w:val="center"/>
              <w:rPr>
                <w:b/>
                <w:sz w:val="20"/>
                <w:szCs w:val="20"/>
              </w:rPr>
            </w:pPr>
            <w:r>
              <w:rPr>
                <w:b/>
                <w:sz w:val="20"/>
                <w:szCs w:val="20"/>
              </w:rPr>
              <w:t>709</w:t>
            </w:r>
          </w:p>
        </w:tc>
        <w:tc>
          <w:tcPr>
            <w:tcW w:w="231" w:type="pct"/>
            <w:noWrap/>
            <w:tcMar>
              <w:left w:w="0" w:type="dxa"/>
              <w:right w:w="0" w:type="dxa"/>
            </w:tcMar>
            <w:vAlign w:val="center"/>
          </w:tcPr>
          <w:p w:rsidR="00785D6E" w:rsidRPr="00AE46CF" w:rsidRDefault="00785D6E" w:rsidP="002C40B2">
            <w:pPr>
              <w:spacing w:after="0"/>
              <w:jc w:val="center"/>
              <w:rPr>
                <w:b/>
                <w:sz w:val="20"/>
                <w:szCs w:val="20"/>
              </w:rPr>
            </w:pPr>
            <w:r>
              <w:rPr>
                <w:b/>
                <w:sz w:val="20"/>
                <w:szCs w:val="20"/>
              </w:rPr>
              <w:t>568</w:t>
            </w:r>
          </w:p>
        </w:tc>
        <w:tc>
          <w:tcPr>
            <w:tcW w:w="319" w:type="pct"/>
            <w:noWrap/>
            <w:tcMar>
              <w:left w:w="0" w:type="dxa"/>
              <w:right w:w="0" w:type="dxa"/>
            </w:tcMar>
            <w:vAlign w:val="center"/>
          </w:tcPr>
          <w:p w:rsidR="00785D6E" w:rsidRPr="00AE46CF" w:rsidRDefault="00785D6E" w:rsidP="002C40B2">
            <w:pPr>
              <w:spacing w:after="0"/>
              <w:jc w:val="center"/>
              <w:rPr>
                <w:b/>
                <w:sz w:val="20"/>
                <w:szCs w:val="20"/>
              </w:rPr>
            </w:pPr>
          </w:p>
        </w:tc>
        <w:tc>
          <w:tcPr>
            <w:tcW w:w="300" w:type="pct"/>
            <w:tcMar>
              <w:left w:w="0" w:type="dxa"/>
              <w:right w:w="0" w:type="dxa"/>
            </w:tcMar>
            <w:vAlign w:val="center"/>
          </w:tcPr>
          <w:p w:rsidR="00785D6E" w:rsidRPr="00AE46CF" w:rsidRDefault="00785D6E" w:rsidP="002C40B2">
            <w:pPr>
              <w:spacing w:after="0"/>
              <w:jc w:val="center"/>
              <w:rPr>
                <w:b/>
                <w:sz w:val="20"/>
                <w:szCs w:val="20"/>
              </w:rPr>
            </w:pPr>
          </w:p>
        </w:tc>
        <w:tc>
          <w:tcPr>
            <w:tcW w:w="231" w:type="pct"/>
            <w:tcMar>
              <w:left w:w="0" w:type="dxa"/>
              <w:right w:w="0" w:type="dxa"/>
            </w:tcMar>
            <w:vAlign w:val="center"/>
          </w:tcPr>
          <w:p w:rsidR="00785D6E" w:rsidRPr="00AE46CF" w:rsidRDefault="00785D6E" w:rsidP="002C40B2">
            <w:pPr>
              <w:spacing w:after="0"/>
              <w:jc w:val="center"/>
              <w:rPr>
                <w:b/>
                <w:sz w:val="20"/>
                <w:szCs w:val="20"/>
              </w:rPr>
            </w:pPr>
            <w:r>
              <w:rPr>
                <w:b/>
                <w:color w:val="000000"/>
                <w:sz w:val="20"/>
                <w:szCs w:val="20"/>
              </w:rPr>
              <w:t>120</w:t>
            </w:r>
          </w:p>
        </w:tc>
        <w:tc>
          <w:tcPr>
            <w:tcW w:w="232" w:type="pct"/>
            <w:tcMar>
              <w:left w:w="0" w:type="dxa"/>
              <w:right w:w="0" w:type="dxa"/>
            </w:tcMar>
            <w:vAlign w:val="center"/>
          </w:tcPr>
          <w:p w:rsidR="00785D6E" w:rsidRPr="00AE46CF" w:rsidRDefault="00785D6E" w:rsidP="002C40B2">
            <w:pPr>
              <w:spacing w:after="0"/>
              <w:jc w:val="center"/>
              <w:rPr>
                <w:b/>
                <w:sz w:val="20"/>
                <w:szCs w:val="20"/>
              </w:rPr>
            </w:pPr>
            <w:r>
              <w:rPr>
                <w:b/>
                <w:sz w:val="20"/>
                <w:szCs w:val="20"/>
              </w:rPr>
              <w:t>118</w:t>
            </w:r>
          </w:p>
        </w:tc>
        <w:tc>
          <w:tcPr>
            <w:tcW w:w="309" w:type="pct"/>
            <w:tcMar>
              <w:left w:w="0" w:type="dxa"/>
              <w:right w:w="0" w:type="dxa"/>
            </w:tcMar>
            <w:vAlign w:val="center"/>
          </w:tcPr>
          <w:p w:rsidR="00785D6E" w:rsidRPr="00AE46CF" w:rsidRDefault="00785D6E" w:rsidP="002C40B2">
            <w:pPr>
              <w:spacing w:after="0"/>
              <w:jc w:val="center"/>
              <w:rPr>
                <w:b/>
                <w:sz w:val="20"/>
                <w:szCs w:val="20"/>
              </w:rPr>
            </w:pPr>
          </w:p>
        </w:tc>
        <w:tc>
          <w:tcPr>
            <w:tcW w:w="232" w:type="pct"/>
            <w:tcMar>
              <w:left w:w="0" w:type="dxa"/>
              <w:right w:w="0" w:type="dxa"/>
            </w:tcMar>
            <w:vAlign w:val="center"/>
          </w:tcPr>
          <w:p w:rsidR="00785D6E" w:rsidRPr="00AE46CF" w:rsidRDefault="00785D6E" w:rsidP="002C40B2">
            <w:pPr>
              <w:spacing w:after="0"/>
              <w:jc w:val="center"/>
              <w:rPr>
                <w:b/>
                <w:sz w:val="20"/>
                <w:szCs w:val="20"/>
              </w:rPr>
            </w:pPr>
          </w:p>
        </w:tc>
        <w:tc>
          <w:tcPr>
            <w:tcW w:w="231" w:type="pct"/>
            <w:tcMar>
              <w:left w:w="0" w:type="dxa"/>
              <w:right w:w="0" w:type="dxa"/>
            </w:tcMar>
            <w:vAlign w:val="center"/>
          </w:tcPr>
          <w:p w:rsidR="00785D6E" w:rsidRPr="00AE46CF" w:rsidRDefault="00785D6E" w:rsidP="002C40B2">
            <w:pPr>
              <w:spacing w:after="0"/>
              <w:jc w:val="center"/>
              <w:rPr>
                <w:b/>
                <w:sz w:val="20"/>
                <w:szCs w:val="20"/>
              </w:rPr>
            </w:pPr>
            <w:r>
              <w:rPr>
                <w:b/>
                <w:sz w:val="20"/>
                <w:szCs w:val="20"/>
              </w:rPr>
              <w:t>1306</w:t>
            </w:r>
          </w:p>
        </w:tc>
        <w:tc>
          <w:tcPr>
            <w:tcW w:w="232" w:type="pct"/>
            <w:tcMar>
              <w:left w:w="0" w:type="dxa"/>
              <w:right w:w="0" w:type="dxa"/>
            </w:tcMar>
            <w:vAlign w:val="center"/>
          </w:tcPr>
          <w:p w:rsidR="00785D6E" w:rsidRPr="00AE46CF" w:rsidRDefault="00785D6E" w:rsidP="002C40B2">
            <w:pPr>
              <w:spacing w:after="0"/>
              <w:jc w:val="center"/>
              <w:rPr>
                <w:b/>
                <w:sz w:val="20"/>
                <w:szCs w:val="20"/>
              </w:rPr>
            </w:pPr>
            <w:r>
              <w:rPr>
                <w:b/>
                <w:sz w:val="20"/>
                <w:szCs w:val="20"/>
              </w:rPr>
              <w:t>946</w:t>
            </w:r>
          </w:p>
        </w:tc>
        <w:tc>
          <w:tcPr>
            <w:tcW w:w="231" w:type="pct"/>
            <w:tcMar>
              <w:left w:w="0" w:type="dxa"/>
              <w:right w:w="0" w:type="dxa"/>
            </w:tcMar>
            <w:vAlign w:val="center"/>
          </w:tcPr>
          <w:p w:rsidR="00785D6E" w:rsidRPr="00AE46CF" w:rsidRDefault="00785D6E" w:rsidP="002C40B2">
            <w:pPr>
              <w:spacing w:after="0"/>
              <w:jc w:val="center"/>
              <w:rPr>
                <w:b/>
                <w:sz w:val="20"/>
                <w:szCs w:val="20"/>
              </w:rPr>
            </w:pPr>
          </w:p>
        </w:tc>
        <w:tc>
          <w:tcPr>
            <w:tcW w:w="232" w:type="pct"/>
            <w:tcMar>
              <w:left w:w="0" w:type="dxa"/>
              <w:right w:w="0" w:type="dxa"/>
            </w:tcMar>
            <w:vAlign w:val="center"/>
          </w:tcPr>
          <w:p w:rsidR="00785D6E" w:rsidRPr="00AE46CF" w:rsidRDefault="00785D6E" w:rsidP="002C40B2">
            <w:pPr>
              <w:spacing w:after="0"/>
              <w:jc w:val="center"/>
              <w:rPr>
                <w:b/>
                <w:sz w:val="20"/>
                <w:szCs w:val="20"/>
              </w:rPr>
            </w:pPr>
          </w:p>
        </w:tc>
        <w:tc>
          <w:tcPr>
            <w:tcW w:w="234" w:type="pct"/>
            <w:tcMar>
              <w:left w:w="0" w:type="dxa"/>
              <w:right w:w="0" w:type="dxa"/>
            </w:tcMar>
            <w:vAlign w:val="center"/>
          </w:tcPr>
          <w:p w:rsidR="00785D6E" w:rsidRPr="00AE46CF" w:rsidRDefault="00785D6E" w:rsidP="002C40B2">
            <w:pPr>
              <w:spacing w:after="0"/>
              <w:jc w:val="center"/>
              <w:rPr>
                <w:b/>
                <w:sz w:val="20"/>
                <w:szCs w:val="20"/>
              </w:rPr>
            </w:pPr>
            <w:r>
              <w:rPr>
                <w:b/>
                <w:color w:val="000000"/>
                <w:sz w:val="20"/>
                <w:szCs w:val="20"/>
              </w:rPr>
              <w:t>92</w:t>
            </w:r>
          </w:p>
        </w:tc>
        <w:tc>
          <w:tcPr>
            <w:tcW w:w="232" w:type="pct"/>
            <w:tcMar>
              <w:left w:w="0" w:type="dxa"/>
              <w:right w:w="0" w:type="dxa"/>
            </w:tcMar>
            <w:vAlign w:val="center"/>
          </w:tcPr>
          <w:p w:rsidR="00785D6E" w:rsidRPr="00AE46CF" w:rsidRDefault="00785D6E" w:rsidP="002C40B2">
            <w:pPr>
              <w:spacing w:after="0"/>
              <w:jc w:val="center"/>
              <w:rPr>
                <w:b/>
                <w:sz w:val="20"/>
                <w:szCs w:val="20"/>
              </w:rPr>
            </w:pPr>
            <w:r>
              <w:rPr>
                <w:b/>
                <w:sz w:val="20"/>
                <w:szCs w:val="20"/>
              </w:rPr>
              <w:t>80</w:t>
            </w:r>
          </w:p>
        </w:tc>
        <w:tc>
          <w:tcPr>
            <w:tcW w:w="310" w:type="pct"/>
            <w:tcMar>
              <w:left w:w="0" w:type="dxa"/>
              <w:right w:w="0" w:type="dxa"/>
            </w:tcMar>
            <w:vAlign w:val="center"/>
          </w:tcPr>
          <w:p w:rsidR="00785D6E" w:rsidRPr="00AE46CF" w:rsidRDefault="00785D6E" w:rsidP="002C40B2">
            <w:pPr>
              <w:spacing w:after="0"/>
              <w:jc w:val="center"/>
              <w:rPr>
                <w:b/>
                <w:sz w:val="20"/>
                <w:szCs w:val="20"/>
              </w:rPr>
            </w:pPr>
          </w:p>
        </w:tc>
        <w:tc>
          <w:tcPr>
            <w:tcW w:w="227" w:type="pct"/>
            <w:tcMar>
              <w:left w:w="0" w:type="dxa"/>
              <w:right w:w="0" w:type="dxa"/>
            </w:tcMar>
            <w:vAlign w:val="center"/>
          </w:tcPr>
          <w:p w:rsidR="00785D6E" w:rsidRPr="00AE46CF" w:rsidRDefault="00785D6E" w:rsidP="002C40B2">
            <w:pPr>
              <w:spacing w:after="0"/>
              <w:jc w:val="center"/>
              <w:rPr>
                <w:b/>
                <w:sz w:val="20"/>
                <w:szCs w:val="20"/>
              </w:rPr>
            </w:pPr>
          </w:p>
        </w:tc>
      </w:tr>
    </w:tbl>
    <w:p w:rsidR="008A5617" w:rsidRDefault="00417743" w:rsidP="002C40B2">
      <w:pPr>
        <w:pStyle w:val="Zdrojdat"/>
        <w:spacing w:before="120" w:line="276" w:lineRule="auto"/>
      </w:pPr>
      <w:r>
        <w:rPr>
          <w:rStyle w:val="Zdraznnjemn"/>
          <w:i/>
          <w:szCs w:val="20"/>
        </w:rPr>
        <w:t>Zdroj: Úřad práce Karlovy Vary</w:t>
      </w:r>
      <w:r w:rsidR="00785D6E" w:rsidRPr="00DA50E1">
        <w:rPr>
          <w:rStyle w:val="Zdraznnjemn"/>
          <w:i/>
          <w:szCs w:val="20"/>
        </w:rPr>
        <w:t xml:space="preserve">, Národní ústav pro vzdělávání </w:t>
      </w:r>
    </w:p>
    <w:sectPr w:rsidR="008A5617" w:rsidSect="0077536C">
      <w:footerReference w:type="first" r:id="rId2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91A" w:rsidRDefault="007D391A" w:rsidP="002A5913">
      <w:pPr>
        <w:spacing w:after="0" w:line="240" w:lineRule="auto"/>
      </w:pPr>
      <w:r>
        <w:separator/>
      </w:r>
    </w:p>
  </w:endnote>
  <w:endnote w:type="continuationSeparator" w:id="0">
    <w:p w:rsidR="007D391A" w:rsidRDefault="007D391A" w:rsidP="002A5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MinionCondE-Bold">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
    <w:panose1 w:val="00000000000000000000"/>
    <w:charset w:val="EE"/>
    <w:family w:val="auto"/>
    <w:notTrueType/>
    <w:pitch w:val="default"/>
    <w:sig w:usb0="00000005" w:usb1="00000000" w:usb2="00000000" w:usb3="00000000" w:csb0="00000002" w:csb1="00000000"/>
  </w:font>
  <w:font w:name="TimesNewRomanPSMT">
    <w:altName w:val="Arial"/>
    <w:panose1 w:val="00000000000000000000"/>
    <w:charset w:val="00"/>
    <w:family w:val="swiss"/>
    <w:notTrueType/>
    <w:pitch w:val="default"/>
    <w:sig w:usb0="00000007" w:usb1="08070000" w:usb2="00000010" w:usb3="00000000" w:csb0="00020003" w:csb1="00000000"/>
  </w:font>
  <w:font w:name="TT77Do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88C" w:rsidRDefault="0095288C">
    <w:pPr>
      <w:pStyle w:val="Zpat"/>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D05E50">
      <w:rPr>
        <w:caps/>
        <w:noProof/>
        <w:color w:val="5B9BD5" w:themeColor="accent1"/>
      </w:rPr>
      <w:t>1</w:t>
    </w:r>
    <w:r>
      <w:rPr>
        <w:caps/>
        <w:color w:val="5B9BD5" w:themeColor="accent1"/>
      </w:rPr>
      <w:fldChar w:fldCharType="end"/>
    </w:r>
  </w:p>
  <w:p w:rsidR="0095288C" w:rsidRDefault="0095288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023760"/>
      <w:docPartObj>
        <w:docPartGallery w:val="Page Numbers (Bottom of Page)"/>
        <w:docPartUnique/>
      </w:docPartObj>
    </w:sdtPr>
    <w:sdtEndPr/>
    <w:sdtContent>
      <w:p w:rsidR="0095288C" w:rsidRDefault="0095288C">
        <w:pPr>
          <w:pStyle w:val="Zpat"/>
          <w:jc w:val="center"/>
        </w:pPr>
        <w:r>
          <w:fldChar w:fldCharType="begin"/>
        </w:r>
        <w:r>
          <w:instrText xml:space="preserve"> PAGE  \* Arabic  \* MERGEFORMAT </w:instrText>
        </w:r>
        <w:r>
          <w:fldChar w:fldCharType="separate"/>
        </w:r>
        <w:r>
          <w:rPr>
            <w:noProof/>
          </w:rPr>
          <w:t>0</w:t>
        </w:r>
        <w:r>
          <w:rPr>
            <w:noProof/>
          </w:rPr>
          <w:fldChar w:fldCharType="end"/>
        </w:r>
      </w:p>
    </w:sdtContent>
  </w:sdt>
  <w:p w:rsidR="0095288C" w:rsidRDefault="0095288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91A" w:rsidRDefault="007D391A" w:rsidP="002A5913">
      <w:pPr>
        <w:spacing w:after="0" w:line="240" w:lineRule="auto"/>
      </w:pPr>
      <w:r>
        <w:separator/>
      </w:r>
    </w:p>
  </w:footnote>
  <w:footnote w:type="continuationSeparator" w:id="0">
    <w:p w:rsidR="007D391A" w:rsidRDefault="007D391A" w:rsidP="002A5913">
      <w:pPr>
        <w:spacing w:after="0" w:line="240" w:lineRule="auto"/>
      </w:pPr>
      <w:r>
        <w:continuationSeparator/>
      </w:r>
    </w:p>
  </w:footnote>
  <w:footnote w:id="1">
    <w:p w:rsidR="0095288C" w:rsidRPr="00AC1635" w:rsidRDefault="0095288C" w:rsidP="002A5913">
      <w:pPr>
        <w:pStyle w:val="Textpoznpodarou"/>
      </w:pPr>
      <w:r>
        <w:rPr>
          <w:rStyle w:val="Znakapoznpodarou"/>
        </w:rPr>
        <w:footnoteRef/>
      </w:r>
      <w:r>
        <w:t xml:space="preserve"> </w:t>
      </w:r>
      <w:r w:rsidRPr="00AC1635">
        <w:t>Převzato z dokumentu </w:t>
      </w:r>
      <w:r>
        <w:t xml:space="preserve">Berman Group. </w:t>
      </w:r>
      <w:r w:rsidRPr="00AC1635">
        <w:rPr>
          <w:i/>
        </w:rPr>
        <w:t>Socioekonomická analýza Olomouckého kraje</w:t>
      </w:r>
      <w:r>
        <w:t>. Praha,</w:t>
      </w:r>
      <w:r w:rsidRPr="00AC1635">
        <w:t xml:space="preserve"> 2010</w:t>
      </w:r>
      <w:r>
        <w:t>.</w:t>
      </w:r>
    </w:p>
  </w:footnote>
  <w:footnote w:id="2">
    <w:p w:rsidR="0095288C" w:rsidRPr="004B0C8E" w:rsidRDefault="0095288C" w:rsidP="00151586">
      <w:pPr>
        <w:pStyle w:val="Textpoznpodarou"/>
      </w:pPr>
      <w:r>
        <w:rPr>
          <w:rStyle w:val="Znakapoznpodarou"/>
        </w:rPr>
        <w:footnoteRef/>
      </w:r>
      <w:r>
        <w:t xml:space="preserve"> </w:t>
      </w:r>
      <w:r w:rsidRPr="004B0C8E">
        <w:t>Přímá investice = základní kapitál + reinvestovaný zisk + ostatní kapitál</w:t>
      </w:r>
    </w:p>
  </w:footnote>
  <w:footnote w:id="3">
    <w:p w:rsidR="0095288C" w:rsidRPr="00873171" w:rsidRDefault="0095288C" w:rsidP="009733E3">
      <w:pPr>
        <w:pStyle w:val="footnotedescription"/>
        <w:ind w:left="0"/>
      </w:pPr>
      <w:r w:rsidRPr="00873171">
        <w:rPr>
          <w:rStyle w:val="footnotemark"/>
        </w:rPr>
        <w:footnoteRef/>
      </w:r>
      <w:r w:rsidRPr="00873171">
        <w:t xml:space="preserve"> blíže viz Berman Group</w:t>
      </w:r>
      <w:r w:rsidRPr="00AF1407">
        <w:rPr>
          <w:i/>
        </w:rPr>
        <w:t>.</w:t>
      </w:r>
      <w:r>
        <w:t xml:space="preserve"> </w:t>
      </w:r>
      <w:r w:rsidRPr="005C1F93">
        <w:rPr>
          <w:i/>
        </w:rPr>
        <w:t>Mapování hodnotových řetězců firem Karlovarského kraje</w:t>
      </w:r>
      <w:r>
        <w:rPr>
          <w:i/>
        </w:rPr>
        <w:t xml:space="preserve">. </w:t>
      </w:r>
      <w:r>
        <w:t>Praha, 2010.</w:t>
      </w:r>
    </w:p>
  </w:footnote>
  <w:footnote w:id="4">
    <w:p w:rsidR="0095288C" w:rsidRDefault="0095288C" w:rsidP="00481437">
      <w:pPr>
        <w:pStyle w:val="footnotedescription"/>
        <w:ind w:left="0"/>
      </w:pPr>
      <w:r w:rsidRPr="00481437">
        <w:rPr>
          <w:rFonts w:cs="Times New Roman"/>
          <w:color w:val="auto"/>
          <w:szCs w:val="20"/>
          <w:vertAlign w:val="superscript"/>
        </w:rPr>
        <w:footnoteRef/>
      </w:r>
      <w:r w:rsidRPr="00481437">
        <w:rPr>
          <w:rFonts w:cs="Times New Roman"/>
          <w:color w:val="auto"/>
          <w:szCs w:val="20"/>
        </w:rPr>
        <w:t xml:space="preserve"> Berman Group</w:t>
      </w:r>
      <w:r>
        <w:rPr>
          <w:rFonts w:cs="Times New Roman"/>
          <w:color w:val="auto"/>
          <w:szCs w:val="20"/>
        </w:rPr>
        <w:t>.</w:t>
      </w:r>
      <w:r w:rsidRPr="00481437">
        <w:rPr>
          <w:rFonts w:cs="Times New Roman"/>
          <w:color w:val="auto"/>
          <w:szCs w:val="20"/>
        </w:rPr>
        <w:t xml:space="preserve"> </w:t>
      </w:r>
      <w:r w:rsidRPr="00481437">
        <w:rPr>
          <w:rFonts w:cs="Times New Roman"/>
          <w:i/>
          <w:color w:val="auto"/>
          <w:szCs w:val="20"/>
        </w:rPr>
        <w:t>Mapování hodnotových řetězců firem Karlovarského kraje</w:t>
      </w:r>
      <w:r w:rsidRPr="00481437">
        <w:rPr>
          <w:rFonts w:cs="Times New Roman"/>
          <w:color w:val="auto"/>
          <w:szCs w:val="20"/>
        </w:rPr>
        <w:t>.</w:t>
      </w:r>
      <w:r>
        <w:rPr>
          <w:rFonts w:cs="Times New Roman"/>
          <w:color w:val="auto"/>
          <w:szCs w:val="20"/>
        </w:rPr>
        <w:t xml:space="preserve"> Praha,</w:t>
      </w:r>
      <w:r w:rsidRPr="00481437">
        <w:rPr>
          <w:rFonts w:cs="Times New Roman"/>
          <w:color w:val="auto"/>
          <w:szCs w:val="20"/>
        </w:rPr>
        <w:t xml:space="preserve"> 2010.</w:t>
      </w:r>
      <w:r>
        <w:rPr>
          <w:sz w:val="22"/>
        </w:rPr>
        <w:t xml:space="preserve"> </w:t>
      </w:r>
    </w:p>
  </w:footnote>
  <w:footnote w:id="5">
    <w:p w:rsidR="0095288C" w:rsidRPr="00B7470F" w:rsidRDefault="0095288C" w:rsidP="00267549">
      <w:pPr>
        <w:pStyle w:val="Textpoznpodarou"/>
        <w:rPr>
          <w:rStyle w:val="Zdraznnjemn"/>
          <w:i w:val="0"/>
        </w:rPr>
      </w:pPr>
      <w:r w:rsidRPr="00CA7B90">
        <w:rPr>
          <w:rStyle w:val="Znakapoznpodarou"/>
          <w:sz w:val="18"/>
          <w:szCs w:val="18"/>
        </w:rPr>
        <w:footnoteRef/>
      </w:r>
      <w:r w:rsidRPr="00CA7B90">
        <w:rPr>
          <w:sz w:val="18"/>
          <w:szCs w:val="18"/>
        </w:rPr>
        <w:t xml:space="preserve"> </w:t>
      </w:r>
      <w:r w:rsidRPr="00B7470F">
        <w:rPr>
          <w:rStyle w:val="Zdraznnjemn"/>
          <w:i w:val="0"/>
        </w:rPr>
        <w:t>Zde patří: Výroba základních kovů, hutních a kovodělných výrobků (OKEČ) a Výroba kovových konstrukcí a kovodělných výrobků, kromě strojů a zařízení (NACE)</w:t>
      </w:r>
      <w:r>
        <w:rPr>
          <w:rStyle w:val="Zdraznnjemn"/>
          <w:i w:val="0"/>
        </w:rPr>
        <w:t>.</w:t>
      </w:r>
    </w:p>
  </w:footnote>
  <w:footnote w:id="6">
    <w:p w:rsidR="0095288C" w:rsidRDefault="0095288C" w:rsidP="00267549">
      <w:pPr>
        <w:pStyle w:val="Textpoznpodarou"/>
      </w:pPr>
      <w:r w:rsidRPr="008B1EE8">
        <w:rPr>
          <w:rStyle w:val="Zdraznnjemn"/>
          <w:i w:val="0"/>
          <w:vertAlign w:val="superscript"/>
        </w:rPr>
        <w:footnoteRef/>
      </w:r>
      <w:r w:rsidRPr="008B1EE8">
        <w:rPr>
          <w:rStyle w:val="Zdraznnjemn"/>
          <w:i w:val="0"/>
          <w:vertAlign w:val="superscript"/>
        </w:rPr>
        <w:t xml:space="preserve"> </w:t>
      </w:r>
      <w:r w:rsidRPr="00B7470F">
        <w:rPr>
          <w:rStyle w:val="Zdraznnjemn"/>
          <w:i w:val="0"/>
        </w:rPr>
        <w:t>Zde patří: Výroba potravinářských výrobků a nápojů, tabákových výrobků (OKEČ) a Výroba nápojů (NACE)</w:t>
      </w:r>
      <w:r>
        <w:rPr>
          <w:rStyle w:val="Zdraznnjemn"/>
          <w:i w:val="0"/>
        </w:rPr>
        <w:t>.</w:t>
      </w:r>
    </w:p>
  </w:footnote>
  <w:footnote w:id="7">
    <w:p w:rsidR="0095288C" w:rsidRPr="00273579" w:rsidRDefault="0095288C" w:rsidP="00495E3A">
      <w:pPr>
        <w:spacing w:after="160" w:line="256" w:lineRule="auto"/>
        <w:rPr>
          <w:rStyle w:val="Zdraznnjemn"/>
        </w:rPr>
      </w:pPr>
      <w:r w:rsidRPr="00273579">
        <w:rPr>
          <w:rStyle w:val="Zdraznnjemn"/>
          <w:vertAlign w:val="superscript"/>
        </w:rPr>
        <w:footnoteRef/>
      </w:r>
      <w:r w:rsidRPr="00273579">
        <w:rPr>
          <w:rStyle w:val="Zdraznnjemn"/>
        </w:rPr>
        <w:t xml:space="preserve"> </w:t>
      </w:r>
      <w:r w:rsidRPr="00273579">
        <w:rPr>
          <w:rStyle w:val="Zdraznnjemn"/>
          <w:i w:val="0"/>
        </w:rPr>
        <w:t xml:space="preserve">Více viz </w:t>
      </w:r>
      <w:hyperlink r:id="rId1" w:history="1">
        <w:r w:rsidRPr="00273579">
          <w:rPr>
            <w:rStyle w:val="Zdraznnjemn"/>
            <w:rFonts w:eastAsia="Calibri"/>
            <w:i w:val="0"/>
          </w:rPr>
          <w:t>https://www.dataplan.info/img_upload/7bdb1584e3b8a53d337518d988763f8d/nskb-150216-final.pdf</w:t>
        </w:r>
      </w:hyperlink>
      <w:r w:rsidRPr="00273579">
        <w:rPr>
          <w:rStyle w:val="Zdraznnjemn"/>
          <w:i w:val="0"/>
        </w:rPr>
        <w:t>.</w:t>
      </w:r>
    </w:p>
  </w:footnote>
  <w:footnote w:id="8">
    <w:p w:rsidR="0095288C" w:rsidRDefault="0095288C" w:rsidP="00495E3A">
      <w:pPr>
        <w:spacing w:after="160" w:line="256" w:lineRule="auto"/>
        <w:jc w:val="left"/>
      </w:pPr>
      <w:r>
        <w:rPr>
          <w:sz w:val="20"/>
          <w:vertAlign w:val="superscript"/>
        </w:rPr>
        <w:footnoteRef/>
      </w:r>
      <w:r>
        <w:rPr>
          <w:sz w:val="20"/>
        </w:rPr>
        <w:t xml:space="preserve"> Více viz </w:t>
      </w:r>
      <w:hyperlink r:id="rId2" w:history="1">
        <w:r w:rsidRPr="00667693">
          <w:rPr>
            <w:rStyle w:val="Hypertextovodkaz"/>
            <w:rFonts w:eastAsia="Calibri"/>
            <w:color w:val="auto"/>
            <w:sz w:val="20"/>
            <w:u w:val="none"/>
          </w:rPr>
          <w:t>http://www.consilium.europa.eu/cs/policies/cyber-security/</w:t>
        </w:r>
      </w:hyperlink>
      <w:r>
        <w:t>.</w:t>
      </w:r>
    </w:p>
  </w:footnote>
  <w:footnote w:id="9">
    <w:p w:rsidR="0095288C" w:rsidRDefault="0095288C" w:rsidP="00495E3A">
      <w:pPr>
        <w:pStyle w:val="Textpoznpodarou"/>
        <w:rPr>
          <w:i/>
        </w:rPr>
      </w:pPr>
      <w:r>
        <w:rPr>
          <w:rStyle w:val="Znakapoznpodarou"/>
          <w:i/>
        </w:rPr>
        <w:footnoteRef/>
      </w:r>
      <w:r>
        <w:rPr>
          <w:i/>
        </w:rPr>
        <w:t xml:space="preserve"> </w:t>
      </w:r>
      <w:r>
        <w:rPr>
          <w:rStyle w:val="CittHTML"/>
        </w:rPr>
        <w:t>www.knihovnakv.cz/soubor/bezpecnost-v-online-prostredi</w:t>
      </w:r>
    </w:p>
  </w:footnote>
  <w:footnote w:id="10">
    <w:p w:rsidR="0095288C" w:rsidRDefault="0095288C" w:rsidP="00F5122D">
      <w:pPr>
        <w:pStyle w:val="Textpoznpodarou"/>
        <w:rPr>
          <w:sz w:val="18"/>
        </w:rPr>
      </w:pPr>
      <w:r>
        <w:rPr>
          <w:rStyle w:val="Znakapoznpodarou"/>
          <w:sz w:val="18"/>
        </w:rPr>
        <w:footnoteRef/>
      </w:r>
      <w:r>
        <w:rPr>
          <w:sz w:val="18"/>
        </w:rPr>
        <w:t xml:space="preserve"> </w:t>
      </w:r>
      <w:r>
        <w:rPr>
          <w:sz w:val="18"/>
          <w:lang w:eastAsia="en-US"/>
        </w:rPr>
        <w:t xml:space="preserve">Aktuálně má tento spolek devět členů, a to Karlovarský kraj, Letiště Karlovy Vary a města Karlovy Vary, Sokolov, Cheb, Loket, Jáchymov, Ostrov a Aš. Ve správní radě, která čítá třináct členů, je zastoupeno široké spektrum odborníků z oblasti cestovního ruchu (např. ředitelé infocenter, muzeí, představitelé hotelů, lázní, zimních krušnohorských středisek, okrajových částí regionu atd.). </w:t>
      </w:r>
    </w:p>
  </w:footnote>
  <w:footnote w:id="11">
    <w:p w:rsidR="0095288C" w:rsidRDefault="0095288C" w:rsidP="00F5122D">
      <w:pPr>
        <w:pStyle w:val="Textpoznpodarou"/>
        <w:rPr>
          <w:sz w:val="18"/>
          <w:szCs w:val="18"/>
        </w:rPr>
      </w:pPr>
      <w:r>
        <w:rPr>
          <w:rStyle w:val="Znakapoznpodarou"/>
          <w:sz w:val="18"/>
          <w:szCs w:val="18"/>
        </w:rPr>
        <w:footnoteRef/>
      </w:r>
      <w:r>
        <w:rPr>
          <w:sz w:val="18"/>
          <w:szCs w:val="18"/>
        </w:rPr>
        <w:t xml:space="preserve"> http://www.zivykraj.cz/cz/</w:t>
      </w:r>
    </w:p>
  </w:footnote>
  <w:footnote w:id="12">
    <w:p w:rsidR="0095288C" w:rsidRDefault="0095288C" w:rsidP="00F5122D">
      <w:pPr>
        <w:pStyle w:val="Textpoznpodarou"/>
      </w:pPr>
      <w:r>
        <w:rPr>
          <w:rStyle w:val="Znakapoznpodarou"/>
          <w:sz w:val="18"/>
          <w:szCs w:val="18"/>
        </w:rPr>
        <w:footnoteRef/>
      </w:r>
      <w:r>
        <w:rPr>
          <w:sz w:val="18"/>
          <w:szCs w:val="18"/>
        </w:rPr>
        <w:t xml:space="preserve"> opatření 2.1 „Podpora činnosti destinačních společností“</w:t>
      </w:r>
    </w:p>
  </w:footnote>
  <w:footnote w:id="13">
    <w:p w:rsidR="0095288C" w:rsidRDefault="0095288C" w:rsidP="00F5122D">
      <w:pPr>
        <w:pStyle w:val="Textpoznpodarou"/>
      </w:pPr>
      <w:r>
        <w:rPr>
          <w:rStyle w:val="Znakapoznpodarou"/>
          <w:sz w:val="18"/>
        </w:rPr>
        <w:footnoteRef/>
      </w:r>
      <w:r>
        <w:rPr>
          <w:sz w:val="18"/>
        </w:rPr>
        <w:t xml:space="preserve"> </w:t>
      </w:r>
      <w:r>
        <w:rPr>
          <w:sz w:val="18"/>
          <w:lang w:eastAsia="en-US"/>
        </w:rPr>
        <w:t>Program by měl být aktualizován do konce roku 2017.</w:t>
      </w:r>
    </w:p>
  </w:footnote>
  <w:footnote w:id="14">
    <w:p w:rsidR="0095288C" w:rsidRPr="000706B8" w:rsidRDefault="0095288C" w:rsidP="00F5122D">
      <w:pPr>
        <w:pStyle w:val="Textpoznpodarou"/>
      </w:pPr>
      <w:r w:rsidRPr="000706B8">
        <w:rPr>
          <w:sz w:val="18"/>
          <w:vertAlign w:val="superscript"/>
          <w:lang w:eastAsia="en-US"/>
        </w:rPr>
        <w:footnoteRef/>
      </w:r>
      <w:r w:rsidRPr="00D27B0E">
        <w:rPr>
          <w:sz w:val="18"/>
          <w:lang w:eastAsia="en-US"/>
        </w:rPr>
        <w:t xml:space="preserve"> </w:t>
      </w:r>
      <w:r w:rsidRPr="00D27B0E">
        <w:rPr>
          <w:iCs/>
          <w:sz w:val="18"/>
          <w:lang w:eastAsia="en-US"/>
        </w:rPr>
        <w:t>Údaje před rokem 2012 nejsou srovnatelné z důvodu revize dat o kapacitách a návštěvnosti za roky 2012 a 2013, ke kterým došlo v rámci projektu Ministerstva pro místní rozvoj „Zkvalitnění informací o vybraných sektorech cestovního ruchu".</w:t>
      </w:r>
    </w:p>
  </w:footnote>
  <w:footnote w:id="15">
    <w:p w:rsidR="0095288C" w:rsidRDefault="0095288C" w:rsidP="00F5122D">
      <w:pPr>
        <w:pStyle w:val="Textpoznpodarou"/>
      </w:pPr>
      <w:r>
        <w:rPr>
          <w:rStyle w:val="Znakapoznpodarou"/>
        </w:rPr>
        <w:footnoteRef/>
      </w:r>
      <w:r>
        <w:t xml:space="preserve"> http://www.carlsbad-convention.cz/cz/</w:t>
      </w:r>
    </w:p>
  </w:footnote>
  <w:footnote w:id="16">
    <w:p w:rsidR="0095288C" w:rsidRDefault="0095288C" w:rsidP="00F5122D">
      <w:pPr>
        <w:tabs>
          <w:tab w:val="left" w:pos="1507"/>
        </w:tabs>
        <w:spacing w:before="240" w:after="0"/>
        <w:rPr>
          <w:sz w:val="18"/>
          <w:szCs w:val="18"/>
        </w:rPr>
      </w:pPr>
      <w:r>
        <w:rPr>
          <w:rStyle w:val="Znakapoznpodarou"/>
          <w:sz w:val="18"/>
          <w:szCs w:val="18"/>
        </w:rPr>
        <w:footnoteRef/>
      </w:r>
      <w:r>
        <w:rPr>
          <w:sz w:val="18"/>
          <w:szCs w:val="18"/>
        </w:rPr>
        <w:t xml:space="preserve"> Návštěvníkům KK je k dispozici mapový portál (</w:t>
      </w:r>
      <w:hyperlink r:id="rId3" w:history="1">
        <w:r>
          <w:rPr>
            <w:rStyle w:val="Hypertextovodkaz"/>
            <w:rFonts w:eastAsia="Calibri"/>
            <w:sz w:val="18"/>
            <w:szCs w:val="18"/>
          </w:rPr>
          <w:t>http://gis.kr-karlovarsky.cz/klm/</w:t>
        </w:r>
      </w:hyperlink>
      <w:r>
        <w:rPr>
          <w:rStyle w:val="Hypertextovodkaz"/>
          <w:rFonts w:eastAsia="Calibri"/>
          <w:sz w:val="18"/>
          <w:szCs w:val="18"/>
        </w:rPr>
        <w:t>)</w:t>
      </w:r>
      <w:r>
        <w:rPr>
          <w:sz w:val="18"/>
          <w:szCs w:val="18"/>
        </w:rPr>
        <w:t>, na kterém jsou uvedeny lyžařské trasy včetně jejich aktuálního stavu (údržby).</w:t>
      </w:r>
    </w:p>
  </w:footnote>
  <w:footnote w:id="17">
    <w:p w:rsidR="0095288C" w:rsidRDefault="0095288C" w:rsidP="00F5122D">
      <w:pPr>
        <w:tabs>
          <w:tab w:val="left" w:pos="1507"/>
        </w:tabs>
        <w:spacing w:after="0"/>
        <w:rPr>
          <w:sz w:val="18"/>
          <w:szCs w:val="18"/>
        </w:rPr>
      </w:pPr>
      <w:r>
        <w:rPr>
          <w:rStyle w:val="Znakapoznpodarou"/>
          <w:sz w:val="18"/>
          <w:szCs w:val="18"/>
        </w:rPr>
        <w:footnoteRef/>
      </w:r>
      <w:r>
        <w:rPr>
          <w:sz w:val="18"/>
          <w:szCs w:val="18"/>
        </w:rPr>
        <w:t xml:space="preserve"> Páteřní cyklostezka podél Ohře (cyklostezka Ohře) je dlouhá 110 km a vede údolím řeky Ohře od hranice s Německem až po hranici s Ústeckým krajem. Tato cyklostezka je napojena na Valdštejnovu cyklostezku v Bavorsku označenou jako Wallenstein-Radweg (Eger-Wondreb-Kösseine). Po překročení hranic do Česka je trasa značená cykloturistickým značením s číslem 6.</w:t>
      </w:r>
    </w:p>
  </w:footnote>
  <w:footnote w:id="18">
    <w:p w:rsidR="0095288C" w:rsidRDefault="0095288C" w:rsidP="00F5122D">
      <w:pPr>
        <w:pStyle w:val="Textpoznpodarou"/>
      </w:pPr>
      <w:r>
        <w:rPr>
          <w:rStyle w:val="Znakapoznpodarou"/>
          <w:sz w:val="18"/>
          <w:szCs w:val="18"/>
        </w:rPr>
        <w:footnoteRef/>
      </w:r>
      <w:r>
        <w:rPr>
          <w:sz w:val="18"/>
          <w:szCs w:val="18"/>
        </w:rPr>
        <w:t xml:space="preserve"> http://www.kr-karlovarsky.cz/cyklo/Stranky/uvod.aspx</w:t>
      </w:r>
    </w:p>
  </w:footnote>
  <w:footnote w:id="19">
    <w:p w:rsidR="0095288C" w:rsidRDefault="0095288C" w:rsidP="00F5122D">
      <w:pPr>
        <w:pStyle w:val="Textpoznpodarou"/>
      </w:pPr>
      <w:r>
        <w:rPr>
          <w:rStyle w:val="Znakapoznpodarou"/>
        </w:rPr>
        <w:footnoteRef/>
      </w:r>
      <w:r>
        <w:t xml:space="preserve"> Nicméně poslední data jsou 6 let stará a nyní je aktualizována cca jedna třetina. Do budoucna by mělo dojít k postupné aktualizaci dalších etap.</w:t>
      </w:r>
    </w:p>
  </w:footnote>
  <w:footnote w:id="20">
    <w:p w:rsidR="0095288C" w:rsidRDefault="0095288C" w:rsidP="00F5122D">
      <w:pPr>
        <w:pStyle w:val="Textpoznpodarou"/>
      </w:pPr>
      <w:r>
        <w:rPr>
          <w:rStyle w:val="Znakapoznpodarou"/>
        </w:rPr>
        <w:footnoteRef/>
      </w:r>
      <w:r>
        <w:t xml:space="preserve"> </w:t>
      </w:r>
      <w:r>
        <w:rPr>
          <w:sz w:val="18"/>
          <w:szCs w:val="18"/>
        </w:rPr>
        <w:t>Seznam aktuální ke dni 15. 3. 2017.</w:t>
      </w:r>
    </w:p>
  </w:footnote>
  <w:footnote w:id="21">
    <w:p w:rsidR="0095288C" w:rsidRDefault="0095288C" w:rsidP="00F5122D">
      <w:pPr>
        <w:pStyle w:val="Textpoznpodarou"/>
        <w:rPr>
          <w:sz w:val="18"/>
          <w:szCs w:val="18"/>
        </w:rPr>
      </w:pPr>
      <w:r>
        <w:rPr>
          <w:rStyle w:val="Znakapoznpodarou"/>
          <w:sz w:val="18"/>
          <w:szCs w:val="18"/>
        </w:rPr>
        <w:footnoteRef/>
      </w:r>
      <w:r>
        <w:rPr>
          <w:sz w:val="18"/>
          <w:szCs w:val="18"/>
        </w:rPr>
        <w:t xml:space="preserve"> N</w:t>
      </w:r>
      <w:r>
        <w:rPr>
          <w:rFonts w:eastAsia="Times New Roman" w:cs="Calibri"/>
          <w:sz w:val="18"/>
          <w:szCs w:val="18"/>
        </w:rPr>
        <w:t>ávrhem nařízení vlády, které nabude účinnosti 1. července 2017, byla prohlášena  národní kulturní památkou.</w:t>
      </w:r>
    </w:p>
  </w:footnote>
  <w:footnote w:id="22">
    <w:p w:rsidR="0095288C" w:rsidRDefault="0095288C" w:rsidP="00F5122D">
      <w:pPr>
        <w:pStyle w:val="Textpoznpodarou"/>
        <w:rPr>
          <w:sz w:val="18"/>
          <w:szCs w:val="18"/>
        </w:rPr>
      </w:pPr>
      <w:r>
        <w:rPr>
          <w:rStyle w:val="Znakapoznpodarou"/>
          <w:sz w:val="18"/>
          <w:szCs w:val="18"/>
        </w:rPr>
        <w:footnoteRef/>
      </w:r>
      <w:r>
        <w:rPr>
          <w:sz w:val="18"/>
          <w:szCs w:val="18"/>
        </w:rPr>
        <w:t xml:space="preserve"> N</w:t>
      </w:r>
      <w:r>
        <w:rPr>
          <w:rFonts w:eastAsia="Times New Roman" w:cs="Calibri"/>
          <w:sz w:val="18"/>
          <w:szCs w:val="18"/>
        </w:rPr>
        <w:t>ávrhem nařízení vlády, které nabude účinnosti 1. července 2017, byl prohlášen  národní kulturní památkou.</w:t>
      </w:r>
    </w:p>
  </w:footnote>
  <w:footnote w:id="23">
    <w:p w:rsidR="0095288C" w:rsidRDefault="0095288C" w:rsidP="00F5122D">
      <w:pPr>
        <w:pStyle w:val="Textpoznpodarou"/>
        <w:rPr>
          <w:sz w:val="18"/>
          <w:szCs w:val="18"/>
        </w:rPr>
      </w:pPr>
      <w:r>
        <w:rPr>
          <w:rStyle w:val="Znakapoznpodarou"/>
          <w:sz w:val="18"/>
          <w:szCs w:val="18"/>
        </w:rPr>
        <w:footnoteRef/>
      </w:r>
      <w:r>
        <w:rPr>
          <w:sz w:val="18"/>
          <w:szCs w:val="18"/>
        </w:rPr>
        <w:t xml:space="preserve"> Více viz http://www.montanregion.cz/cz/nominace-unesco</w:t>
      </w:r>
    </w:p>
  </w:footnote>
  <w:footnote w:id="24">
    <w:p w:rsidR="0095288C" w:rsidRDefault="0095288C" w:rsidP="00F5122D">
      <w:pPr>
        <w:pStyle w:val="Textpoznpodarou"/>
      </w:pPr>
      <w:r>
        <w:rPr>
          <w:rStyle w:val="Znakapoznpodarou"/>
          <w:sz w:val="18"/>
          <w:szCs w:val="18"/>
        </w:rPr>
        <w:footnoteRef/>
      </w:r>
      <w:r>
        <w:rPr>
          <w:sz w:val="18"/>
          <w:szCs w:val="18"/>
        </w:rPr>
        <w:t xml:space="preserve"> Dalšími smluvními státy, které se nominace účastní, jsou Spolková republika Německo, Rakouská republika, Itálie, Belgické království, Francouzská republika, Spojené království Velké Británie a Severního Irska. Více viz https://www.mkcr.cz/novinky-a-media/pokracuji-jednani-k-nadnarodni-nominaci-k-zapisu-evropskych-lazenskych-mest-na-seznam-svetoveho-dedictvi-unesco-4-cs1888.html</w:t>
      </w:r>
    </w:p>
  </w:footnote>
  <w:footnote w:id="25">
    <w:p w:rsidR="0095288C" w:rsidRDefault="0095288C" w:rsidP="00F84B78">
      <w:pPr>
        <w:pStyle w:val="Textpoznpodarou"/>
      </w:pPr>
      <w:r w:rsidRPr="00CA7B90">
        <w:rPr>
          <w:rStyle w:val="Znakapoznpodarou"/>
          <w:sz w:val="18"/>
          <w:szCs w:val="18"/>
        </w:rPr>
        <w:footnoteRef/>
      </w:r>
      <w:r w:rsidRPr="00CA7B90">
        <w:rPr>
          <w:sz w:val="18"/>
          <w:szCs w:val="18"/>
        </w:rPr>
        <w:t xml:space="preserve"> </w:t>
      </w:r>
      <w:r w:rsidRPr="00CC4ADF">
        <w:t>Dle údajů MPSV má zhruba 61 % zaměstnanců v dotčených krajích nižší než průměrnou mzdu (údaj za rok 2014)</w:t>
      </w:r>
      <w:r>
        <w:t>.</w:t>
      </w:r>
    </w:p>
  </w:footnote>
  <w:footnote w:id="26">
    <w:p w:rsidR="0095288C" w:rsidRPr="00AC07A9" w:rsidRDefault="0095288C" w:rsidP="00B174B8">
      <w:pPr>
        <w:pStyle w:val="Textpoznpodarou"/>
      </w:pPr>
      <w:r>
        <w:rPr>
          <w:rStyle w:val="Znakapoznpodarou"/>
        </w:rPr>
        <w:footnoteRef/>
      </w:r>
      <w:r>
        <w:t xml:space="preserve"> </w:t>
      </w:r>
      <w:r w:rsidRPr="00AC07A9">
        <w:t xml:space="preserve">Seznam oborů a jejich kódů je k dispozici na: </w:t>
      </w:r>
      <w:hyperlink r:id="rId4" w:history="1">
        <w:r w:rsidRPr="00AC07A9">
          <w:t>http://www.msmt.cz/vzdelavani/stredni-vzdelavani/ramcove-vzdelavaci-programy</w:t>
        </w:r>
      </w:hyperlink>
      <w:r>
        <w:t>.</w:t>
      </w:r>
    </w:p>
  </w:footnote>
  <w:footnote w:id="27">
    <w:p w:rsidR="0095288C" w:rsidRDefault="0095288C" w:rsidP="00005545">
      <w:r>
        <w:rPr>
          <w:rStyle w:val="Znakapoznpodarou"/>
          <w:rFonts w:eastAsia="Calibri"/>
          <w:sz w:val="16"/>
          <w:szCs w:val="16"/>
        </w:rPr>
        <w:footnoteRef/>
      </w:r>
      <w:r>
        <w:rPr>
          <w:sz w:val="16"/>
          <w:szCs w:val="16"/>
        </w:rPr>
        <w:t xml:space="preserve"> </w:t>
      </w:r>
      <w:r w:rsidRPr="00774D48">
        <w:rPr>
          <w:rStyle w:val="ZdrojdatChar"/>
          <w:i w:val="0"/>
        </w:rPr>
        <w:t>Počty lékařů jsou uvedeny v přepočteném stavu - součet úvazků jednotlivých pracovníků zdravotnických zařízení, přepočtený podle délky plné týdenní pracovní doby, stanovené pro dané zařízení či pracoviště. Obvyklá délka pracovní doby je 40 hodin týdně, dále to může být 39,5 hodin (pracoviště tuberkulózy a respiračních nemocí), nebo 38,75 hodin (2směnný provoz), 37,5 hodin (3směnný nebo nepřetržitý provoz), 33,5 hodin (zdravotní důvody), a nebo 30 hodin (mladiství).</w:t>
      </w:r>
    </w:p>
  </w:footnote>
  <w:footnote w:id="28">
    <w:p w:rsidR="0095288C" w:rsidRPr="00582374" w:rsidRDefault="0095288C" w:rsidP="00005545">
      <w:pPr>
        <w:pStyle w:val="Textpoznpodarou"/>
        <w:rPr>
          <w:i/>
          <w:sz w:val="18"/>
          <w:szCs w:val="22"/>
        </w:rPr>
      </w:pPr>
      <w:r>
        <w:rPr>
          <w:rStyle w:val="Znakapoznpodarou"/>
        </w:rPr>
        <w:footnoteRef/>
      </w:r>
      <w:r w:rsidRPr="001C6358">
        <w:rPr>
          <w:rStyle w:val="ZdrojdatChar"/>
          <w:i w:val="0"/>
        </w:rPr>
        <w:t>Hospicová péče je poskytována třemi formami – domácí hospicová péče, stacionáře – denní pobyty, lůžková hospicová péče.</w:t>
      </w:r>
    </w:p>
  </w:footnote>
  <w:footnote w:id="29">
    <w:p w:rsidR="0095288C" w:rsidRDefault="0095288C" w:rsidP="00005545">
      <w:pPr>
        <w:pStyle w:val="Textpoznpodarou"/>
      </w:pPr>
      <w:r>
        <w:rPr>
          <w:rStyle w:val="Znakapoznpodarou"/>
        </w:rPr>
        <w:footnoteRef/>
      </w:r>
      <w:r>
        <w:t xml:space="preserve"> </w:t>
      </w:r>
      <w:r w:rsidRPr="00B77958">
        <w:rPr>
          <w:rStyle w:val="ZdrojdatChar"/>
          <w:i w:val="0"/>
          <w:sz w:val="20"/>
        </w:rPr>
        <w:t>Obecně používaná hranice, nad kterou je již vhodné uvažovat o vysokokapacitním silničním spojení.</w:t>
      </w:r>
    </w:p>
  </w:footnote>
  <w:footnote w:id="30">
    <w:p w:rsidR="0095288C" w:rsidRPr="001E2F21" w:rsidRDefault="0095288C" w:rsidP="00005545">
      <w:pPr>
        <w:pStyle w:val="Textpoznpodarou"/>
      </w:pPr>
      <w:r>
        <w:rPr>
          <w:rStyle w:val="Znakapoznpodarou"/>
        </w:rPr>
        <w:footnoteRef/>
      </w:r>
      <w:r>
        <w:t xml:space="preserve"> </w:t>
      </w:r>
      <w:r w:rsidRPr="001E2F21">
        <w:t xml:space="preserve">Stát dle tohoto zákona přispěje objemem finančních prostředků </w:t>
      </w:r>
      <w:r>
        <w:t xml:space="preserve">v </w:t>
      </w:r>
      <w:r w:rsidRPr="001E2F21">
        <w:t>takové výši, v jaké jsou shromážděny prostředky jednotlivými zapojenými subjekty v rámci určitého regionu</w:t>
      </w:r>
      <w:r>
        <w:t>.</w:t>
      </w:r>
    </w:p>
  </w:footnote>
  <w:footnote w:id="31">
    <w:p w:rsidR="0095288C" w:rsidRDefault="0095288C" w:rsidP="0038370F">
      <w:pPr>
        <w:pStyle w:val="Textpoznpodarou"/>
      </w:pPr>
      <w:r>
        <w:rPr>
          <w:rStyle w:val="Znakapoznpodarou"/>
        </w:rPr>
        <w:footnoteRef/>
      </w:r>
      <w:r>
        <w:t xml:space="preserve"> </w:t>
      </w:r>
      <w:r w:rsidRPr="00A073D8">
        <w:t>REZZO 1: velké stacionární zdroje znečišťování, REZZO 2: střední stacionární zdroje znečišťování, REZZO 3: malé stacionární zdroje znečišťování, REZZO 4: mobilní zdroje znečišťování.</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1927C32"/>
    <w:multiLevelType w:val="hybridMultilevel"/>
    <w:tmpl w:val="D29649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B56B9F"/>
    <w:multiLevelType w:val="hybridMultilevel"/>
    <w:tmpl w:val="11AE7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E35258"/>
    <w:multiLevelType w:val="hybridMultilevel"/>
    <w:tmpl w:val="6AF24E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9043F2"/>
    <w:multiLevelType w:val="hybridMultilevel"/>
    <w:tmpl w:val="DF86A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9C1654"/>
    <w:multiLevelType w:val="hybridMultilevel"/>
    <w:tmpl w:val="8BC0AA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676F66"/>
    <w:multiLevelType w:val="hybridMultilevel"/>
    <w:tmpl w:val="FB1CF456"/>
    <w:lvl w:ilvl="0" w:tplc="A8EABEB6">
      <w:start w:val="3"/>
      <w:numFmt w:val="bullet"/>
      <w:lvlText w:val="-"/>
      <w:lvlJc w:val="left"/>
      <w:pPr>
        <w:ind w:left="1713" w:hanging="360"/>
      </w:pPr>
      <w:rPr>
        <w:rFonts w:ascii="Arial" w:eastAsia="Times New Roman" w:hAnsi="Arial" w:cs="Times New Roman" w:hint="default"/>
      </w:rPr>
    </w:lvl>
    <w:lvl w:ilvl="1" w:tplc="04050003">
      <w:start w:val="1"/>
      <w:numFmt w:val="bullet"/>
      <w:lvlText w:val="o"/>
      <w:lvlJc w:val="left"/>
      <w:pPr>
        <w:ind w:left="2433" w:hanging="360"/>
      </w:pPr>
      <w:rPr>
        <w:rFonts w:ascii="Courier New" w:hAnsi="Courier New" w:cs="Courier New" w:hint="default"/>
      </w:rPr>
    </w:lvl>
    <w:lvl w:ilvl="2" w:tplc="04050005">
      <w:start w:val="1"/>
      <w:numFmt w:val="bullet"/>
      <w:lvlText w:val=""/>
      <w:lvlJc w:val="left"/>
      <w:pPr>
        <w:ind w:left="3153" w:hanging="360"/>
      </w:pPr>
      <w:rPr>
        <w:rFonts w:ascii="Wingdings" w:hAnsi="Wingdings" w:hint="default"/>
      </w:rPr>
    </w:lvl>
    <w:lvl w:ilvl="3" w:tplc="04050001">
      <w:start w:val="1"/>
      <w:numFmt w:val="bullet"/>
      <w:lvlText w:val=""/>
      <w:lvlJc w:val="left"/>
      <w:pPr>
        <w:ind w:left="3873" w:hanging="360"/>
      </w:pPr>
      <w:rPr>
        <w:rFonts w:ascii="Symbol" w:hAnsi="Symbol" w:hint="default"/>
      </w:rPr>
    </w:lvl>
    <w:lvl w:ilvl="4" w:tplc="04050003">
      <w:start w:val="1"/>
      <w:numFmt w:val="bullet"/>
      <w:lvlText w:val="o"/>
      <w:lvlJc w:val="left"/>
      <w:pPr>
        <w:ind w:left="4593" w:hanging="360"/>
      </w:pPr>
      <w:rPr>
        <w:rFonts w:ascii="Courier New" w:hAnsi="Courier New" w:cs="Courier New" w:hint="default"/>
      </w:rPr>
    </w:lvl>
    <w:lvl w:ilvl="5" w:tplc="04050005">
      <w:start w:val="1"/>
      <w:numFmt w:val="bullet"/>
      <w:lvlText w:val=""/>
      <w:lvlJc w:val="left"/>
      <w:pPr>
        <w:ind w:left="5313" w:hanging="360"/>
      </w:pPr>
      <w:rPr>
        <w:rFonts w:ascii="Wingdings" w:hAnsi="Wingdings" w:hint="default"/>
      </w:rPr>
    </w:lvl>
    <w:lvl w:ilvl="6" w:tplc="04050001">
      <w:start w:val="1"/>
      <w:numFmt w:val="bullet"/>
      <w:lvlText w:val=""/>
      <w:lvlJc w:val="left"/>
      <w:pPr>
        <w:ind w:left="6033" w:hanging="360"/>
      </w:pPr>
      <w:rPr>
        <w:rFonts w:ascii="Symbol" w:hAnsi="Symbol" w:hint="default"/>
      </w:rPr>
    </w:lvl>
    <w:lvl w:ilvl="7" w:tplc="04050003">
      <w:start w:val="1"/>
      <w:numFmt w:val="bullet"/>
      <w:lvlText w:val="o"/>
      <w:lvlJc w:val="left"/>
      <w:pPr>
        <w:ind w:left="6753" w:hanging="360"/>
      </w:pPr>
      <w:rPr>
        <w:rFonts w:ascii="Courier New" w:hAnsi="Courier New" w:cs="Courier New" w:hint="default"/>
      </w:rPr>
    </w:lvl>
    <w:lvl w:ilvl="8" w:tplc="04050005">
      <w:start w:val="1"/>
      <w:numFmt w:val="bullet"/>
      <w:lvlText w:val=""/>
      <w:lvlJc w:val="left"/>
      <w:pPr>
        <w:ind w:left="7473" w:hanging="360"/>
      </w:pPr>
      <w:rPr>
        <w:rFonts w:ascii="Wingdings" w:hAnsi="Wingdings" w:hint="default"/>
      </w:rPr>
    </w:lvl>
  </w:abstractNum>
  <w:abstractNum w:abstractNumId="7" w15:restartNumberingAfterBreak="0">
    <w:nsid w:val="1B00179B"/>
    <w:multiLevelType w:val="hybridMultilevel"/>
    <w:tmpl w:val="BAA86A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F374749"/>
    <w:multiLevelType w:val="hybridMultilevel"/>
    <w:tmpl w:val="1EBA0DD2"/>
    <w:lvl w:ilvl="0" w:tplc="69487A20">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C7A0A0E"/>
    <w:multiLevelType w:val="hybridMultilevel"/>
    <w:tmpl w:val="CD3E51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032579"/>
    <w:multiLevelType w:val="hybridMultilevel"/>
    <w:tmpl w:val="8B5CC08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6E61CC"/>
    <w:multiLevelType w:val="hybridMultilevel"/>
    <w:tmpl w:val="89F4D50C"/>
    <w:lvl w:ilvl="0" w:tplc="9010322E">
      <w:start w:val="1"/>
      <w:numFmt w:val="low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E9E4D6E"/>
    <w:multiLevelType w:val="hybridMultilevel"/>
    <w:tmpl w:val="7CDC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913AA5"/>
    <w:multiLevelType w:val="hybridMultilevel"/>
    <w:tmpl w:val="17E4F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2C17A62"/>
    <w:multiLevelType w:val="hybridMultilevel"/>
    <w:tmpl w:val="83B68540"/>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2E0165C"/>
    <w:multiLevelType w:val="hybridMultilevel"/>
    <w:tmpl w:val="1CE61C98"/>
    <w:lvl w:ilvl="0" w:tplc="94949622">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3A77279"/>
    <w:multiLevelType w:val="hybridMultilevel"/>
    <w:tmpl w:val="779AE078"/>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64C717B"/>
    <w:multiLevelType w:val="hybridMultilevel"/>
    <w:tmpl w:val="729AFF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7075E6C"/>
    <w:multiLevelType w:val="hybridMultilevel"/>
    <w:tmpl w:val="267256E8"/>
    <w:lvl w:ilvl="0" w:tplc="04050015">
      <w:start w:val="1"/>
      <w:numFmt w:val="upperLetter"/>
      <w:lvlText w:val="%1."/>
      <w:lvlJc w:val="left"/>
      <w:pPr>
        <w:ind w:left="928"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9FA0D63"/>
    <w:multiLevelType w:val="multilevel"/>
    <w:tmpl w:val="9AEC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A76E5D"/>
    <w:multiLevelType w:val="hybridMultilevel"/>
    <w:tmpl w:val="5C127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CA03A5D"/>
    <w:multiLevelType w:val="hybridMultilevel"/>
    <w:tmpl w:val="62E8F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FB2695D"/>
    <w:multiLevelType w:val="hybridMultilevel"/>
    <w:tmpl w:val="DE1A29D6"/>
    <w:lvl w:ilvl="0" w:tplc="C8DE78E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2884B35"/>
    <w:multiLevelType w:val="hybridMultilevel"/>
    <w:tmpl w:val="C6F09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4780D0A"/>
    <w:multiLevelType w:val="hybridMultilevel"/>
    <w:tmpl w:val="D410F52C"/>
    <w:lvl w:ilvl="0" w:tplc="E48A11F8">
      <w:numFmt w:val="bullet"/>
      <w:lvlText w:val="•"/>
      <w:lvlJc w:val="left"/>
      <w:pPr>
        <w:ind w:left="720" w:hanging="360"/>
      </w:pPr>
      <w:rPr>
        <w:rFonts w:ascii="Calibri" w:eastAsia="Times New Roman" w:hAnsi="Calibri" w:cs="Calibri"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4E32C2F"/>
    <w:multiLevelType w:val="hybridMultilevel"/>
    <w:tmpl w:val="9DE036B4"/>
    <w:lvl w:ilvl="0" w:tplc="A8EABEB6">
      <w:start w:val="3"/>
      <w:numFmt w:val="bullet"/>
      <w:lvlText w:val="-"/>
      <w:lvlJc w:val="left"/>
      <w:pPr>
        <w:ind w:left="720" w:hanging="360"/>
      </w:pPr>
      <w:rPr>
        <w:rFonts w:ascii="Arial" w:eastAsia="Times New Roman"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6AD8358C"/>
    <w:multiLevelType w:val="hybridMultilevel"/>
    <w:tmpl w:val="0898F480"/>
    <w:lvl w:ilvl="0" w:tplc="7676EBD2">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72C4" w:themeColor="accent5"/>
        <w:spacing w:val="0"/>
        <w:w w:val="0"/>
        <w:kern w:val="0"/>
        <w:position w:val="0"/>
        <w:szCs w:val="0"/>
        <w:u w:val="none"/>
        <w:vertAlign w:val="baseline"/>
        <w:em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AF57F62"/>
    <w:multiLevelType w:val="hybridMultilevel"/>
    <w:tmpl w:val="5C70B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B672495"/>
    <w:multiLevelType w:val="hybridMultilevel"/>
    <w:tmpl w:val="48426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CB51C39"/>
    <w:multiLevelType w:val="hybridMultilevel"/>
    <w:tmpl w:val="B31CE7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6E592BF1"/>
    <w:multiLevelType w:val="hybridMultilevel"/>
    <w:tmpl w:val="E9F05A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0E13FE1"/>
    <w:multiLevelType w:val="hybridMultilevel"/>
    <w:tmpl w:val="B6BAA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584C7A"/>
    <w:multiLevelType w:val="hybridMultilevel"/>
    <w:tmpl w:val="73061A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A8C224C"/>
    <w:multiLevelType w:val="hybridMultilevel"/>
    <w:tmpl w:val="C44C53D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A8EABEB6">
      <w:start w:val="3"/>
      <w:numFmt w:val="bullet"/>
      <w:lvlText w:val="-"/>
      <w:lvlJc w:val="left"/>
      <w:pPr>
        <w:tabs>
          <w:tab w:val="num" w:pos="2160"/>
        </w:tabs>
        <w:ind w:left="2160" w:hanging="360"/>
      </w:pPr>
      <w:rPr>
        <w:rFonts w:ascii="Arial" w:eastAsia="Times New Roman" w:hAnsi="Arial"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3"/>
  </w:num>
  <w:num w:numId="3">
    <w:abstractNumId w:val="8"/>
  </w:num>
  <w:num w:numId="4">
    <w:abstractNumId w:val="29"/>
  </w:num>
  <w:num w:numId="5">
    <w:abstractNumId w:val="10"/>
  </w:num>
  <w:num w:numId="6">
    <w:abstractNumId w:val="26"/>
  </w:num>
  <w:num w:numId="7">
    <w:abstractNumId w:val="5"/>
  </w:num>
  <w:num w:numId="8">
    <w:abstractNumId w:val="28"/>
  </w:num>
  <w:num w:numId="9">
    <w:abstractNumId w:val="2"/>
  </w:num>
  <w:num w:numId="10">
    <w:abstractNumId w:val="1"/>
  </w:num>
  <w:num w:numId="11">
    <w:abstractNumId w:val="21"/>
  </w:num>
  <w:num w:numId="12">
    <w:abstractNumId w:val="32"/>
  </w:num>
  <w:num w:numId="13">
    <w:abstractNumId w:val="27"/>
  </w:num>
  <w:num w:numId="14">
    <w:abstractNumId w:val="30"/>
  </w:num>
  <w:num w:numId="15">
    <w:abstractNumId w:val="22"/>
  </w:num>
  <w:num w:numId="16">
    <w:abstractNumId w:val="24"/>
  </w:num>
  <w:num w:numId="17">
    <w:abstractNumId w:val="3"/>
  </w:num>
  <w:num w:numId="18">
    <w:abstractNumId w:val="7"/>
  </w:num>
  <w:num w:numId="19">
    <w:abstractNumId w:val="12"/>
  </w:num>
  <w:num w:numId="20">
    <w:abstractNumId w:val="17"/>
  </w:num>
  <w:num w:numId="21">
    <w:abstractNumId w:val="23"/>
  </w:num>
  <w:num w:numId="22">
    <w:abstractNumId w:val="20"/>
  </w:num>
  <w:num w:numId="23">
    <w:abstractNumId w:val="6"/>
  </w:num>
  <w:num w:numId="24">
    <w:abstractNumId w:val="25"/>
  </w:num>
  <w:num w:numId="25">
    <w:abstractNumId w:val="1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lvlOverride w:ilvl="3"/>
    <w:lvlOverride w:ilvl="4"/>
    <w:lvlOverride w:ilvl="5"/>
    <w:lvlOverride w:ilvl="6"/>
    <w:lvlOverride w:ilvl="7"/>
    <w:lvlOverride w:ilvl="8"/>
  </w:num>
  <w:num w:numId="28">
    <w:abstractNumId w:val="31"/>
  </w:num>
  <w:num w:numId="29">
    <w:abstractNumId w:val="19"/>
  </w:num>
  <w:num w:numId="30">
    <w:abstractNumId w:val="16"/>
    <w:lvlOverride w:ilvl="0">
      <w:startOverride w:val="1"/>
    </w:lvlOverride>
    <w:lvlOverride w:ilvl="1"/>
    <w:lvlOverride w:ilvl="2"/>
    <w:lvlOverride w:ilvl="3"/>
    <w:lvlOverride w:ilvl="4"/>
    <w:lvlOverride w:ilvl="5"/>
    <w:lvlOverride w:ilvl="6"/>
    <w:lvlOverride w:ilvl="7"/>
    <w:lvlOverride w:ilvl="8"/>
  </w:num>
  <w:num w:numId="31">
    <w:abstractNumId w:val="9"/>
  </w:num>
  <w:num w:numId="32">
    <w:abstractNumId w:val="4"/>
  </w:num>
  <w:num w:numId="33">
    <w:abstractNumId w:val="16"/>
  </w:num>
  <w:num w:numId="34">
    <w:abstractNumId w:val="14"/>
  </w:num>
  <w:num w:numId="35">
    <w:abstractNumId w:val="15"/>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D2796"/>
    <w:rsid w:val="00003B2A"/>
    <w:rsid w:val="00005545"/>
    <w:rsid w:val="000118F0"/>
    <w:rsid w:val="0001301B"/>
    <w:rsid w:val="000144AB"/>
    <w:rsid w:val="000302A9"/>
    <w:rsid w:val="000303ED"/>
    <w:rsid w:val="00034D74"/>
    <w:rsid w:val="00037495"/>
    <w:rsid w:val="0004240C"/>
    <w:rsid w:val="00042DF3"/>
    <w:rsid w:val="00042E2A"/>
    <w:rsid w:val="00047C41"/>
    <w:rsid w:val="00050F78"/>
    <w:rsid w:val="00054433"/>
    <w:rsid w:val="000562C0"/>
    <w:rsid w:val="00061BCD"/>
    <w:rsid w:val="00062A34"/>
    <w:rsid w:val="00062B6D"/>
    <w:rsid w:val="00067C74"/>
    <w:rsid w:val="000706B8"/>
    <w:rsid w:val="000818D9"/>
    <w:rsid w:val="00081B7B"/>
    <w:rsid w:val="000830E3"/>
    <w:rsid w:val="00087C0A"/>
    <w:rsid w:val="00091877"/>
    <w:rsid w:val="00094A5B"/>
    <w:rsid w:val="000973B0"/>
    <w:rsid w:val="000A5487"/>
    <w:rsid w:val="000A5C87"/>
    <w:rsid w:val="000B3B9C"/>
    <w:rsid w:val="000B48E5"/>
    <w:rsid w:val="000C1DFD"/>
    <w:rsid w:val="000D104C"/>
    <w:rsid w:val="000F4F6F"/>
    <w:rsid w:val="001000F8"/>
    <w:rsid w:val="001058E2"/>
    <w:rsid w:val="00113AC3"/>
    <w:rsid w:val="001305BB"/>
    <w:rsid w:val="00131A3A"/>
    <w:rsid w:val="00133897"/>
    <w:rsid w:val="0013526D"/>
    <w:rsid w:val="00140BE2"/>
    <w:rsid w:val="001457C3"/>
    <w:rsid w:val="00151586"/>
    <w:rsid w:val="001523B6"/>
    <w:rsid w:val="00157AF9"/>
    <w:rsid w:val="0016180B"/>
    <w:rsid w:val="001640FB"/>
    <w:rsid w:val="00167928"/>
    <w:rsid w:val="00174F2F"/>
    <w:rsid w:val="00177408"/>
    <w:rsid w:val="0018538F"/>
    <w:rsid w:val="00186372"/>
    <w:rsid w:val="001A2A22"/>
    <w:rsid w:val="001A4F8F"/>
    <w:rsid w:val="001A5B25"/>
    <w:rsid w:val="001A7027"/>
    <w:rsid w:val="001A798C"/>
    <w:rsid w:val="001B20A8"/>
    <w:rsid w:val="001B6290"/>
    <w:rsid w:val="001B7574"/>
    <w:rsid w:val="001C3294"/>
    <w:rsid w:val="001C4DDC"/>
    <w:rsid w:val="001C6358"/>
    <w:rsid w:val="001C6745"/>
    <w:rsid w:val="001D286C"/>
    <w:rsid w:val="001D2FF3"/>
    <w:rsid w:val="001D343C"/>
    <w:rsid w:val="001D7893"/>
    <w:rsid w:val="001E1A7E"/>
    <w:rsid w:val="001E2F21"/>
    <w:rsid w:val="001E4427"/>
    <w:rsid w:val="001F2DC4"/>
    <w:rsid w:val="001F383C"/>
    <w:rsid w:val="001F44A5"/>
    <w:rsid w:val="002053B0"/>
    <w:rsid w:val="00206FFC"/>
    <w:rsid w:val="00212310"/>
    <w:rsid w:val="00212389"/>
    <w:rsid w:val="00216E9C"/>
    <w:rsid w:val="002172C6"/>
    <w:rsid w:val="00224A2D"/>
    <w:rsid w:val="002318F7"/>
    <w:rsid w:val="00231A32"/>
    <w:rsid w:val="00231B39"/>
    <w:rsid w:val="002347E5"/>
    <w:rsid w:val="002354F4"/>
    <w:rsid w:val="002401E2"/>
    <w:rsid w:val="002421CD"/>
    <w:rsid w:val="0024307F"/>
    <w:rsid w:val="00246423"/>
    <w:rsid w:val="002464CA"/>
    <w:rsid w:val="0025191F"/>
    <w:rsid w:val="00251EE8"/>
    <w:rsid w:val="00252878"/>
    <w:rsid w:val="00253948"/>
    <w:rsid w:val="00257195"/>
    <w:rsid w:val="00264804"/>
    <w:rsid w:val="00267549"/>
    <w:rsid w:val="00273579"/>
    <w:rsid w:val="002747AE"/>
    <w:rsid w:val="00277262"/>
    <w:rsid w:val="00277F6F"/>
    <w:rsid w:val="0028464F"/>
    <w:rsid w:val="002859DB"/>
    <w:rsid w:val="00285F3B"/>
    <w:rsid w:val="0029611D"/>
    <w:rsid w:val="002A1122"/>
    <w:rsid w:val="002A1FD6"/>
    <w:rsid w:val="002A28C0"/>
    <w:rsid w:val="002A5913"/>
    <w:rsid w:val="002A5919"/>
    <w:rsid w:val="002A62B3"/>
    <w:rsid w:val="002B210E"/>
    <w:rsid w:val="002B2792"/>
    <w:rsid w:val="002B344D"/>
    <w:rsid w:val="002B6530"/>
    <w:rsid w:val="002C40B2"/>
    <w:rsid w:val="002D2839"/>
    <w:rsid w:val="002D50D7"/>
    <w:rsid w:val="002D6317"/>
    <w:rsid w:val="002E0A51"/>
    <w:rsid w:val="002E3D6B"/>
    <w:rsid w:val="002F5C39"/>
    <w:rsid w:val="002F684C"/>
    <w:rsid w:val="002F7ABC"/>
    <w:rsid w:val="00300D82"/>
    <w:rsid w:val="00305E3B"/>
    <w:rsid w:val="00311DA1"/>
    <w:rsid w:val="003166F7"/>
    <w:rsid w:val="003230E6"/>
    <w:rsid w:val="003262C4"/>
    <w:rsid w:val="003300EC"/>
    <w:rsid w:val="003348D7"/>
    <w:rsid w:val="003371F1"/>
    <w:rsid w:val="00342B98"/>
    <w:rsid w:val="00343D21"/>
    <w:rsid w:val="00344062"/>
    <w:rsid w:val="00351125"/>
    <w:rsid w:val="00351297"/>
    <w:rsid w:val="00352D2C"/>
    <w:rsid w:val="00352D74"/>
    <w:rsid w:val="00354242"/>
    <w:rsid w:val="00356128"/>
    <w:rsid w:val="00363577"/>
    <w:rsid w:val="00363CA2"/>
    <w:rsid w:val="00364837"/>
    <w:rsid w:val="00364DA8"/>
    <w:rsid w:val="00370E46"/>
    <w:rsid w:val="00372A82"/>
    <w:rsid w:val="00373521"/>
    <w:rsid w:val="0037596A"/>
    <w:rsid w:val="0038034D"/>
    <w:rsid w:val="00380B6B"/>
    <w:rsid w:val="0038370F"/>
    <w:rsid w:val="00387C57"/>
    <w:rsid w:val="00397417"/>
    <w:rsid w:val="003A0F02"/>
    <w:rsid w:val="003A16E7"/>
    <w:rsid w:val="003A313D"/>
    <w:rsid w:val="003A732F"/>
    <w:rsid w:val="003A7558"/>
    <w:rsid w:val="003B151F"/>
    <w:rsid w:val="003B6777"/>
    <w:rsid w:val="003B6A4F"/>
    <w:rsid w:val="003C2F1D"/>
    <w:rsid w:val="003C461D"/>
    <w:rsid w:val="003C4FFB"/>
    <w:rsid w:val="003E4046"/>
    <w:rsid w:val="003E5128"/>
    <w:rsid w:val="003E6BE0"/>
    <w:rsid w:val="003F08E6"/>
    <w:rsid w:val="003F0A55"/>
    <w:rsid w:val="003F0B98"/>
    <w:rsid w:val="00401FF5"/>
    <w:rsid w:val="004071F1"/>
    <w:rsid w:val="00411E2C"/>
    <w:rsid w:val="00412627"/>
    <w:rsid w:val="00412BDE"/>
    <w:rsid w:val="00413814"/>
    <w:rsid w:val="004142CF"/>
    <w:rsid w:val="00414CAC"/>
    <w:rsid w:val="00417743"/>
    <w:rsid w:val="00421244"/>
    <w:rsid w:val="00421335"/>
    <w:rsid w:val="00422029"/>
    <w:rsid w:val="004379B0"/>
    <w:rsid w:val="00441CA8"/>
    <w:rsid w:val="004424FC"/>
    <w:rsid w:val="00445897"/>
    <w:rsid w:val="004478CA"/>
    <w:rsid w:val="0045752A"/>
    <w:rsid w:val="0045797D"/>
    <w:rsid w:val="00461806"/>
    <w:rsid w:val="00471309"/>
    <w:rsid w:val="00472777"/>
    <w:rsid w:val="00481437"/>
    <w:rsid w:val="004915C0"/>
    <w:rsid w:val="00493C78"/>
    <w:rsid w:val="0049403D"/>
    <w:rsid w:val="00495B4D"/>
    <w:rsid w:val="00495E3A"/>
    <w:rsid w:val="004A15B1"/>
    <w:rsid w:val="004A27FC"/>
    <w:rsid w:val="004B0C8E"/>
    <w:rsid w:val="004B56AB"/>
    <w:rsid w:val="004C1534"/>
    <w:rsid w:val="004C4C58"/>
    <w:rsid w:val="004C76C6"/>
    <w:rsid w:val="004D0EC0"/>
    <w:rsid w:val="004D2796"/>
    <w:rsid w:val="004E0D65"/>
    <w:rsid w:val="004E246A"/>
    <w:rsid w:val="004E4996"/>
    <w:rsid w:val="004E6DF5"/>
    <w:rsid w:val="004F2330"/>
    <w:rsid w:val="004F4B06"/>
    <w:rsid w:val="00501794"/>
    <w:rsid w:val="00507713"/>
    <w:rsid w:val="00511A1F"/>
    <w:rsid w:val="00511BDE"/>
    <w:rsid w:val="0052412D"/>
    <w:rsid w:val="005321D0"/>
    <w:rsid w:val="00535DDC"/>
    <w:rsid w:val="00536ECC"/>
    <w:rsid w:val="0054342C"/>
    <w:rsid w:val="00544087"/>
    <w:rsid w:val="0054601B"/>
    <w:rsid w:val="00550447"/>
    <w:rsid w:val="0056155F"/>
    <w:rsid w:val="0056321E"/>
    <w:rsid w:val="005642AD"/>
    <w:rsid w:val="00564668"/>
    <w:rsid w:val="00566314"/>
    <w:rsid w:val="005718A5"/>
    <w:rsid w:val="005774A0"/>
    <w:rsid w:val="005959F2"/>
    <w:rsid w:val="005A2495"/>
    <w:rsid w:val="005A785D"/>
    <w:rsid w:val="005A7EFD"/>
    <w:rsid w:val="005B2E93"/>
    <w:rsid w:val="005B2F5E"/>
    <w:rsid w:val="005B6401"/>
    <w:rsid w:val="005B7484"/>
    <w:rsid w:val="005C0C3A"/>
    <w:rsid w:val="005C2A72"/>
    <w:rsid w:val="005C4721"/>
    <w:rsid w:val="005C70C3"/>
    <w:rsid w:val="005C74E6"/>
    <w:rsid w:val="005C7AB3"/>
    <w:rsid w:val="005D4288"/>
    <w:rsid w:val="005E08B7"/>
    <w:rsid w:val="005E5675"/>
    <w:rsid w:val="005F3C8D"/>
    <w:rsid w:val="005F47FA"/>
    <w:rsid w:val="005F62DE"/>
    <w:rsid w:val="00601980"/>
    <w:rsid w:val="00603139"/>
    <w:rsid w:val="00605243"/>
    <w:rsid w:val="0060599C"/>
    <w:rsid w:val="00613AD3"/>
    <w:rsid w:val="00614EA0"/>
    <w:rsid w:val="00615E1F"/>
    <w:rsid w:val="006212A9"/>
    <w:rsid w:val="0062210B"/>
    <w:rsid w:val="00625850"/>
    <w:rsid w:val="006277EE"/>
    <w:rsid w:val="006323B8"/>
    <w:rsid w:val="0063545E"/>
    <w:rsid w:val="006406B9"/>
    <w:rsid w:val="00640712"/>
    <w:rsid w:val="00651115"/>
    <w:rsid w:val="00664255"/>
    <w:rsid w:val="00667693"/>
    <w:rsid w:val="00670932"/>
    <w:rsid w:val="00673754"/>
    <w:rsid w:val="006805CC"/>
    <w:rsid w:val="006862BD"/>
    <w:rsid w:val="00687480"/>
    <w:rsid w:val="0069280E"/>
    <w:rsid w:val="00692CC5"/>
    <w:rsid w:val="006A2477"/>
    <w:rsid w:val="006A7852"/>
    <w:rsid w:val="006B2086"/>
    <w:rsid w:val="006B5BD5"/>
    <w:rsid w:val="006B6890"/>
    <w:rsid w:val="006B7854"/>
    <w:rsid w:val="006C0707"/>
    <w:rsid w:val="006C1143"/>
    <w:rsid w:val="006C7661"/>
    <w:rsid w:val="006D04B3"/>
    <w:rsid w:val="006D0BE8"/>
    <w:rsid w:val="006D5774"/>
    <w:rsid w:val="006D5A89"/>
    <w:rsid w:val="006D7A6B"/>
    <w:rsid w:val="006E3784"/>
    <w:rsid w:val="006F30DE"/>
    <w:rsid w:val="00700AED"/>
    <w:rsid w:val="007031D9"/>
    <w:rsid w:val="0070627C"/>
    <w:rsid w:val="00706ABE"/>
    <w:rsid w:val="00707299"/>
    <w:rsid w:val="007159D1"/>
    <w:rsid w:val="007174E1"/>
    <w:rsid w:val="00720F3B"/>
    <w:rsid w:val="00721CA4"/>
    <w:rsid w:val="007276DA"/>
    <w:rsid w:val="007309C1"/>
    <w:rsid w:val="00732884"/>
    <w:rsid w:val="00733FD1"/>
    <w:rsid w:val="00736C95"/>
    <w:rsid w:val="00736EE6"/>
    <w:rsid w:val="00740587"/>
    <w:rsid w:val="0074089B"/>
    <w:rsid w:val="00743C73"/>
    <w:rsid w:val="00744509"/>
    <w:rsid w:val="00745CD0"/>
    <w:rsid w:val="00756AF8"/>
    <w:rsid w:val="0075781E"/>
    <w:rsid w:val="00770845"/>
    <w:rsid w:val="00770E17"/>
    <w:rsid w:val="00774D48"/>
    <w:rsid w:val="0077536C"/>
    <w:rsid w:val="0077782A"/>
    <w:rsid w:val="00781500"/>
    <w:rsid w:val="007823AC"/>
    <w:rsid w:val="00782C5E"/>
    <w:rsid w:val="00783496"/>
    <w:rsid w:val="007858AC"/>
    <w:rsid w:val="00785D6E"/>
    <w:rsid w:val="0078682E"/>
    <w:rsid w:val="00796773"/>
    <w:rsid w:val="00797213"/>
    <w:rsid w:val="007A00F8"/>
    <w:rsid w:val="007A1ACF"/>
    <w:rsid w:val="007A5913"/>
    <w:rsid w:val="007A7AEF"/>
    <w:rsid w:val="007C76E1"/>
    <w:rsid w:val="007D0CB4"/>
    <w:rsid w:val="007D354F"/>
    <w:rsid w:val="007D391A"/>
    <w:rsid w:val="007D5520"/>
    <w:rsid w:val="007D57FD"/>
    <w:rsid w:val="007D7682"/>
    <w:rsid w:val="007D7FBC"/>
    <w:rsid w:val="007E3AB5"/>
    <w:rsid w:val="007E563D"/>
    <w:rsid w:val="007F0667"/>
    <w:rsid w:val="007F2A3D"/>
    <w:rsid w:val="007F74E8"/>
    <w:rsid w:val="00800B7B"/>
    <w:rsid w:val="008010CB"/>
    <w:rsid w:val="008036E2"/>
    <w:rsid w:val="008052A2"/>
    <w:rsid w:val="008139AD"/>
    <w:rsid w:val="00815407"/>
    <w:rsid w:val="00815A00"/>
    <w:rsid w:val="008228EC"/>
    <w:rsid w:val="00822CE7"/>
    <w:rsid w:val="008234D7"/>
    <w:rsid w:val="0082656B"/>
    <w:rsid w:val="0082732B"/>
    <w:rsid w:val="008309E7"/>
    <w:rsid w:val="00831C88"/>
    <w:rsid w:val="00843CFE"/>
    <w:rsid w:val="00847C67"/>
    <w:rsid w:val="00850E57"/>
    <w:rsid w:val="00852FBE"/>
    <w:rsid w:val="00855262"/>
    <w:rsid w:val="00863C19"/>
    <w:rsid w:val="00866C5E"/>
    <w:rsid w:val="00870588"/>
    <w:rsid w:val="0088169E"/>
    <w:rsid w:val="00882AB9"/>
    <w:rsid w:val="00893471"/>
    <w:rsid w:val="008965FE"/>
    <w:rsid w:val="008A2314"/>
    <w:rsid w:val="008A5617"/>
    <w:rsid w:val="008A56EE"/>
    <w:rsid w:val="008B0968"/>
    <w:rsid w:val="008B0ACA"/>
    <w:rsid w:val="008B1EE8"/>
    <w:rsid w:val="008B54F3"/>
    <w:rsid w:val="008C14C4"/>
    <w:rsid w:val="008C292E"/>
    <w:rsid w:val="008D05B1"/>
    <w:rsid w:val="008D1C09"/>
    <w:rsid w:val="008D4EB6"/>
    <w:rsid w:val="008D71DA"/>
    <w:rsid w:val="008E0A4B"/>
    <w:rsid w:val="008E284A"/>
    <w:rsid w:val="008E380E"/>
    <w:rsid w:val="008E6C54"/>
    <w:rsid w:val="008F1231"/>
    <w:rsid w:val="008F178E"/>
    <w:rsid w:val="008F7636"/>
    <w:rsid w:val="00906BA1"/>
    <w:rsid w:val="00906DAF"/>
    <w:rsid w:val="009109C6"/>
    <w:rsid w:val="0091137B"/>
    <w:rsid w:val="00922504"/>
    <w:rsid w:val="00925FA0"/>
    <w:rsid w:val="00926B84"/>
    <w:rsid w:val="00927551"/>
    <w:rsid w:val="00930C35"/>
    <w:rsid w:val="00936172"/>
    <w:rsid w:val="0093747C"/>
    <w:rsid w:val="009452CF"/>
    <w:rsid w:val="009469CB"/>
    <w:rsid w:val="009506F2"/>
    <w:rsid w:val="0095288C"/>
    <w:rsid w:val="00953459"/>
    <w:rsid w:val="00955AC0"/>
    <w:rsid w:val="00957C97"/>
    <w:rsid w:val="0096334E"/>
    <w:rsid w:val="00966386"/>
    <w:rsid w:val="00970D76"/>
    <w:rsid w:val="009733E3"/>
    <w:rsid w:val="00983875"/>
    <w:rsid w:val="00987FA5"/>
    <w:rsid w:val="009A0AAB"/>
    <w:rsid w:val="009A4061"/>
    <w:rsid w:val="009A5633"/>
    <w:rsid w:val="009A79D4"/>
    <w:rsid w:val="009B29B2"/>
    <w:rsid w:val="009B420D"/>
    <w:rsid w:val="009B4E31"/>
    <w:rsid w:val="009C000A"/>
    <w:rsid w:val="009C013E"/>
    <w:rsid w:val="009C67A6"/>
    <w:rsid w:val="009D1F83"/>
    <w:rsid w:val="009D2D57"/>
    <w:rsid w:val="009D2F32"/>
    <w:rsid w:val="009D4199"/>
    <w:rsid w:val="009D43D9"/>
    <w:rsid w:val="009D5DD5"/>
    <w:rsid w:val="009E424D"/>
    <w:rsid w:val="009E53DF"/>
    <w:rsid w:val="009F0E91"/>
    <w:rsid w:val="009F3221"/>
    <w:rsid w:val="009F40FF"/>
    <w:rsid w:val="009F6AFF"/>
    <w:rsid w:val="00A06854"/>
    <w:rsid w:val="00A073D8"/>
    <w:rsid w:val="00A0741E"/>
    <w:rsid w:val="00A13FA8"/>
    <w:rsid w:val="00A30B12"/>
    <w:rsid w:val="00A32312"/>
    <w:rsid w:val="00A363A8"/>
    <w:rsid w:val="00A40B3B"/>
    <w:rsid w:val="00A4409C"/>
    <w:rsid w:val="00A506D1"/>
    <w:rsid w:val="00A52E70"/>
    <w:rsid w:val="00A57656"/>
    <w:rsid w:val="00A57959"/>
    <w:rsid w:val="00A57D2E"/>
    <w:rsid w:val="00A636B6"/>
    <w:rsid w:val="00A63983"/>
    <w:rsid w:val="00A64853"/>
    <w:rsid w:val="00A653C7"/>
    <w:rsid w:val="00A661CD"/>
    <w:rsid w:val="00A710FA"/>
    <w:rsid w:val="00A754BC"/>
    <w:rsid w:val="00A75BF6"/>
    <w:rsid w:val="00A77421"/>
    <w:rsid w:val="00A81345"/>
    <w:rsid w:val="00A922DC"/>
    <w:rsid w:val="00AA4D66"/>
    <w:rsid w:val="00AA5D8D"/>
    <w:rsid w:val="00AB2E45"/>
    <w:rsid w:val="00AB6B01"/>
    <w:rsid w:val="00AB7CF7"/>
    <w:rsid w:val="00AC07A9"/>
    <w:rsid w:val="00AC1635"/>
    <w:rsid w:val="00AC1BA4"/>
    <w:rsid w:val="00AC6180"/>
    <w:rsid w:val="00AD26E0"/>
    <w:rsid w:val="00AD4D7F"/>
    <w:rsid w:val="00AE2222"/>
    <w:rsid w:val="00AE54D1"/>
    <w:rsid w:val="00AE582D"/>
    <w:rsid w:val="00AF249A"/>
    <w:rsid w:val="00B03D19"/>
    <w:rsid w:val="00B06899"/>
    <w:rsid w:val="00B1099C"/>
    <w:rsid w:val="00B10A66"/>
    <w:rsid w:val="00B16490"/>
    <w:rsid w:val="00B17067"/>
    <w:rsid w:val="00B174B8"/>
    <w:rsid w:val="00B20089"/>
    <w:rsid w:val="00B250E0"/>
    <w:rsid w:val="00B2569F"/>
    <w:rsid w:val="00B277EB"/>
    <w:rsid w:val="00B33DFE"/>
    <w:rsid w:val="00B35232"/>
    <w:rsid w:val="00B35D32"/>
    <w:rsid w:val="00B36A0E"/>
    <w:rsid w:val="00B41E1A"/>
    <w:rsid w:val="00B4707C"/>
    <w:rsid w:val="00B51303"/>
    <w:rsid w:val="00B527E0"/>
    <w:rsid w:val="00B53879"/>
    <w:rsid w:val="00B711FF"/>
    <w:rsid w:val="00B718B3"/>
    <w:rsid w:val="00B7470F"/>
    <w:rsid w:val="00B77958"/>
    <w:rsid w:val="00B84BDF"/>
    <w:rsid w:val="00B85116"/>
    <w:rsid w:val="00B958E3"/>
    <w:rsid w:val="00BA0959"/>
    <w:rsid w:val="00BA1359"/>
    <w:rsid w:val="00BA731C"/>
    <w:rsid w:val="00BB00DE"/>
    <w:rsid w:val="00BB109F"/>
    <w:rsid w:val="00BB135B"/>
    <w:rsid w:val="00BB1F2F"/>
    <w:rsid w:val="00BB4373"/>
    <w:rsid w:val="00BB67E8"/>
    <w:rsid w:val="00BC014C"/>
    <w:rsid w:val="00BC0DBF"/>
    <w:rsid w:val="00BC20E2"/>
    <w:rsid w:val="00BC218A"/>
    <w:rsid w:val="00BD2174"/>
    <w:rsid w:val="00BD26B9"/>
    <w:rsid w:val="00BD2B95"/>
    <w:rsid w:val="00BD425A"/>
    <w:rsid w:val="00BD65CA"/>
    <w:rsid w:val="00BD752A"/>
    <w:rsid w:val="00BE081B"/>
    <w:rsid w:val="00BE5D35"/>
    <w:rsid w:val="00C03218"/>
    <w:rsid w:val="00C11303"/>
    <w:rsid w:val="00C1403C"/>
    <w:rsid w:val="00C1787D"/>
    <w:rsid w:val="00C239B2"/>
    <w:rsid w:val="00C31229"/>
    <w:rsid w:val="00C34587"/>
    <w:rsid w:val="00C35DA5"/>
    <w:rsid w:val="00C4611F"/>
    <w:rsid w:val="00C51A82"/>
    <w:rsid w:val="00C51C1A"/>
    <w:rsid w:val="00C54BB3"/>
    <w:rsid w:val="00C63F9F"/>
    <w:rsid w:val="00C66655"/>
    <w:rsid w:val="00C6728C"/>
    <w:rsid w:val="00C71487"/>
    <w:rsid w:val="00C844B6"/>
    <w:rsid w:val="00C91F90"/>
    <w:rsid w:val="00C95EC4"/>
    <w:rsid w:val="00C967B8"/>
    <w:rsid w:val="00C97A49"/>
    <w:rsid w:val="00CA0BFA"/>
    <w:rsid w:val="00CA3903"/>
    <w:rsid w:val="00CA5193"/>
    <w:rsid w:val="00CA659B"/>
    <w:rsid w:val="00CB10CF"/>
    <w:rsid w:val="00CB29BD"/>
    <w:rsid w:val="00CB4008"/>
    <w:rsid w:val="00CC03C0"/>
    <w:rsid w:val="00CC4ADF"/>
    <w:rsid w:val="00CC6632"/>
    <w:rsid w:val="00CD0438"/>
    <w:rsid w:val="00CD265D"/>
    <w:rsid w:val="00CD31F4"/>
    <w:rsid w:val="00CD64D2"/>
    <w:rsid w:val="00CD7E94"/>
    <w:rsid w:val="00CE7416"/>
    <w:rsid w:val="00CF2C7C"/>
    <w:rsid w:val="00CF3C6A"/>
    <w:rsid w:val="00D05E50"/>
    <w:rsid w:val="00D12A77"/>
    <w:rsid w:val="00D12D02"/>
    <w:rsid w:val="00D12D2C"/>
    <w:rsid w:val="00D13453"/>
    <w:rsid w:val="00D14439"/>
    <w:rsid w:val="00D153C6"/>
    <w:rsid w:val="00D20FAF"/>
    <w:rsid w:val="00D23A3F"/>
    <w:rsid w:val="00D27B0E"/>
    <w:rsid w:val="00D30EDA"/>
    <w:rsid w:val="00D31382"/>
    <w:rsid w:val="00D330C0"/>
    <w:rsid w:val="00D33E54"/>
    <w:rsid w:val="00D360E1"/>
    <w:rsid w:val="00D36AD1"/>
    <w:rsid w:val="00D40792"/>
    <w:rsid w:val="00D41569"/>
    <w:rsid w:val="00D55DFE"/>
    <w:rsid w:val="00D60D10"/>
    <w:rsid w:val="00D67E53"/>
    <w:rsid w:val="00D77004"/>
    <w:rsid w:val="00D77B2C"/>
    <w:rsid w:val="00D81965"/>
    <w:rsid w:val="00D81A0D"/>
    <w:rsid w:val="00D83666"/>
    <w:rsid w:val="00D83DA7"/>
    <w:rsid w:val="00D854CC"/>
    <w:rsid w:val="00D858C7"/>
    <w:rsid w:val="00D87F68"/>
    <w:rsid w:val="00D96447"/>
    <w:rsid w:val="00D979C9"/>
    <w:rsid w:val="00DA2CDA"/>
    <w:rsid w:val="00DA3F4B"/>
    <w:rsid w:val="00DA4247"/>
    <w:rsid w:val="00DA50E1"/>
    <w:rsid w:val="00DA707D"/>
    <w:rsid w:val="00DB0E6E"/>
    <w:rsid w:val="00DB2036"/>
    <w:rsid w:val="00DB648E"/>
    <w:rsid w:val="00DC3AAA"/>
    <w:rsid w:val="00DC3B76"/>
    <w:rsid w:val="00DC4FC4"/>
    <w:rsid w:val="00DC7CC8"/>
    <w:rsid w:val="00DD05DA"/>
    <w:rsid w:val="00DD0B52"/>
    <w:rsid w:val="00DD0C07"/>
    <w:rsid w:val="00DD137F"/>
    <w:rsid w:val="00DD25AB"/>
    <w:rsid w:val="00DD5557"/>
    <w:rsid w:val="00DD7027"/>
    <w:rsid w:val="00DD7F98"/>
    <w:rsid w:val="00DE03A3"/>
    <w:rsid w:val="00DE60D7"/>
    <w:rsid w:val="00DE7326"/>
    <w:rsid w:val="00DF0F7A"/>
    <w:rsid w:val="00DF1B1B"/>
    <w:rsid w:val="00DF3914"/>
    <w:rsid w:val="00DF465D"/>
    <w:rsid w:val="00DF4781"/>
    <w:rsid w:val="00DF4852"/>
    <w:rsid w:val="00DF4994"/>
    <w:rsid w:val="00DF5C00"/>
    <w:rsid w:val="00DF6879"/>
    <w:rsid w:val="00E01758"/>
    <w:rsid w:val="00E038E8"/>
    <w:rsid w:val="00E0745B"/>
    <w:rsid w:val="00E079F9"/>
    <w:rsid w:val="00E315E6"/>
    <w:rsid w:val="00E4431D"/>
    <w:rsid w:val="00E452DF"/>
    <w:rsid w:val="00E52744"/>
    <w:rsid w:val="00E5521C"/>
    <w:rsid w:val="00E563C8"/>
    <w:rsid w:val="00E57898"/>
    <w:rsid w:val="00E677F1"/>
    <w:rsid w:val="00E744C3"/>
    <w:rsid w:val="00E74659"/>
    <w:rsid w:val="00E76DAA"/>
    <w:rsid w:val="00E76DF0"/>
    <w:rsid w:val="00E80595"/>
    <w:rsid w:val="00E853CD"/>
    <w:rsid w:val="00E87D44"/>
    <w:rsid w:val="00E9105E"/>
    <w:rsid w:val="00E93B5D"/>
    <w:rsid w:val="00E96D31"/>
    <w:rsid w:val="00E9755C"/>
    <w:rsid w:val="00EB0265"/>
    <w:rsid w:val="00EB0944"/>
    <w:rsid w:val="00EB551E"/>
    <w:rsid w:val="00EC0CFE"/>
    <w:rsid w:val="00EC4E3D"/>
    <w:rsid w:val="00EC6E1D"/>
    <w:rsid w:val="00EE6A9C"/>
    <w:rsid w:val="00EF3DB3"/>
    <w:rsid w:val="00F0219C"/>
    <w:rsid w:val="00F04C0B"/>
    <w:rsid w:val="00F1198C"/>
    <w:rsid w:val="00F12210"/>
    <w:rsid w:val="00F13AB3"/>
    <w:rsid w:val="00F155AC"/>
    <w:rsid w:val="00F20CC7"/>
    <w:rsid w:val="00F21DB7"/>
    <w:rsid w:val="00F22BDB"/>
    <w:rsid w:val="00F2457A"/>
    <w:rsid w:val="00F27659"/>
    <w:rsid w:val="00F3077F"/>
    <w:rsid w:val="00F372C0"/>
    <w:rsid w:val="00F403BD"/>
    <w:rsid w:val="00F40F08"/>
    <w:rsid w:val="00F42210"/>
    <w:rsid w:val="00F4564D"/>
    <w:rsid w:val="00F50014"/>
    <w:rsid w:val="00F5122D"/>
    <w:rsid w:val="00F52EBE"/>
    <w:rsid w:val="00F6505F"/>
    <w:rsid w:val="00F67568"/>
    <w:rsid w:val="00F773EC"/>
    <w:rsid w:val="00F77E89"/>
    <w:rsid w:val="00F80CAC"/>
    <w:rsid w:val="00F813BE"/>
    <w:rsid w:val="00F84B78"/>
    <w:rsid w:val="00F851F6"/>
    <w:rsid w:val="00F87CCF"/>
    <w:rsid w:val="00F96576"/>
    <w:rsid w:val="00F9749C"/>
    <w:rsid w:val="00F974FB"/>
    <w:rsid w:val="00FA1AAB"/>
    <w:rsid w:val="00FA2CCE"/>
    <w:rsid w:val="00FA3777"/>
    <w:rsid w:val="00FA67EA"/>
    <w:rsid w:val="00FA70CF"/>
    <w:rsid w:val="00FA7354"/>
    <w:rsid w:val="00FB0342"/>
    <w:rsid w:val="00FB1669"/>
    <w:rsid w:val="00FC0162"/>
    <w:rsid w:val="00FC7DF7"/>
    <w:rsid w:val="00FD144E"/>
    <w:rsid w:val="00FD378B"/>
    <w:rsid w:val="00FE0A4F"/>
    <w:rsid w:val="00FE78B1"/>
    <w:rsid w:val="00FF058F"/>
    <w:rsid w:val="00FF165F"/>
    <w:rsid w:val="00FF42C4"/>
    <w:rsid w:val="00FF7E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B61043"/>
  <w15:docId w15:val="{21829C5F-A231-4742-AE85-AA96513D4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D2796"/>
    <w:pPr>
      <w:spacing w:after="200" w:line="276" w:lineRule="auto"/>
      <w:jc w:val="both"/>
    </w:pPr>
    <w:rPr>
      <w:rFonts w:ascii="Calibri" w:eastAsia="Times New Roman" w:hAnsi="Calibri" w:cs="Calibri"/>
      <w:lang w:eastAsia="cs-CZ"/>
    </w:rPr>
  </w:style>
  <w:style w:type="paragraph" w:styleId="Nadpis1">
    <w:name w:val="heading 1"/>
    <w:basedOn w:val="Normln"/>
    <w:next w:val="Normln"/>
    <w:link w:val="Nadpis1Char"/>
    <w:autoRedefine/>
    <w:uiPriority w:val="99"/>
    <w:qFormat/>
    <w:rsid w:val="00094A5B"/>
    <w:pPr>
      <w:keepNext/>
      <w:spacing w:before="240" w:after="120"/>
      <w:outlineLvl w:val="0"/>
    </w:pPr>
    <w:rPr>
      <w:rFonts w:asciiTheme="majorHAnsi" w:eastAsia="Calibri" w:hAnsiTheme="majorHAnsi" w:cs="Times New Roman"/>
      <w:b/>
      <w:bCs/>
      <w:color w:val="0070C0"/>
      <w:kern w:val="32"/>
      <w:sz w:val="28"/>
      <w:szCs w:val="28"/>
      <w:lang w:eastAsia="en-US"/>
    </w:rPr>
  </w:style>
  <w:style w:type="paragraph" w:styleId="Nadpis2">
    <w:name w:val="heading 2"/>
    <w:aliases w:val="Nadpis 2 BG"/>
    <w:basedOn w:val="Normln"/>
    <w:next w:val="Normln"/>
    <w:link w:val="Nadpis2Char"/>
    <w:uiPriority w:val="99"/>
    <w:unhideWhenUsed/>
    <w:qFormat/>
    <w:rsid w:val="007D57FD"/>
    <w:pPr>
      <w:keepNext/>
      <w:keepLines/>
      <w:spacing w:before="360" w:after="240"/>
      <w:outlineLvl w:val="1"/>
    </w:pPr>
    <w:rPr>
      <w:rFonts w:asciiTheme="minorHAnsi" w:eastAsiaTheme="majorEastAsia" w:hAnsiTheme="minorHAnsi" w:cstheme="majorBidi"/>
      <w:b/>
      <w:color w:val="2E74B5" w:themeColor="accent1" w:themeShade="BF"/>
      <w:sz w:val="24"/>
      <w:szCs w:val="26"/>
    </w:rPr>
  </w:style>
  <w:style w:type="paragraph" w:styleId="Nadpis3">
    <w:name w:val="heading 3"/>
    <w:aliases w:val="seznam. lit."/>
    <w:next w:val="Normln"/>
    <w:link w:val="Nadpis3Char"/>
    <w:uiPriority w:val="99"/>
    <w:unhideWhenUsed/>
    <w:qFormat/>
    <w:rsid w:val="006D0BE8"/>
    <w:pPr>
      <w:keepNext/>
      <w:keepLines/>
      <w:spacing w:after="120" w:line="247" w:lineRule="auto"/>
      <w:outlineLvl w:val="2"/>
    </w:pPr>
    <w:rPr>
      <w:rFonts w:ascii="Calibri" w:eastAsia="Calibri" w:hAnsi="Calibri" w:cs="Calibri"/>
      <w:b/>
      <w:color w:val="000000"/>
      <w:u w:val="single"/>
      <w:lang w:eastAsia="cs-CZ"/>
    </w:rPr>
  </w:style>
  <w:style w:type="paragraph" w:styleId="Nadpis4">
    <w:name w:val="heading 4"/>
    <w:next w:val="Normln"/>
    <w:link w:val="Nadpis4Char"/>
    <w:uiPriority w:val="99"/>
    <w:unhideWhenUsed/>
    <w:qFormat/>
    <w:rsid w:val="00151586"/>
    <w:pPr>
      <w:keepNext/>
      <w:keepLines/>
      <w:spacing w:after="14" w:line="248" w:lineRule="auto"/>
      <w:ind w:left="216" w:hanging="10"/>
      <w:jc w:val="both"/>
      <w:outlineLvl w:val="3"/>
    </w:pPr>
    <w:rPr>
      <w:rFonts w:ascii="Calibri" w:eastAsia="Calibri" w:hAnsi="Calibri" w:cs="Calibri"/>
      <w:b/>
      <w:color w:val="000000"/>
      <w:lang w:eastAsia="cs-CZ"/>
    </w:rPr>
  </w:style>
  <w:style w:type="paragraph" w:styleId="Nadpis5">
    <w:name w:val="heading 5"/>
    <w:next w:val="Normln"/>
    <w:link w:val="Nadpis5Char"/>
    <w:uiPriority w:val="99"/>
    <w:unhideWhenUsed/>
    <w:qFormat/>
    <w:rsid w:val="00151586"/>
    <w:pPr>
      <w:keepNext/>
      <w:keepLines/>
      <w:spacing w:after="14" w:line="248" w:lineRule="auto"/>
      <w:ind w:left="216" w:hanging="10"/>
      <w:jc w:val="both"/>
      <w:outlineLvl w:val="4"/>
    </w:pPr>
    <w:rPr>
      <w:rFonts w:ascii="Calibri" w:eastAsia="Calibri" w:hAnsi="Calibri" w:cs="Calibri"/>
      <w:b/>
      <w:color w:val="000000"/>
      <w:lang w:eastAsia="cs-CZ"/>
    </w:rPr>
  </w:style>
  <w:style w:type="paragraph" w:styleId="Nadpis6">
    <w:name w:val="heading 6"/>
    <w:basedOn w:val="Normln"/>
    <w:next w:val="Normln"/>
    <w:link w:val="Nadpis6Char"/>
    <w:uiPriority w:val="99"/>
    <w:qFormat/>
    <w:rsid w:val="00B174B8"/>
    <w:pPr>
      <w:tabs>
        <w:tab w:val="num" w:pos="1152"/>
      </w:tabs>
      <w:spacing w:before="240" w:after="60" w:line="240" w:lineRule="auto"/>
      <w:ind w:left="1152" w:hanging="1152"/>
      <w:outlineLvl w:val="5"/>
    </w:pPr>
    <w:rPr>
      <w:rFonts w:eastAsia="Calibri" w:cs="Times New Roman"/>
      <w:b/>
      <w:bCs/>
      <w:sz w:val="20"/>
      <w:szCs w:val="20"/>
      <w:lang w:val="en-US"/>
    </w:rPr>
  </w:style>
  <w:style w:type="paragraph" w:styleId="Nadpis7">
    <w:name w:val="heading 7"/>
    <w:basedOn w:val="Normln"/>
    <w:next w:val="Normln"/>
    <w:link w:val="Nadpis7Char"/>
    <w:uiPriority w:val="99"/>
    <w:qFormat/>
    <w:rsid w:val="00B174B8"/>
    <w:pPr>
      <w:tabs>
        <w:tab w:val="num" w:pos="1296"/>
      </w:tabs>
      <w:spacing w:before="240" w:after="60" w:line="240" w:lineRule="auto"/>
      <w:ind w:left="1296" w:hanging="1296"/>
      <w:outlineLvl w:val="6"/>
    </w:pPr>
    <w:rPr>
      <w:rFonts w:eastAsia="Calibri" w:cs="Times New Roman"/>
      <w:sz w:val="24"/>
      <w:szCs w:val="24"/>
      <w:lang w:val="en-US"/>
    </w:rPr>
  </w:style>
  <w:style w:type="paragraph" w:styleId="Nadpis8">
    <w:name w:val="heading 8"/>
    <w:basedOn w:val="Normln"/>
    <w:next w:val="Normln"/>
    <w:link w:val="Nadpis8Char"/>
    <w:uiPriority w:val="99"/>
    <w:qFormat/>
    <w:rsid w:val="00B174B8"/>
    <w:pPr>
      <w:tabs>
        <w:tab w:val="num" w:pos="1440"/>
      </w:tabs>
      <w:spacing w:before="240" w:after="60" w:line="240" w:lineRule="auto"/>
      <w:ind w:left="1440" w:hanging="1440"/>
      <w:outlineLvl w:val="7"/>
    </w:pPr>
    <w:rPr>
      <w:rFonts w:eastAsia="Calibri" w:cs="Times New Roman"/>
      <w:i/>
      <w:iCs/>
      <w:sz w:val="24"/>
      <w:szCs w:val="24"/>
      <w:lang w:val="en-US"/>
    </w:rPr>
  </w:style>
  <w:style w:type="paragraph" w:styleId="Nadpis9">
    <w:name w:val="heading 9"/>
    <w:basedOn w:val="Normln"/>
    <w:next w:val="Normln"/>
    <w:link w:val="Nadpis9Char"/>
    <w:uiPriority w:val="99"/>
    <w:qFormat/>
    <w:rsid w:val="00B174B8"/>
    <w:pPr>
      <w:tabs>
        <w:tab w:val="num" w:pos="1584"/>
      </w:tabs>
      <w:spacing w:before="240" w:after="60" w:line="240" w:lineRule="auto"/>
      <w:ind w:left="1584" w:hanging="1584"/>
      <w:outlineLvl w:val="8"/>
    </w:pPr>
    <w:rPr>
      <w:rFonts w:ascii="Arial" w:eastAsia="Calibri" w:hAnsi="Arial" w:cs="Times New Roman"/>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094A5B"/>
    <w:rPr>
      <w:rFonts w:asciiTheme="majorHAnsi" w:eastAsia="Calibri" w:hAnsiTheme="majorHAnsi" w:cs="Times New Roman"/>
      <w:b/>
      <w:bCs/>
      <w:color w:val="0070C0"/>
      <w:kern w:val="32"/>
      <w:sz w:val="28"/>
      <w:szCs w:val="28"/>
    </w:rPr>
  </w:style>
  <w:style w:type="character" w:customStyle="1" w:styleId="Nadpis2Char">
    <w:name w:val="Nadpis 2 Char"/>
    <w:aliases w:val="Nadpis 2 BG Char"/>
    <w:basedOn w:val="Standardnpsmoodstavce"/>
    <w:link w:val="Nadpis2"/>
    <w:uiPriority w:val="99"/>
    <w:rsid w:val="007D57FD"/>
    <w:rPr>
      <w:rFonts w:eastAsiaTheme="majorEastAsia" w:cstheme="majorBidi"/>
      <w:b/>
      <w:color w:val="2E74B5" w:themeColor="accent1" w:themeShade="BF"/>
      <w:sz w:val="24"/>
      <w:szCs w:val="26"/>
      <w:lang w:eastAsia="cs-CZ"/>
    </w:rPr>
  </w:style>
  <w:style w:type="character" w:customStyle="1" w:styleId="Nadpis3Char">
    <w:name w:val="Nadpis 3 Char"/>
    <w:aliases w:val="seznam. lit. Char"/>
    <w:basedOn w:val="Standardnpsmoodstavce"/>
    <w:link w:val="Nadpis3"/>
    <w:uiPriority w:val="99"/>
    <w:rsid w:val="006D0BE8"/>
    <w:rPr>
      <w:rFonts w:ascii="Calibri" w:eastAsia="Calibri" w:hAnsi="Calibri" w:cs="Calibri"/>
      <w:b/>
      <w:color w:val="000000"/>
      <w:u w:val="single"/>
      <w:lang w:eastAsia="cs-CZ"/>
    </w:rPr>
  </w:style>
  <w:style w:type="character" w:customStyle="1" w:styleId="Nadpis4Char">
    <w:name w:val="Nadpis 4 Char"/>
    <w:basedOn w:val="Standardnpsmoodstavce"/>
    <w:link w:val="Nadpis4"/>
    <w:uiPriority w:val="99"/>
    <w:rsid w:val="00151586"/>
    <w:rPr>
      <w:rFonts w:ascii="Calibri" w:eastAsia="Calibri" w:hAnsi="Calibri" w:cs="Calibri"/>
      <w:b/>
      <w:color w:val="000000"/>
      <w:lang w:eastAsia="cs-CZ"/>
    </w:rPr>
  </w:style>
  <w:style w:type="character" w:customStyle="1" w:styleId="Nadpis5Char">
    <w:name w:val="Nadpis 5 Char"/>
    <w:basedOn w:val="Standardnpsmoodstavce"/>
    <w:link w:val="Nadpis5"/>
    <w:uiPriority w:val="99"/>
    <w:rsid w:val="00151586"/>
    <w:rPr>
      <w:rFonts w:ascii="Calibri" w:eastAsia="Calibri" w:hAnsi="Calibri" w:cs="Calibri"/>
      <w:b/>
      <w:color w:val="000000"/>
      <w:lang w:eastAsia="cs-CZ"/>
    </w:rPr>
  </w:style>
  <w:style w:type="character" w:customStyle="1" w:styleId="Nadpis6Char">
    <w:name w:val="Nadpis 6 Char"/>
    <w:basedOn w:val="Standardnpsmoodstavce"/>
    <w:link w:val="Nadpis6"/>
    <w:uiPriority w:val="99"/>
    <w:rsid w:val="00B174B8"/>
    <w:rPr>
      <w:rFonts w:ascii="Calibri" w:eastAsia="Calibri" w:hAnsi="Calibri" w:cs="Times New Roman"/>
      <w:b/>
      <w:bCs/>
      <w:sz w:val="20"/>
      <w:szCs w:val="20"/>
      <w:lang w:val="en-US" w:eastAsia="cs-CZ"/>
    </w:rPr>
  </w:style>
  <w:style w:type="character" w:customStyle="1" w:styleId="Nadpis7Char">
    <w:name w:val="Nadpis 7 Char"/>
    <w:basedOn w:val="Standardnpsmoodstavce"/>
    <w:link w:val="Nadpis7"/>
    <w:uiPriority w:val="99"/>
    <w:rsid w:val="00B174B8"/>
    <w:rPr>
      <w:rFonts w:ascii="Calibri" w:eastAsia="Calibri" w:hAnsi="Calibri" w:cs="Times New Roman"/>
      <w:sz w:val="24"/>
      <w:szCs w:val="24"/>
      <w:lang w:val="en-US" w:eastAsia="cs-CZ"/>
    </w:rPr>
  </w:style>
  <w:style w:type="character" w:customStyle="1" w:styleId="Nadpis8Char">
    <w:name w:val="Nadpis 8 Char"/>
    <w:basedOn w:val="Standardnpsmoodstavce"/>
    <w:link w:val="Nadpis8"/>
    <w:uiPriority w:val="99"/>
    <w:rsid w:val="00B174B8"/>
    <w:rPr>
      <w:rFonts w:ascii="Calibri" w:eastAsia="Calibri" w:hAnsi="Calibri" w:cs="Times New Roman"/>
      <w:i/>
      <w:iCs/>
      <w:sz w:val="24"/>
      <w:szCs w:val="24"/>
      <w:lang w:val="en-US" w:eastAsia="cs-CZ"/>
    </w:rPr>
  </w:style>
  <w:style w:type="character" w:customStyle="1" w:styleId="Nadpis9Char">
    <w:name w:val="Nadpis 9 Char"/>
    <w:basedOn w:val="Standardnpsmoodstavce"/>
    <w:link w:val="Nadpis9"/>
    <w:uiPriority w:val="99"/>
    <w:rsid w:val="00B174B8"/>
    <w:rPr>
      <w:rFonts w:ascii="Arial" w:eastAsia="Calibri" w:hAnsi="Arial" w:cs="Times New Roman"/>
      <w:sz w:val="20"/>
      <w:szCs w:val="20"/>
      <w:lang w:val="en-US" w:eastAsia="cs-CZ"/>
    </w:rPr>
  </w:style>
  <w:style w:type="character" w:styleId="Odkaznakoment">
    <w:name w:val="annotation reference"/>
    <w:uiPriority w:val="99"/>
    <w:semiHidden/>
    <w:rsid w:val="00AB7CF7"/>
    <w:rPr>
      <w:rFonts w:cs="Times New Roman"/>
      <w:sz w:val="16"/>
    </w:rPr>
  </w:style>
  <w:style w:type="paragraph" w:styleId="Textkomente">
    <w:name w:val="annotation text"/>
    <w:basedOn w:val="Normln"/>
    <w:link w:val="TextkomenteChar"/>
    <w:uiPriority w:val="99"/>
    <w:rsid w:val="00AB7CF7"/>
    <w:rPr>
      <w:rFonts w:cs="Times New Roman"/>
      <w:sz w:val="20"/>
      <w:szCs w:val="20"/>
      <w:lang w:eastAsia="en-US"/>
    </w:rPr>
  </w:style>
  <w:style w:type="character" w:customStyle="1" w:styleId="TextkomenteChar">
    <w:name w:val="Text komentáře Char"/>
    <w:basedOn w:val="Standardnpsmoodstavce"/>
    <w:link w:val="Textkomente"/>
    <w:uiPriority w:val="99"/>
    <w:rsid w:val="00AB7CF7"/>
    <w:rPr>
      <w:rFonts w:ascii="Calibri" w:eastAsia="Times New Roman" w:hAnsi="Calibri" w:cs="Times New Roman"/>
      <w:sz w:val="20"/>
      <w:szCs w:val="20"/>
    </w:rPr>
  </w:style>
  <w:style w:type="paragraph" w:styleId="Textbubliny">
    <w:name w:val="Balloon Text"/>
    <w:basedOn w:val="Normln"/>
    <w:link w:val="TextbublinyChar"/>
    <w:uiPriority w:val="99"/>
    <w:semiHidden/>
    <w:unhideWhenUsed/>
    <w:rsid w:val="00AB7CF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B7CF7"/>
    <w:rPr>
      <w:rFonts w:ascii="Segoe UI" w:eastAsia="Times New Roman" w:hAnsi="Segoe UI" w:cs="Segoe UI"/>
      <w:sz w:val="18"/>
      <w:szCs w:val="18"/>
      <w:lang w:eastAsia="cs-CZ"/>
    </w:rPr>
  </w:style>
  <w:style w:type="character" w:styleId="Siln">
    <w:name w:val="Strong"/>
    <w:aliases w:val="Zdroje"/>
    <w:uiPriority w:val="22"/>
    <w:qFormat/>
    <w:rsid w:val="002A5913"/>
    <w:rPr>
      <w:rFonts w:cs="Times New Roman"/>
      <w:b/>
    </w:rPr>
  </w:style>
  <w:style w:type="paragraph" w:styleId="Textpoznpodarou">
    <w:name w:val="footnote text"/>
    <w:aliases w:val="Schriftart: 9 pt,Schriftart: 10 pt,Schriftart: 8 pt,Text pozn. pod čarou_martin_ang"/>
    <w:basedOn w:val="Normln"/>
    <w:link w:val="TextpoznpodarouChar"/>
    <w:uiPriority w:val="99"/>
    <w:rsid w:val="002A5913"/>
    <w:pPr>
      <w:spacing w:after="0" w:line="240" w:lineRule="auto"/>
    </w:pPr>
    <w:rPr>
      <w:rFonts w:eastAsia="Calibri" w:cs="Times New Roman"/>
      <w:sz w:val="20"/>
      <w:szCs w:val="20"/>
    </w:rPr>
  </w:style>
  <w:style w:type="character" w:customStyle="1" w:styleId="TextpoznpodarouChar">
    <w:name w:val="Text pozn. pod čarou Char"/>
    <w:aliases w:val="Schriftart: 9 pt Char,Schriftart: 10 pt Char,Schriftart: 8 pt Char,Text pozn. pod čarou_martin_ang Char"/>
    <w:basedOn w:val="Standardnpsmoodstavce"/>
    <w:link w:val="Textpoznpodarou"/>
    <w:uiPriority w:val="99"/>
    <w:rsid w:val="002A5913"/>
    <w:rPr>
      <w:rFonts w:ascii="Calibri" w:eastAsia="Calibri" w:hAnsi="Calibri" w:cs="Times New Roman"/>
      <w:sz w:val="20"/>
      <w:szCs w:val="20"/>
      <w:lang w:eastAsia="cs-CZ"/>
    </w:rPr>
  </w:style>
  <w:style w:type="character" w:styleId="Znakapoznpodarou">
    <w:name w:val="footnote reference"/>
    <w:uiPriority w:val="99"/>
    <w:semiHidden/>
    <w:rsid w:val="002A5913"/>
    <w:rPr>
      <w:rFonts w:cs="Times New Roman"/>
      <w:vertAlign w:val="superscript"/>
    </w:rPr>
  </w:style>
  <w:style w:type="paragraph" w:styleId="Titulek">
    <w:name w:val="caption"/>
    <w:basedOn w:val="Normln"/>
    <w:next w:val="Normln"/>
    <w:autoRedefine/>
    <w:qFormat/>
    <w:rsid w:val="001A2A22"/>
    <w:pPr>
      <w:keepNext/>
      <w:spacing w:before="120"/>
    </w:pPr>
    <w:rPr>
      <w:rFonts w:eastAsia="Calibri"/>
      <w:b/>
      <w:bCs/>
      <w:iCs/>
      <w:noProof/>
      <w:szCs w:val="20"/>
    </w:rPr>
  </w:style>
  <w:style w:type="character" w:customStyle="1" w:styleId="ZdrojChar">
    <w:name w:val="Zdroj Char"/>
    <w:link w:val="Zdroj"/>
    <w:uiPriority w:val="99"/>
    <w:locked/>
    <w:rsid w:val="002A5913"/>
    <w:rPr>
      <w:rFonts w:ascii="Calibri" w:hAnsi="Calibri"/>
      <w:sz w:val="16"/>
      <w:lang w:eastAsia="cs-CZ"/>
    </w:rPr>
  </w:style>
  <w:style w:type="paragraph" w:customStyle="1" w:styleId="Zdroj">
    <w:name w:val="Zdroj"/>
    <w:basedOn w:val="Normln"/>
    <w:next w:val="Normln"/>
    <w:link w:val="ZdrojChar"/>
    <w:uiPriority w:val="99"/>
    <w:rsid w:val="002A5913"/>
    <w:pPr>
      <w:spacing w:line="240" w:lineRule="auto"/>
      <w:contextualSpacing/>
    </w:pPr>
    <w:rPr>
      <w:rFonts w:eastAsiaTheme="minorHAnsi" w:cstheme="minorBidi"/>
      <w:sz w:val="16"/>
    </w:rPr>
  </w:style>
  <w:style w:type="character" w:styleId="Zdraznnjemn">
    <w:name w:val="Subtle Emphasis"/>
    <w:aliases w:val="pozn. zdorj"/>
    <w:uiPriority w:val="19"/>
    <w:qFormat/>
    <w:rsid w:val="00614EA0"/>
    <w:rPr>
      <w:rFonts w:asciiTheme="minorHAnsi" w:hAnsiTheme="minorHAnsi"/>
      <w:i/>
      <w:iCs/>
      <w:color w:val="auto"/>
      <w:sz w:val="20"/>
    </w:rPr>
  </w:style>
  <w:style w:type="paragraph" w:styleId="Odstavecseseznamem">
    <w:name w:val="List Paragraph"/>
    <w:basedOn w:val="Normln"/>
    <w:uiPriority w:val="34"/>
    <w:qFormat/>
    <w:rsid w:val="004B56AB"/>
    <w:pPr>
      <w:ind w:left="720"/>
      <w:contextualSpacing/>
    </w:pPr>
  </w:style>
  <w:style w:type="character" w:styleId="Odkazjemn">
    <w:name w:val="Subtle Reference"/>
    <w:aliases w:val="literatura,zdroj"/>
    <w:basedOn w:val="Standardnpsmoodstavce"/>
    <w:uiPriority w:val="31"/>
    <w:qFormat/>
    <w:rsid w:val="00F04C0B"/>
    <w:rPr>
      <w:rFonts w:asciiTheme="minorHAnsi" w:hAnsiTheme="minorHAnsi"/>
      <w:color w:val="auto"/>
    </w:rPr>
  </w:style>
  <w:style w:type="paragraph" w:customStyle="1" w:styleId="footnotedescription">
    <w:name w:val="footnote description"/>
    <w:next w:val="Normln"/>
    <w:link w:val="footnotedescriptionChar"/>
    <w:hidden/>
    <w:rsid w:val="00151586"/>
    <w:pPr>
      <w:spacing w:after="0"/>
      <w:ind w:left="206"/>
    </w:pPr>
    <w:rPr>
      <w:rFonts w:ascii="Calibri" w:eastAsia="Calibri" w:hAnsi="Calibri" w:cs="Calibri"/>
      <w:color w:val="000000"/>
      <w:sz w:val="20"/>
      <w:lang w:eastAsia="cs-CZ"/>
    </w:rPr>
  </w:style>
  <w:style w:type="character" w:customStyle="1" w:styleId="footnotedescriptionChar">
    <w:name w:val="footnote description Char"/>
    <w:link w:val="footnotedescription"/>
    <w:rsid w:val="00151586"/>
    <w:rPr>
      <w:rFonts w:ascii="Calibri" w:eastAsia="Calibri" w:hAnsi="Calibri" w:cs="Calibri"/>
      <w:color w:val="000000"/>
      <w:sz w:val="20"/>
      <w:lang w:eastAsia="cs-CZ"/>
    </w:rPr>
  </w:style>
  <w:style w:type="paragraph" w:styleId="Obsah1">
    <w:name w:val="toc 1"/>
    <w:hidden/>
    <w:uiPriority w:val="39"/>
    <w:rsid w:val="00151586"/>
    <w:pPr>
      <w:spacing w:after="203" w:line="271" w:lineRule="auto"/>
      <w:ind w:left="25" w:right="21" w:hanging="9"/>
      <w:jc w:val="both"/>
    </w:pPr>
    <w:rPr>
      <w:rFonts w:ascii="Calibri" w:eastAsia="Calibri" w:hAnsi="Calibri" w:cs="Calibri"/>
      <w:color w:val="000000"/>
      <w:lang w:eastAsia="cs-CZ"/>
    </w:rPr>
  </w:style>
  <w:style w:type="character" w:customStyle="1" w:styleId="footnotemark">
    <w:name w:val="footnote mark"/>
    <w:hidden/>
    <w:rsid w:val="00151586"/>
    <w:rPr>
      <w:rFonts w:ascii="Calibri" w:eastAsia="Calibri" w:hAnsi="Calibri" w:cs="Calibri"/>
      <w:color w:val="000000"/>
      <w:sz w:val="20"/>
      <w:vertAlign w:val="superscript"/>
    </w:rPr>
  </w:style>
  <w:style w:type="table" w:customStyle="1" w:styleId="TableGrid">
    <w:name w:val="TableGrid"/>
    <w:rsid w:val="00151586"/>
    <w:pPr>
      <w:spacing w:after="0" w:line="240" w:lineRule="auto"/>
    </w:pPr>
    <w:rPr>
      <w:rFonts w:eastAsiaTheme="minorEastAsia"/>
      <w:lang w:eastAsia="cs-CZ"/>
    </w:rPr>
    <w:tblPr>
      <w:tblCellMar>
        <w:top w:w="0" w:type="dxa"/>
        <w:left w:w="0" w:type="dxa"/>
        <w:bottom w:w="0" w:type="dxa"/>
        <w:right w:w="0" w:type="dxa"/>
      </w:tblCellMar>
    </w:tblPr>
  </w:style>
  <w:style w:type="paragraph" w:styleId="Pedmtkomente">
    <w:name w:val="annotation subject"/>
    <w:basedOn w:val="Textkomente"/>
    <w:next w:val="Textkomente"/>
    <w:link w:val="PedmtkomenteChar"/>
    <w:uiPriority w:val="99"/>
    <w:semiHidden/>
    <w:unhideWhenUsed/>
    <w:rsid w:val="00151586"/>
    <w:pPr>
      <w:spacing w:after="203" w:line="240" w:lineRule="auto"/>
      <w:ind w:left="9" w:hanging="9"/>
    </w:pPr>
    <w:rPr>
      <w:rFonts w:eastAsia="Calibri" w:cs="Calibri"/>
      <w:b/>
      <w:bCs/>
      <w:color w:val="000000"/>
      <w:lang w:eastAsia="cs-CZ"/>
    </w:rPr>
  </w:style>
  <w:style w:type="character" w:customStyle="1" w:styleId="PedmtkomenteChar">
    <w:name w:val="Předmět komentáře Char"/>
    <w:basedOn w:val="TextkomenteChar"/>
    <w:link w:val="Pedmtkomente"/>
    <w:uiPriority w:val="99"/>
    <w:semiHidden/>
    <w:rsid w:val="00151586"/>
    <w:rPr>
      <w:rFonts w:ascii="Calibri" w:eastAsia="Calibri" w:hAnsi="Calibri" w:cs="Calibri"/>
      <w:b/>
      <w:bCs/>
      <w:color w:val="000000"/>
      <w:sz w:val="20"/>
      <w:szCs w:val="20"/>
      <w:lang w:eastAsia="cs-CZ"/>
    </w:rPr>
  </w:style>
  <w:style w:type="paragraph" w:styleId="Normlnweb">
    <w:name w:val="Normal (Web)"/>
    <w:basedOn w:val="Normln"/>
    <w:uiPriority w:val="99"/>
    <w:unhideWhenUsed/>
    <w:rsid w:val="00151586"/>
    <w:pPr>
      <w:spacing w:before="100" w:beforeAutospacing="1" w:after="100" w:afterAutospacing="1" w:line="240" w:lineRule="auto"/>
      <w:jc w:val="left"/>
    </w:pPr>
    <w:rPr>
      <w:rFonts w:ascii="Times New Roman" w:hAnsi="Times New Roman" w:cs="Times New Roman"/>
      <w:sz w:val="24"/>
      <w:szCs w:val="24"/>
    </w:rPr>
  </w:style>
  <w:style w:type="character" w:styleId="Hypertextovodkaz">
    <w:name w:val="Hyperlink"/>
    <w:basedOn w:val="Standardnpsmoodstavce"/>
    <w:uiPriority w:val="99"/>
    <w:unhideWhenUsed/>
    <w:rsid w:val="00151586"/>
    <w:rPr>
      <w:color w:val="0000FF"/>
      <w:u w:val="single"/>
    </w:rPr>
  </w:style>
  <w:style w:type="paragraph" w:customStyle="1" w:styleId="normln0">
    <w:name w:val="normální"/>
    <w:basedOn w:val="Normln"/>
    <w:uiPriority w:val="99"/>
    <w:rsid w:val="004B0C8E"/>
    <w:pPr>
      <w:spacing w:before="60" w:after="60" w:line="300" w:lineRule="auto"/>
    </w:pPr>
    <w:rPr>
      <w:rFonts w:ascii="Arial" w:hAnsi="Arial" w:cs="Times New Roman"/>
      <w:sz w:val="20"/>
      <w:szCs w:val="20"/>
    </w:rPr>
  </w:style>
  <w:style w:type="paragraph" w:customStyle="1" w:styleId="Odstavecseseznamem1">
    <w:name w:val="Odstavec se seznamem1"/>
    <w:basedOn w:val="Normln"/>
    <w:uiPriority w:val="99"/>
    <w:rsid w:val="00D153C6"/>
    <w:pPr>
      <w:ind w:left="720"/>
    </w:pPr>
    <w:rPr>
      <w:rFonts w:cs="Times New Roman"/>
      <w:lang w:eastAsia="en-US"/>
    </w:rPr>
  </w:style>
  <w:style w:type="paragraph" w:styleId="Podnadpis">
    <w:name w:val="Subtitle"/>
    <w:basedOn w:val="Normln"/>
    <w:next w:val="Normln"/>
    <w:link w:val="PodnadpisChar"/>
    <w:uiPriority w:val="99"/>
    <w:qFormat/>
    <w:rsid w:val="00D153C6"/>
    <w:pPr>
      <w:numPr>
        <w:ilvl w:val="1"/>
      </w:numPr>
      <w:spacing w:before="200"/>
    </w:pPr>
    <w:rPr>
      <w:rFonts w:cs="Times New Roman"/>
      <w:b/>
      <w:color w:val="0070C0"/>
      <w:spacing w:val="15"/>
      <w:sz w:val="24"/>
      <w:szCs w:val="20"/>
      <w:lang w:eastAsia="en-US"/>
    </w:rPr>
  </w:style>
  <w:style w:type="character" w:customStyle="1" w:styleId="PodnadpisChar">
    <w:name w:val="Podnadpis Char"/>
    <w:basedOn w:val="Standardnpsmoodstavce"/>
    <w:link w:val="Podnadpis"/>
    <w:uiPriority w:val="99"/>
    <w:rsid w:val="00D153C6"/>
    <w:rPr>
      <w:rFonts w:ascii="Calibri" w:eastAsia="Times New Roman" w:hAnsi="Calibri" w:cs="Times New Roman"/>
      <w:b/>
      <w:color w:val="0070C0"/>
      <w:spacing w:val="15"/>
      <w:sz w:val="24"/>
      <w:szCs w:val="20"/>
    </w:rPr>
  </w:style>
  <w:style w:type="paragraph" w:styleId="Bibliografie">
    <w:name w:val="Bibliography"/>
    <w:basedOn w:val="Normln"/>
    <w:next w:val="Normln"/>
    <w:uiPriority w:val="37"/>
    <w:unhideWhenUsed/>
    <w:rsid w:val="00F4564D"/>
    <w:rPr>
      <w:rFonts w:asciiTheme="minorHAnsi" w:eastAsiaTheme="minorHAnsi" w:hAnsiTheme="minorHAnsi" w:cstheme="minorBidi"/>
      <w:lang w:eastAsia="en-US"/>
    </w:rPr>
  </w:style>
  <w:style w:type="paragraph" w:styleId="Zhlav">
    <w:name w:val="header"/>
    <w:basedOn w:val="Normln"/>
    <w:link w:val="ZhlavChar"/>
    <w:uiPriority w:val="99"/>
    <w:unhideWhenUsed/>
    <w:rsid w:val="007E563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E563D"/>
    <w:rPr>
      <w:rFonts w:ascii="Calibri" w:eastAsia="Times New Roman" w:hAnsi="Calibri" w:cs="Calibri"/>
      <w:lang w:eastAsia="cs-CZ"/>
    </w:rPr>
  </w:style>
  <w:style w:type="paragraph" w:styleId="Zpat">
    <w:name w:val="footer"/>
    <w:basedOn w:val="Normln"/>
    <w:link w:val="ZpatChar"/>
    <w:uiPriority w:val="99"/>
    <w:unhideWhenUsed/>
    <w:rsid w:val="007E563D"/>
    <w:pPr>
      <w:tabs>
        <w:tab w:val="center" w:pos="4536"/>
        <w:tab w:val="right" w:pos="9072"/>
      </w:tabs>
      <w:spacing w:after="0" w:line="240" w:lineRule="auto"/>
    </w:pPr>
  </w:style>
  <w:style w:type="character" w:customStyle="1" w:styleId="ZpatChar">
    <w:name w:val="Zápatí Char"/>
    <w:basedOn w:val="Standardnpsmoodstavce"/>
    <w:link w:val="Zpat"/>
    <w:uiPriority w:val="99"/>
    <w:rsid w:val="007E563D"/>
    <w:rPr>
      <w:rFonts w:ascii="Calibri" w:eastAsia="Times New Roman" w:hAnsi="Calibri" w:cs="Calibri"/>
      <w:lang w:eastAsia="cs-CZ"/>
    </w:rPr>
  </w:style>
  <w:style w:type="paragraph" w:styleId="Nadpisobsahu">
    <w:name w:val="TOC Heading"/>
    <w:basedOn w:val="Nadpis1"/>
    <w:next w:val="Normln"/>
    <w:uiPriority w:val="99"/>
    <w:unhideWhenUsed/>
    <w:qFormat/>
    <w:rsid w:val="007E563D"/>
    <w:pPr>
      <w:keepLines/>
      <w:spacing w:after="0" w:line="259" w:lineRule="auto"/>
      <w:ind w:left="720"/>
      <w:jc w:val="left"/>
      <w:outlineLvl w:val="9"/>
    </w:pPr>
    <w:rPr>
      <w:rFonts w:eastAsiaTheme="majorEastAsia" w:cstheme="majorBidi"/>
      <w:b w:val="0"/>
      <w:bCs w:val="0"/>
      <w:color w:val="2E74B5" w:themeColor="accent1" w:themeShade="BF"/>
      <w:kern w:val="0"/>
      <w:sz w:val="32"/>
      <w:szCs w:val="32"/>
      <w:lang w:eastAsia="cs-CZ"/>
    </w:rPr>
  </w:style>
  <w:style w:type="paragraph" w:styleId="Obsah2">
    <w:name w:val="toc 2"/>
    <w:basedOn w:val="Normln"/>
    <w:next w:val="Normln"/>
    <w:autoRedefine/>
    <w:uiPriority w:val="39"/>
    <w:unhideWhenUsed/>
    <w:rsid w:val="007E563D"/>
    <w:pPr>
      <w:spacing w:after="100"/>
      <w:ind w:left="220"/>
    </w:pPr>
  </w:style>
  <w:style w:type="paragraph" w:customStyle="1" w:styleId="poznzdroj">
    <w:name w:val="pozn. zdroj"/>
    <w:basedOn w:val="Normln"/>
    <w:next w:val="Normln"/>
    <w:uiPriority w:val="99"/>
    <w:qFormat/>
    <w:rsid w:val="003166F7"/>
    <w:pPr>
      <w:spacing w:before="120" w:line="240" w:lineRule="auto"/>
    </w:pPr>
    <w:rPr>
      <w:i/>
      <w:sz w:val="20"/>
      <w:szCs w:val="18"/>
    </w:rPr>
  </w:style>
  <w:style w:type="paragraph" w:customStyle="1" w:styleId="Table">
    <w:name w:val="Table"/>
    <w:basedOn w:val="Normln"/>
    <w:uiPriority w:val="99"/>
    <w:rsid w:val="00F84B78"/>
    <w:pPr>
      <w:spacing w:after="120"/>
    </w:pPr>
    <w:rPr>
      <w:rFonts w:ascii="Arial" w:eastAsia="Calibri" w:hAnsi="Arial" w:cs="Arial"/>
      <w:sz w:val="18"/>
      <w:szCs w:val="20"/>
      <w:lang w:eastAsia="en-US"/>
    </w:rPr>
  </w:style>
  <w:style w:type="character" w:customStyle="1" w:styleId="footnoteChar">
    <w:name w:val="footnote Char"/>
    <w:link w:val="footnote"/>
    <w:uiPriority w:val="99"/>
    <w:locked/>
    <w:rsid w:val="00F84B78"/>
    <w:rPr>
      <w:rFonts w:ascii="Arial" w:hAnsi="Arial"/>
      <w:sz w:val="16"/>
    </w:rPr>
  </w:style>
  <w:style w:type="paragraph" w:customStyle="1" w:styleId="footnote">
    <w:name w:val="footnote"/>
    <w:basedOn w:val="Textpoznpodarou"/>
    <w:link w:val="footnoteChar"/>
    <w:uiPriority w:val="99"/>
    <w:rsid w:val="00F84B78"/>
    <w:pPr>
      <w:spacing w:after="120" w:line="288" w:lineRule="auto"/>
    </w:pPr>
    <w:rPr>
      <w:rFonts w:ascii="Arial" w:eastAsiaTheme="minorHAnsi" w:hAnsi="Arial" w:cstheme="minorBidi"/>
      <w:sz w:val="16"/>
      <w:szCs w:val="22"/>
      <w:lang w:eastAsia="en-US"/>
    </w:rPr>
  </w:style>
  <w:style w:type="character" w:customStyle="1" w:styleId="st">
    <w:name w:val="st"/>
    <w:rsid w:val="00F84B78"/>
  </w:style>
  <w:style w:type="character" w:styleId="Zdraznn">
    <w:name w:val="Emphasis"/>
    <w:uiPriority w:val="20"/>
    <w:qFormat/>
    <w:rsid w:val="00F84B78"/>
    <w:rPr>
      <w:rFonts w:cs="Times New Roman"/>
      <w:i/>
    </w:rPr>
  </w:style>
  <w:style w:type="paragraph" w:customStyle="1" w:styleId="Styl10bTunzarovnnnastedZa0bdkovnjedn">
    <w:name w:val="Styl 10 b. Tučné zarovnání na střed Za:  0 b. Řádkování:  jedn..."/>
    <w:basedOn w:val="Normln"/>
    <w:next w:val="Normln"/>
    <w:uiPriority w:val="99"/>
    <w:rsid w:val="00F84B78"/>
    <w:pPr>
      <w:spacing w:after="0" w:line="240" w:lineRule="auto"/>
      <w:jc w:val="center"/>
    </w:pPr>
    <w:rPr>
      <w:rFonts w:eastAsia="Calibri" w:cs="Times New Roman"/>
      <w:b/>
      <w:bCs/>
      <w:sz w:val="20"/>
      <w:szCs w:val="20"/>
    </w:rPr>
  </w:style>
  <w:style w:type="paragraph" w:styleId="Rozloendokumentu">
    <w:name w:val="Document Map"/>
    <w:basedOn w:val="Normln"/>
    <w:link w:val="RozloendokumentuChar"/>
    <w:uiPriority w:val="99"/>
    <w:semiHidden/>
    <w:unhideWhenUsed/>
    <w:rsid w:val="00F84B7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84B78"/>
    <w:rPr>
      <w:rFonts w:ascii="Tahoma" w:eastAsia="Times New Roman" w:hAnsi="Tahoma" w:cs="Tahoma"/>
      <w:sz w:val="16"/>
      <w:szCs w:val="16"/>
      <w:lang w:eastAsia="cs-CZ"/>
    </w:rPr>
  </w:style>
  <w:style w:type="character" w:customStyle="1" w:styleId="odkaz-style-wrapper3">
    <w:name w:val="odkaz-style-wrapper3"/>
    <w:basedOn w:val="Standardnpsmoodstavce"/>
    <w:rsid w:val="00F84B78"/>
  </w:style>
  <w:style w:type="paragraph" w:styleId="Vrazncitt">
    <w:name w:val="Intense Quote"/>
    <w:basedOn w:val="Normln"/>
    <w:next w:val="Normln"/>
    <w:link w:val="VrazncittChar"/>
    <w:uiPriority w:val="30"/>
    <w:qFormat/>
    <w:rsid w:val="00F84B7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F84B78"/>
    <w:rPr>
      <w:rFonts w:ascii="Calibri" w:eastAsia="Times New Roman" w:hAnsi="Calibri" w:cs="Calibri"/>
      <w:i/>
      <w:iCs/>
      <w:color w:val="5B9BD5" w:themeColor="accent1"/>
      <w:lang w:eastAsia="cs-CZ"/>
    </w:rPr>
  </w:style>
  <w:style w:type="paragraph" w:styleId="Citt">
    <w:name w:val="Quote"/>
    <w:aliases w:val="Názvy tab/grafů"/>
    <w:basedOn w:val="Normln"/>
    <w:next w:val="Normln"/>
    <w:link w:val="CittChar"/>
    <w:uiPriority w:val="29"/>
    <w:qFormat/>
    <w:rsid w:val="00F84B78"/>
    <w:pPr>
      <w:keepNext/>
      <w:spacing w:before="200" w:after="60"/>
    </w:pPr>
    <w:rPr>
      <w:rFonts w:asciiTheme="minorHAnsi" w:eastAsiaTheme="minorEastAsia" w:hAnsiTheme="minorHAnsi" w:cstheme="minorBidi"/>
      <w:b/>
      <w:sz w:val="20"/>
      <w:szCs w:val="20"/>
    </w:rPr>
  </w:style>
  <w:style w:type="character" w:customStyle="1" w:styleId="CittChar">
    <w:name w:val="Citát Char"/>
    <w:aliases w:val="Názvy tab/grafů Char"/>
    <w:basedOn w:val="Standardnpsmoodstavce"/>
    <w:link w:val="Citt"/>
    <w:uiPriority w:val="29"/>
    <w:rsid w:val="00F84B78"/>
    <w:rPr>
      <w:rFonts w:eastAsiaTheme="minorEastAsia"/>
      <w:b/>
      <w:sz w:val="20"/>
      <w:szCs w:val="20"/>
      <w:lang w:eastAsia="cs-CZ"/>
    </w:rPr>
  </w:style>
  <w:style w:type="character" w:styleId="Zstupntext">
    <w:name w:val="Placeholder Text"/>
    <w:basedOn w:val="Standardnpsmoodstavce"/>
    <w:uiPriority w:val="99"/>
    <w:semiHidden/>
    <w:rsid w:val="00F84B78"/>
    <w:rPr>
      <w:color w:val="808080"/>
    </w:rPr>
  </w:style>
  <w:style w:type="table" w:styleId="Mkatabulky">
    <w:name w:val="Table Grid"/>
    <w:basedOn w:val="Normlntabulka"/>
    <w:uiPriority w:val="59"/>
    <w:rsid w:val="00B174B8"/>
    <w:pPr>
      <w:spacing w:after="0" w:line="240" w:lineRule="auto"/>
    </w:pPr>
    <w:rPr>
      <w:rFonts w:ascii="Calibri" w:eastAsia="Calibri" w:hAnsi="Calibri" w:cs="Calibri"/>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rsid w:val="00B17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FormtovanvHTMLChar">
    <w:name w:val="Formátovaný v HTML Char"/>
    <w:basedOn w:val="Standardnpsmoodstavce"/>
    <w:link w:val="FormtovanvHTML"/>
    <w:uiPriority w:val="99"/>
    <w:semiHidden/>
    <w:rsid w:val="00B174B8"/>
    <w:rPr>
      <w:rFonts w:ascii="Courier New" w:eastAsia="Calibri" w:hAnsi="Courier New" w:cs="Times New Roman"/>
      <w:sz w:val="20"/>
      <w:szCs w:val="20"/>
      <w:lang w:eastAsia="cs-CZ"/>
    </w:rPr>
  </w:style>
  <w:style w:type="character" w:styleId="slostrnky">
    <w:name w:val="page number"/>
    <w:uiPriority w:val="99"/>
    <w:rsid w:val="00B174B8"/>
    <w:rPr>
      <w:rFonts w:cs="Times New Roman"/>
    </w:rPr>
  </w:style>
  <w:style w:type="paragraph" w:customStyle="1" w:styleId="1">
    <w:name w:val="1"/>
    <w:uiPriority w:val="99"/>
    <w:qFormat/>
    <w:rsid w:val="00B174B8"/>
    <w:pPr>
      <w:spacing w:after="200" w:line="276" w:lineRule="auto"/>
      <w:jc w:val="both"/>
    </w:pPr>
    <w:rPr>
      <w:rFonts w:ascii="Calibri" w:eastAsia="Times New Roman" w:hAnsi="Calibri" w:cs="Calibri"/>
      <w:lang w:eastAsia="cs-CZ"/>
    </w:rPr>
  </w:style>
  <w:style w:type="paragraph" w:customStyle="1" w:styleId="Default">
    <w:name w:val="Default"/>
    <w:uiPriority w:val="99"/>
    <w:rsid w:val="00B174B8"/>
    <w:pPr>
      <w:autoSpaceDE w:val="0"/>
      <w:autoSpaceDN w:val="0"/>
      <w:adjustRightInd w:val="0"/>
      <w:spacing w:after="0" w:line="240" w:lineRule="auto"/>
    </w:pPr>
    <w:rPr>
      <w:rFonts w:ascii="Tahoma" w:eastAsia="Calibri" w:hAnsi="Tahoma" w:cs="Tahoma"/>
      <w:color w:val="000000"/>
      <w:sz w:val="24"/>
      <w:szCs w:val="24"/>
      <w:lang w:eastAsia="cs-CZ"/>
    </w:rPr>
  </w:style>
  <w:style w:type="character" w:customStyle="1" w:styleId="apple-style-span">
    <w:name w:val="apple-style-span"/>
    <w:uiPriority w:val="99"/>
    <w:rsid w:val="00B174B8"/>
  </w:style>
  <w:style w:type="table" w:customStyle="1" w:styleId="Svtlstnovn1">
    <w:name w:val="Světlé stínování1"/>
    <w:uiPriority w:val="99"/>
    <w:rsid w:val="00B174B8"/>
    <w:pPr>
      <w:spacing w:after="0" w:line="240" w:lineRule="auto"/>
    </w:pPr>
    <w:rPr>
      <w:rFonts w:ascii="Calibri" w:eastAsia="Times New Roman" w:hAnsi="Calibri" w:cs="Times New Roman"/>
      <w:color w:val="000000"/>
      <w:sz w:val="20"/>
      <w:szCs w:val="20"/>
      <w:lang w:eastAsia="cs-CZ"/>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Obsah3">
    <w:name w:val="toc 3"/>
    <w:basedOn w:val="Normln"/>
    <w:next w:val="Normln"/>
    <w:autoRedefine/>
    <w:uiPriority w:val="99"/>
    <w:rsid w:val="00B174B8"/>
    <w:pPr>
      <w:ind w:left="440"/>
    </w:pPr>
  </w:style>
  <w:style w:type="paragraph" w:styleId="Seznamobrzk">
    <w:name w:val="table of figures"/>
    <w:basedOn w:val="Normln"/>
    <w:next w:val="Normln"/>
    <w:uiPriority w:val="99"/>
    <w:rsid w:val="00B174B8"/>
  </w:style>
  <w:style w:type="table" w:customStyle="1" w:styleId="tabulka">
    <w:name w:val="tabulka"/>
    <w:basedOn w:val="Mkatabulky"/>
    <w:uiPriority w:val="99"/>
    <w:rsid w:val="00B174B8"/>
    <w:tblPr/>
  </w:style>
  <w:style w:type="table" w:customStyle="1" w:styleId="Styl1">
    <w:name w:val="Styl1"/>
    <w:uiPriority w:val="99"/>
    <w:rsid w:val="00B174B8"/>
    <w:pPr>
      <w:spacing w:after="0" w:line="240" w:lineRule="auto"/>
    </w:pPr>
    <w:rPr>
      <w:rFonts w:ascii="Calibri" w:eastAsia="Times New Roman" w:hAnsi="Calibri" w:cs="Times New Roman"/>
      <w:sz w:val="20"/>
      <w:szCs w:val="20"/>
      <w:lang w:eastAsia="cs-CZ"/>
    </w:rPr>
    <w:tblPr>
      <w:tblInd w:w="0" w:type="dxa"/>
      <w:tblCellMar>
        <w:top w:w="0" w:type="dxa"/>
        <w:left w:w="108" w:type="dxa"/>
        <w:bottom w:w="0" w:type="dxa"/>
        <w:right w:w="108" w:type="dxa"/>
      </w:tblCellMar>
    </w:tblPr>
  </w:style>
  <w:style w:type="table" w:customStyle="1" w:styleId="tabulkafinal">
    <w:name w:val="tabulka final"/>
    <w:uiPriority w:val="99"/>
    <w:rsid w:val="00B174B8"/>
    <w:pPr>
      <w:spacing w:after="0" w:line="240" w:lineRule="auto"/>
      <w:jc w:val="center"/>
    </w:pPr>
    <w:rPr>
      <w:rFonts w:ascii="Calibri" w:eastAsia="Times New Roman" w:hAnsi="Calibri"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lky">
    <w:name w:val="tabulky"/>
    <w:uiPriority w:val="99"/>
    <w:rsid w:val="00B174B8"/>
    <w:pPr>
      <w:spacing w:after="0" w:line="240" w:lineRule="auto"/>
      <w:jc w:val="center"/>
    </w:pPr>
    <w:rPr>
      <w:rFonts w:ascii="Calibri" w:eastAsia="Times New Roman" w:hAnsi="Calibri" w:cs="Times New Roman"/>
      <w:sz w:val="20"/>
      <w:szCs w:val="20"/>
      <w:lang w:eastAsia="cs-CZ"/>
    </w:rPr>
    <w:tblPr>
      <w:tblInd w:w="0" w:type="dxa"/>
      <w:tblCellMar>
        <w:top w:w="0" w:type="dxa"/>
        <w:left w:w="108" w:type="dxa"/>
        <w:bottom w:w="0" w:type="dxa"/>
        <w:right w:w="108" w:type="dxa"/>
      </w:tblCellMar>
    </w:tblPr>
  </w:style>
  <w:style w:type="paragraph" w:customStyle="1" w:styleId="Styl10bTunVlastnbarvaRGB0">
    <w:name w:val="Styl 10 b. Tučné Vlastní barva(RGB(0"/>
    <w:aliases w:val="32,96)) zarovnání na střed..."/>
    <w:basedOn w:val="Normln"/>
    <w:uiPriority w:val="99"/>
    <w:rsid w:val="00B174B8"/>
    <w:pPr>
      <w:spacing w:after="0" w:line="240" w:lineRule="auto"/>
      <w:jc w:val="center"/>
    </w:pPr>
    <w:rPr>
      <w:rFonts w:eastAsia="Calibri" w:cs="Times New Roman"/>
      <w:b/>
      <w:bCs/>
      <w:color w:val="002060"/>
      <w:sz w:val="20"/>
      <w:szCs w:val="20"/>
    </w:rPr>
  </w:style>
  <w:style w:type="paragraph" w:customStyle="1" w:styleId="Styl10bZa0bdkovnjednoduch">
    <w:name w:val="Styl 10 b. Za:  0 b. Řádkování:  jednoduché"/>
    <w:basedOn w:val="Normln"/>
    <w:next w:val="Styl10bTunVlastnbarvaRGB0"/>
    <w:uiPriority w:val="99"/>
    <w:rsid w:val="00B174B8"/>
    <w:pPr>
      <w:spacing w:after="0" w:line="240" w:lineRule="auto"/>
    </w:pPr>
    <w:rPr>
      <w:rFonts w:eastAsia="Calibri" w:cs="Times New Roman"/>
      <w:sz w:val="20"/>
      <w:szCs w:val="20"/>
    </w:rPr>
  </w:style>
  <w:style w:type="paragraph" w:styleId="Zkladntext">
    <w:name w:val="Body Text"/>
    <w:basedOn w:val="Normln"/>
    <w:link w:val="ZkladntextChar"/>
    <w:uiPriority w:val="99"/>
    <w:rsid w:val="00B174B8"/>
    <w:pPr>
      <w:spacing w:after="0" w:line="240" w:lineRule="auto"/>
      <w:jc w:val="left"/>
    </w:pPr>
    <w:rPr>
      <w:rFonts w:ascii="Times New Roman" w:hAnsi="Times New Roman" w:cs="Times New Roman"/>
      <w:sz w:val="24"/>
      <w:szCs w:val="20"/>
    </w:rPr>
  </w:style>
  <w:style w:type="character" w:customStyle="1" w:styleId="ZkladntextChar">
    <w:name w:val="Základní text Char"/>
    <w:basedOn w:val="Standardnpsmoodstavce"/>
    <w:link w:val="Zkladntext"/>
    <w:uiPriority w:val="99"/>
    <w:rsid w:val="00B174B8"/>
    <w:rPr>
      <w:rFonts w:ascii="Times New Roman" w:eastAsia="Times New Roman" w:hAnsi="Times New Roman" w:cs="Times New Roman"/>
      <w:sz w:val="24"/>
      <w:szCs w:val="20"/>
      <w:lang w:eastAsia="cs-CZ"/>
    </w:rPr>
  </w:style>
  <w:style w:type="character" w:styleId="Sledovanodkaz">
    <w:name w:val="FollowedHyperlink"/>
    <w:uiPriority w:val="99"/>
    <w:semiHidden/>
    <w:unhideWhenUsed/>
    <w:rsid w:val="00B174B8"/>
    <w:rPr>
      <w:color w:val="954F72"/>
      <w:u w:val="single"/>
    </w:rPr>
  </w:style>
  <w:style w:type="character" w:customStyle="1" w:styleId="TextpoznpodarouChar1">
    <w:name w:val="Text pozn. pod čarou Char1"/>
    <w:aliases w:val="Schriftart: 9 pt Char1,Schriftart: 10 pt Char1,Schriftart: 8 pt Char1,Text pozn. pod čarou_martin_ang Char1"/>
    <w:basedOn w:val="Standardnpsmoodstavce"/>
    <w:uiPriority w:val="99"/>
    <w:semiHidden/>
    <w:rsid w:val="00B174B8"/>
    <w:rPr>
      <w:rFonts w:ascii="Calibri" w:eastAsia="Times New Roman" w:hAnsi="Calibri" w:cs="Calibri"/>
      <w:sz w:val="20"/>
      <w:szCs w:val="20"/>
      <w:lang w:eastAsia="cs-CZ"/>
    </w:rPr>
  </w:style>
  <w:style w:type="paragraph" w:styleId="Revize">
    <w:name w:val="Revision"/>
    <w:hidden/>
    <w:uiPriority w:val="99"/>
    <w:semiHidden/>
    <w:rsid w:val="00B174B8"/>
    <w:pPr>
      <w:spacing w:after="0" w:line="240" w:lineRule="auto"/>
    </w:pPr>
    <w:rPr>
      <w:rFonts w:ascii="Calibri" w:eastAsia="Times New Roman" w:hAnsi="Calibri" w:cs="Calibri"/>
      <w:lang w:eastAsia="cs-CZ"/>
    </w:rPr>
  </w:style>
  <w:style w:type="paragraph" w:customStyle="1" w:styleId="Zdrojdat">
    <w:name w:val="Zdroj dat"/>
    <w:aliases w:val="pozn."/>
    <w:basedOn w:val="Normln"/>
    <w:next w:val="Normln"/>
    <w:link w:val="ZdrojdatChar"/>
    <w:uiPriority w:val="99"/>
    <w:qFormat/>
    <w:rsid w:val="00005545"/>
    <w:pPr>
      <w:spacing w:line="240" w:lineRule="auto"/>
      <w:contextualSpacing/>
    </w:pPr>
    <w:rPr>
      <w:rFonts w:eastAsiaTheme="minorHAnsi" w:cstheme="minorBidi"/>
      <w:i/>
      <w:sz w:val="18"/>
    </w:rPr>
  </w:style>
  <w:style w:type="character" w:customStyle="1" w:styleId="ZdrojdatChar">
    <w:name w:val="Zdroj dat Char"/>
    <w:aliases w:val="pozn. Char"/>
    <w:link w:val="Zdrojdat"/>
    <w:uiPriority w:val="99"/>
    <w:locked/>
    <w:rsid w:val="00005545"/>
    <w:rPr>
      <w:rFonts w:ascii="Calibri" w:hAnsi="Calibri"/>
      <w:i/>
      <w:sz w:val="18"/>
      <w:lang w:eastAsia="cs-CZ"/>
    </w:rPr>
  </w:style>
  <w:style w:type="paragraph" w:customStyle="1" w:styleId="Popiskaobrazek">
    <w:name w:val="Popiska obrazek"/>
    <w:basedOn w:val="Normln"/>
    <w:next w:val="Normln"/>
    <w:link w:val="PopiskaobrazekChar"/>
    <w:rsid w:val="0038370F"/>
    <w:pPr>
      <w:keepNext/>
      <w:keepLines/>
      <w:spacing w:before="120" w:after="0" w:line="240" w:lineRule="auto"/>
      <w:jc w:val="left"/>
    </w:pPr>
    <w:rPr>
      <w:rFonts w:ascii="Times New Roman" w:eastAsia="Calibri" w:hAnsi="Times New Roman" w:cs="Times New Roman"/>
      <w:b/>
      <w:sz w:val="20"/>
      <w:szCs w:val="20"/>
    </w:rPr>
  </w:style>
  <w:style w:type="character" w:customStyle="1" w:styleId="PopiskaobrazekChar">
    <w:name w:val="Popiska obrazek Char"/>
    <w:link w:val="Popiskaobrazek"/>
    <w:rsid w:val="0038370F"/>
    <w:rPr>
      <w:rFonts w:ascii="Times New Roman" w:eastAsia="Calibri" w:hAnsi="Times New Roman" w:cs="Times New Roman"/>
      <w:b/>
      <w:sz w:val="20"/>
      <w:szCs w:val="20"/>
      <w:lang w:eastAsia="cs-CZ"/>
    </w:rPr>
  </w:style>
  <w:style w:type="character" w:styleId="CittHTML">
    <w:name w:val="HTML Cite"/>
    <w:basedOn w:val="Standardnpsmoodstavce"/>
    <w:uiPriority w:val="99"/>
    <w:semiHidden/>
    <w:unhideWhenUsed/>
    <w:rsid w:val="0038370F"/>
    <w:rPr>
      <w:i/>
      <w:iCs/>
    </w:rPr>
  </w:style>
  <w:style w:type="paragraph" w:styleId="Bezmezer">
    <w:name w:val="No Spacing"/>
    <w:uiPriority w:val="1"/>
    <w:qFormat/>
    <w:rsid w:val="0038370F"/>
    <w:pPr>
      <w:spacing w:after="0" w:line="240" w:lineRule="auto"/>
      <w:jc w:val="both"/>
    </w:pPr>
    <w:rPr>
      <w:rFonts w:ascii="Calibri" w:eastAsia="Times New Roman" w:hAnsi="Calibri" w:cs="Calibri"/>
      <w:lang w:eastAsia="cs-CZ"/>
    </w:rPr>
  </w:style>
  <w:style w:type="character" w:customStyle="1" w:styleId="apple-converted-space">
    <w:name w:val="apple-converted-space"/>
    <w:basedOn w:val="Standardnpsmoodstavce"/>
    <w:rsid w:val="00087C0A"/>
  </w:style>
  <w:style w:type="paragraph" w:customStyle="1" w:styleId="kukk-rteelement-h4">
    <w:name w:val="kukk-rteelement-h4"/>
    <w:basedOn w:val="Normln"/>
    <w:uiPriority w:val="99"/>
    <w:rsid w:val="00087C0A"/>
    <w:pPr>
      <w:spacing w:before="100" w:beforeAutospacing="1" w:after="100" w:afterAutospacing="1" w:line="240" w:lineRule="auto"/>
      <w:jc w:val="left"/>
    </w:pPr>
    <w:rPr>
      <w:rFonts w:ascii="Times New Roman" w:hAnsi="Times New Roman" w:cs="Times New Roman"/>
      <w:sz w:val="24"/>
      <w:szCs w:val="24"/>
    </w:rPr>
  </w:style>
  <w:style w:type="paragraph" w:customStyle="1" w:styleId="Normln1">
    <w:name w:val="Normální1"/>
    <w:autoRedefine/>
    <w:rsid w:val="00087C0A"/>
    <w:pPr>
      <w:tabs>
        <w:tab w:val="left" w:pos="0"/>
        <w:tab w:val="left" w:pos="720"/>
      </w:tabs>
      <w:spacing w:before="120" w:after="0" w:line="240" w:lineRule="auto"/>
      <w:jc w:val="both"/>
    </w:pPr>
    <w:rPr>
      <w:rFonts w:ascii="Tahoma" w:eastAsia="Times New Roman" w:hAnsi="Tahoma" w:cs="Tahoma"/>
      <w:color w:val="000000"/>
      <w:sz w:val="20"/>
      <w:szCs w:val="20"/>
      <w:lang w:eastAsia="cs-CZ"/>
    </w:rPr>
  </w:style>
  <w:style w:type="paragraph" w:customStyle="1" w:styleId="doc-ti">
    <w:name w:val="doc-ti"/>
    <w:basedOn w:val="Normln"/>
    <w:uiPriority w:val="99"/>
    <w:rsid w:val="00087C0A"/>
    <w:pPr>
      <w:spacing w:before="100" w:beforeAutospacing="1" w:after="100" w:afterAutospacing="1" w:line="240" w:lineRule="auto"/>
      <w:jc w:val="left"/>
    </w:pPr>
    <w:rPr>
      <w:rFonts w:ascii="Times New Roman" w:hAnsi="Times New Roman" w:cs="Times New Roman"/>
      <w:sz w:val="24"/>
      <w:szCs w:val="24"/>
    </w:rPr>
  </w:style>
  <w:style w:type="paragraph" w:customStyle="1" w:styleId="Normln2">
    <w:name w:val="Normální2"/>
    <w:basedOn w:val="Normln"/>
    <w:uiPriority w:val="99"/>
    <w:rsid w:val="00087C0A"/>
    <w:pPr>
      <w:spacing w:before="100" w:beforeAutospacing="1" w:after="100" w:afterAutospacing="1" w:line="240" w:lineRule="auto"/>
      <w:jc w:val="left"/>
    </w:pPr>
    <w:rPr>
      <w:rFonts w:ascii="Times New Roman" w:hAnsi="Times New Roman" w:cs="Times New Roman"/>
      <w:sz w:val="24"/>
      <w:szCs w:val="24"/>
    </w:rPr>
  </w:style>
  <w:style w:type="character" w:customStyle="1" w:styleId="Nadpis2Char1">
    <w:name w:val="Nadpis 2 Char1"/>
    <w:aliases w:val="Nadpis 2 BG Char1"/>
    <w:basedOn w:val="Standardnpsmoodstavce"/>
    <w:uiPriority w:val="99"/>
    <w:semiHidden/>
    <w:rsid w:val="00131A3A"/>
    <w:rPr>
      <w:rFonts w:asciiTheme="majorHAnsi" w:eastAsiaTheme="majorEastAsia" w:hAnsiTheme="majorHAnsi" w:cstheme="majorBidi"/>
      <w:b/>
      <w:bCs/>
      <w:color w:val="5B9BD5" w:themeColor="accent1"/>
      <w:sz w:val="26"/>
      <w:szCs w:val="26"/>
      <w:lang w:eastAsia="cs-CZ"/>
    </w:rPr>
  </w:style>
  <w:style w:type="character" w:customStyle="1" w:styleId="Nadpis3Char1">
    <w:name w:val="Nadpis 3 Char1"/>
    <w:aliases w:val="seznam. lit. Char1"/>
    <w:basedOn w:val="Standardnpsmoodstavce"/>
    <w:uiPriority w:val="99"/>
    <w:semiHidden/>
    <w:rsid w:val="00131A3A"/>
    <w:rPr>
      <w:rFonts w:asciiTheme="majorHAnsi" w:eastAsiaTheme="majorEastAsia" w:hAnsiTheme="majorHAnsi" w:cstheme="majorBidi"/>
      <w:b/>
      <w:bCs/>
      <w:color w:val="5B9BD5" w:themeColor="accent1"/>
      <w:sz w:val="22"/>
      <w:szCs w:val="22"/>
      <w:lang w:eastAsia="cs-CZ"/>
    </w:rPr>
  </w:style>
  <w:style w:type="character" w:customStyle="1" w:styleId="CittChar1">
    <w:name w:val="Citát Char1"/>
    <w:aliases w:val="Názvy tab/grafů Char1"/>
    <w:basedOn w:val="Standardnpsmoodstavce"/>
    <w:uiPriority w:val="29"/>
    <w:rsid w:val="00131A3A"/>
    <w:rPr>
      <w:rFonts w:ascii="Calibri" w:eastAsia="Times New Roman" w:hAnsi="Calibri" w:cs="Calibri"/>
      <w:i/>
      <w:iCs/>
      <w:color w:val="000000" w:themeColor="text1"/>
      <w:lang w:eastAsia="cs-CZ"/>
    </w:rPr>
  </w:style>
  <w:style w:type="paragraph" w:customStyle="1" w:styleId="notop">
    <w:name w:val="notop"/>
    <w:basedOn w:val="Normln"/>
    <w:uiPriority w:val="99"/>
    <w:rsid w:val="00131A3A"/>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4477">
      <w:bodyDiv w:val="1"/>
      <w:marLeft w:val="0"/>
      <w:marRight w:val="0"/>
      <w:marTop w:val="0"/>
      <w:marBottom w:val="0"/>
      <w:divBdr>
        <w:top w:val="none" w:sz="0" w:space="0" w:color="auto"/>
        <w:left w:val="none" w:sz="0" w:space="0" w:color="auto"/>
        <w:bottom w:val="none" w:sz="0" w:space="0" w:color="auto"/>
        <w:right w:val="none" w:sz="0" w:space="0" w:color="auto"/>
      </w:divBdr>
    </w:div>
    <w:div w:id="84150999">
      <w:bodyDiv w:val="1"/>
      <w:marLeft w:val="0"/>
      <w:marRight w:val="0"/>
      <w:marTop w:val="0"/>
      <w:marBottom w:val="0"/>
      <w:divBdr>
        <w:top w:val="none" w:sz="0" w:space="0" w:color="auto"/>
        <w:left w:val="none" w:sz="0" w:space="0" w:color="auto"/>
        <w:bottom w:val="none" w:sz="0" w:space="0" w:color="auto"/>
        <w:right w:val="none" w:sz="0" w:space="0" w:color="auto"/>
      </w:divBdr>
    </w:div>
    <w:div w:id="158010715">
      <w:bodyDiv w:val="1"/>
      <w:marLeft w:val="0"/>
      <w:marRight w:val="0"/>
      <w:marTop w:val="0"/>
      <w:marBottom w:val="0"/>
      <w:divBdr>
        <w:top w:val="none" w:sz="0" w:space="0" w:color="auto"/>
        <w:left w:val="none" w:sz="0" w:space="0" w:color="auto"/>
        <w:bottom w:val="none" w:sz="0" w:space="0" w:color="auto"/>
        <w:right w:val="none" w:sz="0" w:space="0" w:color="auto"/>
      </w:divBdr>
    </w:div>
    <w:div w:id="583030166">
      <w:bodyDiv w:val="1"/>
      <w:marLeft w:val="0"/>
      <w:marRight w:val="0"/>
      <w:marTop w:val="0"/>
      <w:marBottom w:val="0"/>
      <w:divBdr>
        <w:top w:val="none" w:sz="0" w:space="0" w:color="auto"/>
        <w:left w:val="none" w:sz="0" w:space="0" w:color="auto"/>
        <w:bottom w:val="none" w:sz="0" w:space="0" w:color="auto"/>
        <w:right w:val="none" w:sz="0" w:space="0" w:color="auto"/>
      </w:divBdr>
    </w:div>
    <w:div w:id="896739568">
      <w:bodyDiv w:val="1"/>
      <w:marLeft w:val="0"/>
      <w:marRight w:val="0"/>
      <w:marTop w:val="0"/>
      <w:marBottom w:val="0"/>
      <w:divBdr>
        <w:top w:val="none" w:sz="0" w:space="0" w:color="auto"/>
        <w:left w:val="none" w:sz="0" w:space="0" w:color="auto"/>
        <w:bottom w:val="none" w:sz="0" w:space="0" w:color="auto"/>
        <w:right w:val="none" w:sz="0" w:space="0" w:color="auto"/>
      </w:divBdr>
    </w:div>
    <w:div w:id="922185067">
      <w:bodyDiv w:val="1"/>
      <w:marLeft w:val="0"/>
      <w:marRight w:val="0"/>
      <w:marTop w:val="0"/>
      <w:marBottom w:val="0"/>
      <w:divBdr>
        <w:top w:val="none" w:sz="0" w:space="0" w:color="auto"/>
        <w:left w:val="none" w:sz="0" w:space="0" w:color="auto"/>
        <w:bottom w:val="none" w:sz="0" w:space="0" w:color="auto"/>
        <w:right w:val="none" w:sz="0" w:space="0" w:color="auto"/>
      </w:divBdr>
    </w:div>
    <w:div w:id="954601237">
      <w:bodyDiv w:val="1"/>
      <w:marLeft w:val="0"/>
      <w:marRight w:val="0"/>
      <w:marTop w:val="0"/>
      <w:marBottom w:val="0"/>
      <w:divBdr>
        <w:top w:val="none" w:sz="0" w:space="0" w:color="auto"/>
        <w:left w:val="none" w:sz="0" w:space="0" w:color="auto"/>
        <w:bottom w:val="none" w:sz="0" w:space="0" w:color="auto"/>
        <w:right w:val="none" w:sz="0" w:space="0" w:color="auto"/>
      </w:divBdr>
    </w:div>
    <w:div w:id="1007319404">
      <w:bodyDiv w:val="1"/>
      <w:marLeft w:val="0"/>
      <w:marRight w:val="0"/>
      <w:marTop w:val="0"/>
      <w:marBottom w:val="0"/>
      <w:divBdr>
        <w:top w:val="none" w:sz="0" w:space="0" w:color="auto"/>
        <w:left w:val="none" w:sz="0" w:space="0" w:color="auto"/>
        <w:bottom w:val="none" w:sz="0" w:space="0" w:color="auto"/>
        <w:right w:val="none" w:sz="0" w:space="0" w:color="auto"/>
      </w:divBdr>
    </w:div>
    <w:div w:id="1047072414">
      <w:bodyDiv w:val="1"/>
      <w:marLeft w:val="0"/>
      <w:marRight w:val="0"/>
      <w:marTop w:val="0"/>
      <w:marBottom w:val="0"/>
      <w:divBdr>
        <w:top w:val="none" w:sz="0" w:space="0" w:color="auto"/>
        <w:left w:val="none" w:sz="0" w:space="0" w:color="auto"/>
        <w:bottom w:val="none" w:sz="0" w:space="0" w:color="auto"/>
        <w:right w:val="none" w:sz="0" w:space="0" w:color="auto"/>
      </w:divBdr>
    </w:div>
    <w:div w:id="1201433997">
      <w:bodyDiv w:val="1"/>
      <w:marLeft w:val="0"/>
      <w:marRight w:val="0"/>
      <w:marTop w:val="0"/>
      <w:marBottom w:val="0"/>
      <w:divBdr>
        <w:top w:val="none" w:sz="0" w:space="0" w:color="auto"/>
        <w:left w:val="none" w:sz="0" w:space="0" w:color="auto"/>
        <w:bottom w:val="none" w:sz="0" w:space="0" w:color="auto"/>
        <w:right w:val="none" w:sz="0" w:space="0" w:color="auto"/>
      </w:divBdr>
      <w:divsChild>
        <w:div w:id="990016144">
          <w:marLeft w:val="0"/>
          <w:marRight w:val="0"/>
          <w:marTop w:val="0"/>
          <w:marBottom w:val="0"/>
          <w:divBdr>
            <w:top w:val="none" w:sz="0" w:space="0" w:color="auto"/>
            <w:left w:val="none" w:sz="0" w:space="0" w:color="auto"/>
            <w:bottom w:val="none" w:sz="0" w:space="0" w:color="auto"/>
            <w:right w:val="none" w:sz="0" w:space="0" w:color="auto"/>
          </w:divBdr>
        </w:div>
        <w:div w:id="2049211315">
          <w:marLeft w:val="0"/>
          <w:marRight w:val="0"/>
          <w:marTop w:val="0"/>
          <w:marBottom w:val="0"/>
          <w:divBdr>
            <w:top w:val="none" w:sz="0" w:space="0" w:color="auto"/>
            <w:left w:val="none" w:sz="0" w:space="0" w:color="auto"/>
            <w:bottom w:val="none" w:sz="0" w:space="0" w:color="auto"/>
            <w:right w:val="none" w:sz="0" w:space="0" w:color="auto"/>
          </w:divBdr>
        </w:div>
      </w:divsChild>
    </w:div>
    <w:div w:id="1419982159">
      <w:bodyDiv w:val="1"/>
      <w:marLeft w:val="0"/>
      <w:marRight w:val="0"/>
      <w:marTop w:val="0"/>
      <w:marBottom w:val="0"/>
      <w:divBdr>
        <w:top w:val="none" w:sz="0" w:space="0" w:color="auto"/>
        <w:left w:val="none" w:sz="0" w:space="0" w:color="auto"/>
        <w:bottom w:val="none" w:sz="0" w:space="0" w:color="auto"/>
        <w:right w:val="none" w:sz="0" w:space="0" w:color="auto"/>
      </w:divBdr>
    </w:div>
    <w:div w:id="1627613726">
      <w:bodyDiv w:val="1"/>
      <w:marLeft w:val="0"/>
      <w:marRight w:val="0"/>
      <w:marTop w:val="0"/>
      <w:marBottom w:val="0"/>
      <w:divBdr>
        <w:top w:val="none" w:sz="0" w:space="0" w:color="auto"/>
        <w:left w:val="none" w:sz="0" w:space="0" w:color="auto"/>
        <w:bottom w:val="none" w:sz="0" w:space="0" w:color="auto"/>
        <w:right w:val="none" w:sz="0" w:space="0" w:color="auto"/>
      </w:divBdr>
    </w:div>
    <w:div w:id="1679112400">
      <w:bodyDiv w:val="1"/>
      <w:marLeft w:val="0"/>
      <w:marRight w:val="0"/>
      <w:marTop w:val="0"/>
      <w:marBottom w:val="0"/>
      <w:divBdr>
        <w:top w:val="none" w:sz="0" w:space="0" w:color="auto"/>
        <w:left w:val="none" w:sz="0" w:space="0" w:color="auto"/>
        <w:bottom w:val="none" w:sz="0" w:space="0" w:color="auto"/>
        <w:right w:val="none" w:sz="0" w:space="0" w:color="auto"/>
      </w:divBdr>
    </w:div>
    <w:div w:id="1938900578">
      <w:bodyDiv w:val="1"/>
      <w:marLeft w:val="0"/>
      <w:marRight w:val="0"/>
      <w:marTop w:val="0"/>
      <w:marBottom w:val="0"/>
      <w:divBdr>
        <w:top w:val="none" w:sz="0" w:space="0" w:color="auto"/>
        <w:left w:val="none" w:sz="0" w:space="0" w:color="auto"/>
        <w:bottom w:val="none" w:sz="0" w:space="0" w:color="auto"/>
        <w:right w:val="none" w:sz="0" w:space="0" w:color="auto"/>
      </w:divBdr>
    </w:div>
    <w:div w:id="209532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uov.cz/nezamestnanost-absolventu-skol" TargetMode="External"/><Relationship Id="rId21" Type="http://schemas.openxmlformats.org/officeDocument/2006/relationships/chart" Target="charts/chart5.xml"/><Relationship Id="rId42" Type="http://schemas.openxmlformats.org/officeDocument/2006/relationships/hyperlink" Target="http://www.cnb.cz/cs/statistika/platebni_bilance_stat/publikace_pb/pzi/index.html" TargetMode="External"/><Relationship Id="rId63" Type="http://schemas.openxmlformats.org/officeDocument/2006/relationships/hyperlink" Target="https://www.czso.cz/csu/czso/inovacni-aktivity-podniku-v-ceske-republice-2008-az-2010-1209129u35" TargetMode="External"/><Relationship Id="rId84" Type="http://schemas.openxmlformats.org/officeDocument/2006/relationships/hyperlink" Target="http://www.kr-karlovarsky.cz/cyklo/cyklotrasy/Stranky/MostniStezka.aspx" TargetMode="External"/><Relationship Id="rId138" Type="http://schemas.openxmlformats.org/officeDocument/2006/relationships/image" Target="media/image20.emf"/><Relationship Id="rId159" Type="http://schemas.microsoft.com/office/2007/relationships/hdphoto" Target="media/hdphoto1.wdp"/><Relationship Id="rId170" Type="http://schemas.openxmlformats.org/officeDocument/2006/relationships/chart" Target="charts/chart44.xml"/><Relationship Id="rId191" Type="http://schemas.openxmlformats.org/officeDocument/2006/relationships/hyperlink" Target="http://silvie-r-kucerova.cz/texty/Perlin_Kucerova_Kucera2010.pdf" TargetMode="External"/><Relationship Id="rId205" Type="http://schemas.openxmlformats.org/officeDocument/2006/relationships/hyperlink" Target="https://www.czso.cz/csu/czso/statisticka-rocenka-karlovarskeho-kraje-2015" TargetMode="External"/><Relationship Id="rId107" Type="http://schemas.openxmlformats.org/officeDocument/2006/relationships/hyperlink" Target="https://www.czso.cz/csu/czso/demograficka-rocenka-ceske-republiky-2014" TargetMode="External"/><Relationship Id="rId11" Type="http://schemas.openxmlformats.org/officeDocument/2006/relationships/image" Target="media/image1.png"/><Relationship Id="rId32" Type="http://schemas.openxmlformats.org/officeDocument/2006/relationships/hyperlink" Target="http://www.karlovyvary-region.eu/cz/investicni-prilezitosti/prumyslova-zona-bss-banska-stavebni-spolecnost-s-r-o" TargetMode="External"/><Relationship Id="rId37" Type="http://schemas.openxmlformats.org/officeDocument/2006/relationships/hyperlink" Target="http://www.karlovyvary-region.eu/cz/investicni-prilezitosti/otovice-7493" TargetMode="External"/><Relationship Id="rId53" Type="http://schemas.openxmlformats.org/officeDocument/2006/relationships/chart" Target="charts/chart13.xml"/><Relationship Id="rId58" Type="http://schemas.openxmlformats.org/officeDocument/2006/relationships/chart" Target="charts/chart14.xml"/><Relationship Id="rId74" Type="http://schemas.openxmlformats.org/officeDocument/2006/relationships/hyperlink" Target="http://www.atlasceska.cz/karlovarsky-kraj/lazne-kynzvart/" TargetMode="External"/><Relationship Id="rId79" Type="http://schemas.openxmlformats.org/officeDocument/2006/relationships/hyperlink" Target="http://www.kr-karlovarsky.cz/cyklo/cyklotrasy/cheb/Stranky/Popis_23-1.aspx" TargetMode="External"/><Relationship Id="rId102" Type="http://schemas.openxmlformats.org/officeDocument/2006/relationships/chart" Target="charts/chart28.xml"/><Relationship Id="rId123" Type="http://schemas.openxmlformats.org/officeDocument/2006/relationships/image" Target="media/image15.jpeg"/><Relationship Id="rId128" Type="http://schemas.openxmlformats.org/officeDocument/2006/relationships/hyperlink" Target="https://www.esfcr.cz/mapa-svl-2015/www/analyza_socialne_vyloucenych_lokalit_gac.pdf" TargetMode="External"/><Relationship Id="rId144" Type="http://schemas.openxmlformats.org/officeDocument/2006/relationships/hyperlink" Target="javascript:" TargetMode="External"/><Relationship Id="rId149" Type="http://schemas.openxmlformats.org/officeDocument/2006/relationships/hyperlink" Target="http://www.uzis.cz/cr-kraje" TargetMode="External"/><Relationship Id="rId5" Type="http://schemas.openxmlformats.org/officeDocument/2006/relationships/numbering" Target="numbering.xml"/><Relationship Id="rId90" Type="http://schemas.openxmlformats.org/officeDocument/2006/relationships/hyperlink" Target="http://www.czechtourism.cz/nase-sluzby-pro-vas/marketingovy-plan/" TargetMode="External"/><Relationship Id="rId95" Type="http://schemas.openxmlformats.org/officeDocument/2006/relationships/chart" Target="charts/chart23.xml"/><Relationship Id="rId160" Type="http://schemas.openxmlformats.org/officeDocument/2006/relationships/image" Target="media/image24.png"/><Relationship Id="rId165" Type="http://schemas.openxmlformats.org/officeDocument/2006/relationships/image" Target="media/image27.png"/><Relationship Id="rId181" Type="http://schemas.openxmlformats.org/officeDocument/2006/relationships/hyperlink" Target="http://www.kr-karlovarsky.cz/region/uzem_plan/Stranky/UAP-KK/UAP_Karlovarskeho_kraje.aspx" TargetMode="External"/><Relationship Id="rId186" Type="http://schemas.openxmlformats.org/officeDocument/2006/relationships/image" Target="media/image36.jpeg"/><Relationship Id="rId211"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www.karlovyvary-region.eu/cz/investicni-prilezitosti/panattoni-park-as" TargetMode="External"/><Relationship Id="rId43" Type="http://schemas.openxmlformats.org/officeDocument/2006/relationships/hyperlink" Target="http://docplayer.cz/6276359-Potencial-vyrobnich-arealu-a-jejich-prinos-pro-hospodarstvi-karlovarskeho-kraje.html" TargetMode="External"/><Relationship Id="rId48" Type="http://schemas.openxmlformats.org/officeDocument/2006/relationships/hyperlink" Target="http://www.kr-karlovarsky.cz/samosprava/dokumenty/Stranky/koncepce/seznam/strat_rozvoj_kon.aspx" TargetMode="External"/><Relationship Id="rId64" Type="http://schemas.openxmlformats.org/officeDocument/2006/relationships/hyperlink" Target="https://www.czso.cz/csu/czso/inovacni-aktivity-podniku-v-cr-2012-az-2014" TargetMode="External"/><Relationship Id="rId69" Type="http://schemas.openxmlformats.org/officeDocument/2006/relationships/chart" Target="charts/chart18.xml"/><Relationship Id="rId113" Type="http://schemas.openxmlformats.org/officeDocument/2006/relationships/image" Target="media/image10.png"/><Relationship Id="rId118" Type="http://schemas.openxmlformats.org/officeDocument/2006/relationships/hyperlink" Target="http://www.nuv.cz/t/vzdelavani-a-trh-prace-v-krajich-cr-1" TargetMode="External"/><Relationship Id="rId134" Type="http://schemas.openxmlformats.org/officeDocument/2006/relationships/image" Target="media/image16.png"/><Relationship Id="rId139" Type="http://schemas.openxmlformats.org/officeDocument/2006/relationships/image" Target="media/image21.png"/><Relationship Id="rId80" Type="http://schemas.openxmlformats.org/officeDocument/2006/relationships/hyperlink" Target="http://www.kr-karlovarsky.cz/cyklo/cyklotrasy/marianske-lazne/Stranky/Popis_36.aspx" TargetMode="External"/><Relationship Id="rId85" Type="http://schemas.openxmlformats.org/officeDocument/2006/relationships/hyperlink" Target="http://www.kr-karlovarsky.cz/cyklo/Stranky/Aktuality_archiv/2013/elsterardweg.aspx" TargetMode="External"/><Relationship Id="rId150" Type="http://schemas.openxmlformats.org/officeDocument/2006/relationships/hyperlink" Target="http://www.uzis.cz/publikace/zdravotnictvi-karlovarskeho-kraje-2013" TargetMode="External"/><Relationship Id="rId155" Type="http://schemas.openxmlformats.org/officeDocument/2006/relationships/chart" Target="charts/chart41.xml"/><Relationship Id="rId171" Type="http://schemas.openxmlformats.org/officeDocument/2006/relationships/hyperlink" Target="http://www1.cenia.cz/www/sites/default/files/Karlovarsky.pdf" TargetMode="External"/><Relationship Id="rId176" Type="http://schemas.openxmlformats.org/officeDocument/2006/relationships/chart" Target="charts/chart46.xml"/><Relationship Id="rId192" Type="http://schemas.openxmlformats.org/officeDocument/2006/relationships/image" Target="media/image38.jpeg"/><Relationship Id="rId197" Type="http://schemas.openxmlformats.org/officeDocument/2006/relationships/chart" Target="charts/chart49.xml"/><Relationship Id="rId206" Type="http://schemas.openxmlformats.org/officeDocument/2006/relationships/footer" Target="footer1.xml"/><Relationship Id="rId201" Type="http://schemas.openxmlformats.org/officeDocument/2006/relationships/image" Target="media/image42.png"/><Relationship Id="rId12" Type="http://schemas.openxmlformats.org/officeDocument/2006/relationships/hyperlink" Target="http://www.nuov.cz/" TargetMode="External"/><Relationship Id="rId17" Type="http://schemas.openxmlformats.org/officeDocument/2006/relationships/chart" Target="charts/chart2.xml"/><Relationship Id="rId33" Type="http://schemas.openxmlformats.org/officeDocument/2006/relationships/hyperlink" Target="http://www.karlovyvary-region.eu/cz/investicni-prilezitosti/prumyslova-zona-pratelstvi-silvestr" TargetMode="External"/><Relationship Id="rId38" Type="http://schemas.openxmlformats.org/officeDocument/2006/relationships/hyperlink" Target="http://www.karlovyvary-region.eu/cz/investicni-prilezitosti/prumyslova-zona-ostrov" TargetMode="External"/><Relationship Id="rId59" Type="http://schemas.openxmlformats.org/officeDocument/2006/relationships/chart" Target="charts/chart15.xml"/><Relationship Id="rId103" Type="http://schemas.openxmlformats.org/officeDocument/2006/relationships/chart" Target="charts/chart29.xml"/><Relationship Id="rId108" Type="http://schemas.openxmlformats.org/officeDocument/2006/relationships/hyperlink" Target="https://www.czso.cz/csu/czso/demograficka-rocenka-kraju-2006-az-2015" TargetMode="External"/><Relationship Id="rId124" Type="http://schemas.openxmlformats.org/officeDocument/2006/relationships/hyperlink" Target="http://www.socialni-zaclenovani.cz/systemove-zajisteni-socialniho-zaclenovani" TargetMode="External"/><Relationship Id="rId129" Type="http://schemas.openxmlformats.org/officeDocument/2006/relationships/hyperlink" Target="http://www.kr-karlovarsky.cz/samosprava/dokumenty/Stranky/koncepce/seznam/SPRSS.aspx" TargetMode="External"/><Relationship Id="rId54" Type="http://schemas.openxmlformats.org/officeDocument/2006/relationships/image" Target="media/image6.png"/><Relationship Id="rId70" Type="http://schemas.openxmlformats.org/officeDocument/2006/relationships/chart" Target="charts/chart19.xml"/><Relationship Id="rId75" Type="http://schemas.openxmlformats.org/officeDocument/2006/relationships/image" Target="media/image9.png"/><Relationship Id="rId91" Type="http://schemas.openxmlformats.org/officeDocument/2006/relationships/hyperlink" Target="http://www.czechtourism.cz/getmedia/fa20d069-2d8b-4d19-8591-b19083531b33/11_12_13_marketingova_strategie.pdf.aspx" TargetMode="External"/><Relationship Id="rId96" Type="http://schemas.openxmlformats.org/officeDocument/2006/relationships/chart" Target="charts/chart24.xml"/><Relationship Id="rId140" Type="http://schemas.openxmlformats.org/officeDocument/2006/relationships/image" Target="media/image22.emf"/><Relationship Id="rId145" Type="http://schemas.openxmlformats.org/officeDocument/2006/relationships/hyperlink" Target="http://www.hospice.cz/wp-content/uploads/oldhosp/Hunes-HOSPIC-SOCIALNI_FENOMEN_MODERNI_SPOLECNOSTI.pdf" TargetMode="External"/><Relationship Id="rId161" Type="http://schemas.openxmlformats.org/officeDocument/2006/relationships/chart" Target="charts/chart42.xml"/><Relationship Id="rId166" Type="http://schemas.openxmlformats.org/officeDocument/2006/relationships/image" Target="media/image28.jpeg"/><Relationship Id="rId182" Type="http://schemas.openxmlformats.org/officeDocument/2006/relationships/image" Target="media/image32.jpeg"/><Relationship Id="rId187"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chart" Target="charts/chart6.xml"/><Relationship Id="rId28" Type="http://schemas.openxmlformats.org/officeDocument/2006/relationships/hyperlink" Target="http://www.karlovyvary-region.eu/cz/investicni-prilezitosti/skalna-7481" TargetMode="External"/><Relationship Id="rId49" Type="http://schemas.openxmlformats.org/officeDocument/2006/relationships/hyperlink" Target="http://www.karp-kv.cz/cz/Documents/Analyza_inovacniho_potencialu_firem_KK.pdf" TargetMode="External"/><Relationship Id="rId114" Type="http://schemas.openxmlformats.org/officeDocument/2006/relationships/image" Target="media/image11.png"/><Relationship Id="rId119" Type="http://schemas.openxmlformats.org/officeDocument/2006/relationships/image" Target="media/image12.png"/><Relationship Id="rId44" Type="http://schemas.openxmlformats.org/officeDocument/2006/relationships/hyperlink" Target="http://www.karp-kv.cz/cz/Documents/SRZKK_final_09_2015.pdf" TargetMode="External"/><Relationship Id="rId60" Type="http://schemas.openxmlformats.org/officeDocument/2006/relationships/chart" Target="charts/chart16.xml"/><Relationship Id="rId65" Type="http://schemas.openxmlformats.org/officeDocument/2006/relationships/image" Target="media/image8.png"/><Relationship Id="rId81" Type="http://schemas.openxmlformats.org/officeDocument/2006/relationships/hyperlink" Target="http://www.kr-karlovarsky.cz/cyklo/cyklotrasy/karlovy-vary/Stranky/Popis_39.aspx" TargetMode="External"/><Relationship Id="rId86" Type="http://schemas.openxmlformats.org/officeDocument/2006/relationships/hyperlink" Target="https://vdb.czso.cz/vdbvo2/" TargetMode="External"/><Relationship Id="rId130" Type="http://schemas.openxmlformats.org/officeDocument/2006/relationships/hyperlink" Target="http://www.kr-karlovarsky.cz/samosprava/dokumenty/Stranky/koncepce/seznam/SPRSS.aspx" TargetMode="External"/><Relationship Id="rId135" Type="http://schemas.openxmlformats.org/officeDocument/2006/relationships/image" Target="media/image17.emf"/><Relationship Id="rId151" Type="http://schemas.openxmlformats.org/officeDocument/2006/relationships/chart" Target="charts/chart37.xml"/><Relationship Id="rId156" Type="http://schemas.openxmlformats.org/officeDocument/2006/relationships/hyperlink" Target="https://www.czso.cz/csu/czso/rocenky_souhrn" TargetMode="External"/><Relationship Id="rId177" Type="http://schemas.openxmlformats.org/officeDocument/2006/relationships/chart" Target="charts/chart47.xml"/><Relationship Id="rId198" Type="http://schemas.openxmlformats.org/officeDocument/2006/relationships/hyperlink" Target="https://www.czso.cz/csu/czso/statisticka-rocenka-karlovarskeho-kraje-2015" TargetMode="External"/><Relationship Id="rId172" Type="http://schemas.openxmlformats.org/officeDocument/2006/relationships/hyperlink" Target="https://www.czso.cz/csu/czso/produkce-vyuziti-a-odstraneni-odpadu-2014" TargetMode="External"/><Relationship Id="rId193" Type="http://schemas.openxmlformats.org/officeDocument/2006/relationships/image" Target="media/image39.jpeg"/><Relationship Id="rId202" Type="http://schemas.openxmlformats.org/officeDocument/2006/relationships/hyperlink" Target="https://www.czso.cz/csu/czso/statisticka-rocenka-karlovarskeho-kraje-2015" TargetMode="External"/><Relationship Id="rId207" Type="http://schemas.openxmlformats.org/officeDocument/2006/relationships/hyperlink" Target="http://www.smartadministration.cz/" TargetMode="External"/><Relationship Id="rId13" Type="http://schemas.openxmlformats.org/officeDocument/2006/relationships/image" Target="media/image2.png"/><Relationship Id="rId18" Type="http://schemas.openxmlformats.org/officeDocument/2006/relationships/hyperlink" Target="http://apl.czso.cz/pll/rocenka/rocenka.indexnu_reg" TargetMode="External"/><Relationship Id="rId39" Type="http://schemas.openxmlformats.org/officeDocument/2006/relationships/hyperlink" Target="http://www.karlovyvary-region.eu/cz/investicni-prilezitosti/veznice-horni-slavkov" TargetMode="External"/><Relationship Id="rId109" Type="http://schemas.openxmlformats.org/officeDocument/2006/relationships/hyperlink" Target="https://www.czso.cz/csu/czso/projekce-obyvatelstva-v-krajich-a-oblastech-cr-do-roku-2065-n-d4vpepwgwt" TargetMode="External"/><Relationship Id="rId34" Type="http://schemas.openxmlformats.org/officeDocument/2006/relationships/hyperlink" Target="http://www.karlovyvary-region.eu/cz/investicni-prilezitosti/prumyslova-zona-sokolov-stare-sedlo" TargetMode="External"/><Relationship Id="rId50" Type="http://schemas.openxmlformats.org/officeDocument/2006/relationships/hyperlink" Target="http://www.spcr.cz/files/cz/media/spektrum/analyza_prumyslu.pdf" TargetMode="External"/><Relationship Id="rId55" Type="http://schemas.openxmlformats.org/officeDocument/2006/relationships/hyperlink" Target="http://apl.czso.cz/pll/vykazy/pdf113?xvyk=2098&amp;cd=0" TargetMode="External"/><Relationship Id="rId76" Type="http://schemas.openxmlformats.org/officeDocument/2006/relationships/hyperlink" Target="http://www.kviff.com/cs/uvod" TargetMode="External"/><Relationship Id="rId97" Type="http://schemas.openxmlformats.org/officeDocument/2006/relationships/chart" Target="charts/chart25.xml"/><Relationship Id="rId104" Type="http://schemas.openxmlformats.org/officeDocument/2006/relationships/chart" Target="charts/chart30.xml"/><Relationship Id="rId120" Type="http://schemas.openxmlformats.org/officeDocument/2006/relationships/image" Target="media/image13.png"/><Relationship Id="rId125" Type="http://schemas.openxmlformats.org/officeDocument/2006/relationships/hyperlink" Target="https://www.czso.cz/csu/czso/statisticka-rocenka-karlovarskeho-kraje-2015" TargetMode="External"/><Relationship Id="rId141" Type="http://schemas.openxmlformats.org/officeDocument/2006/relationships/chart" Target="charts/chart34.xml"/><Relationship Id="rId146" Type="http://schemas.openxmlformats.org/officeDocument/2006/relationships/hyperlink" Target="http://www.kr-karlovarsky.cz/krajsky-urad/cinnosti/Stranky/zdravotnictvi/seznam/strategie.aspx" TargetMode="External"/><Relationship Id="rId167" Type="http://schemas.openxmlformats.org/officeDocument/2006/relationships/image" Target="media/image29.jpeg"/><Relationship Id="rId188" Type="http://schemas.openxmlformats.org/officeDocument/2006/relationships/hyperlink" Target="http://rskuk.cz/files/Zapis-20160331/prilohy/20160316_Vstupni-analyza-Strategie-hospodarske-restrukturalizace-ULK-MS....pdf" TargetMode="External"/><Relationship Id="rId7" Type="http://schemas.openxmlformats.org/officeDocument/2006/relationships/settings" Target="settings.xml"/><Relationship Id="rId71" Type="http://schemas.openxmlformats.org/officeDocument/2006/relationships/hyperlink" Target="http://www.atlasceska.cz/karlovarsky-kraj/lazne-karlovy-vary/" TargetMode="External"/><Relationship Id="rId92" Type="http://schemas.openxmlformats.org/officeDocument/2006/relationships/chart" Target="charts/chart20.xml"/><Relationship Id="rId162" Type="http://schemas.openxmlformats.org/officeDocument/2006/relationships/image" Target="media/image25.png"/><Relationship Id="rId183" Type="http://schemas.openxmlformats.org/officeDocument/2006/relationships/image" Target="media/image33.jpeg"/><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karlovyvary-region.eu/cz/investicni-prilezitosti/prumyslovy-park-cheb" TargetMode="External"/><Relationship Id="rId24" Type="http://schemas.openxmlformats.org/officeDocument/2006/relationships/chart" Target="charts/chart7.xml"/><Relationship Id="rId40" Type="http://schemas.openxmlformats.org/officeDocument/2006/relationships/hyperlink" Target="http://www.karlovyvary-region.eu/cz/investicni-prilezitosti" TargetMode="External"/><Relationship Id="rId45" Type="http://schemas.openxmlformats.org/officeDocument/2006/relationships/chart" Target="charts/chart9.xml"/><Relationship Id="rId66" Type="http://schemas.openxmlformats.org/officeDocument/2006/relationships/hyperlink" Target="http://www.kr-karlovarsky.cz/egovernment/Stranky/Projekty/Projekty.aspx" TargetMode="External"/><Relationship Id="rId87" Type="http://schemas.openxmlformats.org/officeDocument/2006/relationships/hyperlink" Target="http://www.uzis.cz/katalog/zdravotnicka-statistika/lazenska-pece" TargetMode="External"/><Relationship Id="rId110" Type="http://schemas.openxmlformats.org/officeDocument/2006/relationships/hyperlink" Target="https://www.czso.cz/csu/czso/stav-a-pohyb-obyvatelstva-v-cr-1-pololeti-2016" TargetMode="External"/><Relationship Id="rId115" Type="http://schemas.openxmlformats.org/officeDocument/2006/relationships/hyperlink" Target="https://www.czso.cz/csu/czso/statisticka-rocenka-karlovarskeho-kraje-2015" TargetMode="External"/><Relationship Id="rId131" Type="http://schemas.openxmlformats.org/officeDocument/2006/relationships/hyperlink" Target="http://www.kr-karlovarsky.cz/samosprava/dokumenty/Stranky/koncepce/seznam/SS_zasady.aspx" TargetMode="External"/><Relationship Id="rId136" Type="http://schemas.openxmlformats.org/officeDocument/2006/relationships/image" Target="media/image18.emf"/><Relationship Id="rId157" Type="http://schemas.openxmlformats.org/officeDocument/2006/relationships/hyperlink" Target="http://scitani2010.rsd.cz/pages/informations/default.aspx" TargetMode="External"/><Relationship Id="rId178" Type="http://schemas.openxmlformats.org/officeDocument/2006/relationships/image" Target="media/image31.png"/><Relationship Id="rId61" Type="http://schemas.openxmlformats.org/officeDocument/2006/relationships/hyperlink" Target="http://www.karp-kv.cz/cz/Documents/Analyza_inovacniho_potencialu_firem_KK.pdf" TargetMode="External"/><Relationship Id="rId82" Type="http://schemas.openxmlformats.org/officeDocument/2006/relationships/hyperlink" Target="http://www.kr-karlovarsky.cz/cyklo/cyklotrasy/Stranky/EuregioEgrensis.aspx" TargetMode="External"/><Relationship Id="rId152" Type="http://schemas.openxmlformats.org/officeDocument/2006/relationships/chart" Target="charts/chart38.xml"/><Relationship Id="rId173" Type="http://schemas.openxmlformats.org/officeDocument/2006/relationships/hyperlink" Target="http://www.kr-karlovarsky.cz/region/uzem_plan/Stranky/UAP-KK/UAP_Karlovarskeho_kraje.aspx" TargetMode="External"/><Relationship Id="rId194" Type="http://schemas.openxmlformats.org/officeDocument/2006/relationships/image" Target="media/image40.jpeg"/><Relationship Id="rId199" Type="http://schemas.openxmlformats.org/officeDocument/2006/relationships/hyperlink" Target="https://www.czso.cz/csu/czso/maly-lexikon-obci-ceske-republiky-2015" TargetMode="External"/><Relationship Id="rId203" Type="http://schemas.openxmlformats.org/officeDocument/2006/relationships/hyperlink" Target="https://www.czso.cz/csu/czso/vyvoj-obyvatelstva-ceske-republiky" TargetMode="External"/><Relationship Id="rId208" Type="http://schemas.openxmlformats.org/officeDocument/2006/relationships/hyperlink" Target="http://www.smartadministration.cz/" TargetMode="External"/><Relationship Id="rId19" Type="http://schemas.openxmlformats.org/officeDocument/2006/relationships/chart" Target="charts/chart3.xml"/><Relationship Id="rId14" Type="http://schemas.openxmlformats.org/officeDocument/2006/relationships/image" Target="media/image3.png"/><Relationship Id="rId30" Type="http://schemas.openxmlformats.org/officeDocument/2006/relationships/hyperlink" Target="http://www.karlovyvary-region.eu/cz/investicni-prilezitosti/panattoni-park-cheb" TargetMode="External"/><Relationship Id="rId35" Type="http://schemas.openxmlformats.org/officeDocument/2006/relationships/hyperlink" Target="http://www.karlovyvary-region.eu/cz/investicni-prilezitosti/prumyslova-zona-nove-sedlo" TargetMode="External"/><Relationship Id="rId56" Type="http://schemas.openxmlformats.org/officeDocument/2006/relationships/image" Target="media/image7.emf"/><Relationship Id="rId77" Type="http://schemas.openxmlformats.org/officeDocument/2006/relationships/hyperlink" Target="http://www.kr-karlovarsky.cz/cyklo/cyklotrasy/Stranky/Popis_EV4.aspx" TargetMode="External"/><Relationship Id="rId100" Type="http://schemas.openxmlformats.org/officeDocument/2006/relationships/hyperlink" Target="http://www.karp-kv.cz/cz/Documents/SRZKK_final_09_2015.pdf" TargetMode="External"/><Relationship Id="rId105" Type="http://schemas.openxmlformats.org/officeDocument/2006/relationships/chart" Target="charts/chart31.xml"/><Relationship Id="rId126" Type="http://schemas.openxmlformats.org/officeDocument/2006/relationships/hyperlink" Target="https://www.czso.cz/csu/czso/seniori-v-cr-v-datech-2015" TargetMode="External"/><Relationship Id="rId147" Type="http://schemas.openxmlformats.org/officeDocument/2006/relationships/hyperlink" Target="http://www.uzis.cz/katalog/zdravotnicka-statistika/sit-zdravotnickych-zarizeni" TargetMode="External"/><Relationship Id="rId168" Type="http://schemas.openxmlformats.org/officeDocument/2006/relationships/chart" Target="charts/chart43.xml"/><Relationship Id="rId8" Type="http://schemas.openxmlformats.org/officeDocument/2006/relationships/webSettings" Target="webSettings.xml"/><Relationship Id="rId51" Type="http://schemas.openxmlformats.org/officeDocument/2006/relationships/hyperlink" Target="http://rskuk.cz/files/Zapis-20160331/prilohy/20160316_Vstupni-analyza-Strategie-hospodarske-restrukturalizace-ULK-MS....pdf" TargetMode="External"/><Relationship Id="rId72" Type="http://schemas.openxmlformats.org/officeDocument/2006/relationships/hyperlink" Target="http://www.atlasceska.cz/karlovarsky-kraj/marianske-lazne-12573/" TargetMode="External"/><Relationship Id="rId93" Type="http://schemas.openxmlformats.org/officeDocument/2006/relationships/chart" Target="charts/chart21.xml"/><Relationship Id="rId98" Type="http://schemas.openxmlformats.org/officeDocument/2006/relationships/chart" Target="charts/chart26.xml"/><Relationship Id="rId121" Type="http://schemas.openxmlformats.org/officeDocument/2006/relationships/chart" Target="charts/chart33.xml"/><Relationship Id="rId142" Type="http://schemas.openxmlformats.org/officeDocument/2006/relationships/chart" Target="charts/chart35.xml"/><Relationship Id="rId163" Type="http://schemas.microsoft.com/office/2007/relationships/hdphoto" Target="media/hdphoto2.wdp"/><Relationship Id="rId184" Type="http://schemas.openxmlformats.org/officeDocument/2006/relationships/image" Target="media/image34.jpeg"/><Relationship Id="rId189" Type="http://schemas.openxmlformats.org/officeDocument/2006/relationships/hyperlink" Target="https://www.natur.cuni.cz/geografie/socialni-geografie-a-regionalni-rozvoj/other/files/hampl-geograficka-organizace" TargetMode="External"/><Relationship Id="rId3" Type="http://schemas.openxmlformats.org/officeDocument/2006/relationships/customXml" Target="../customXml/item3.xml"/><Relationship Id="rId25" Type="http://schemas.openxmlformats.org/officeDocument/2006/relationships/chart" Target="charts/chart8.xml"/><Relationship Id="rId46" Type="http://schemas.openxmlformats.org/officeDocument/2006/relationships/chart" Target="charts/chart10.xml"/><Relationship Id="rId67" Type="http://schemas.openxmlformats.org/officeDocument/2006/relationships/hyperlink" Target="http://karlovarsky.e-kraj.cz/" TargetMode="External"/><Relationship Id="rId116" Type="http://schemas.openxmlformats.org/officeDocument/2006/relationships/hyperlink" Target="http://www.kr-karlovarsky.cz/samosprava/dokumenty/Documents/DZ_KK_7_1_2016.pdf" TargetMode="External"/><Relationship Id="rId137" Type="http://schemas.openxmlformats.org/officeDocument/2006/relationships/image" Target="media/image19.emf"/><Relationship Id="rId158" Type="http://schemas.openxmlformats.org/officeDocument/2006/relationships/image" Target="media/image23.png"/><Relationship Id="rId20" Type="http://schemas.openxmlformats.org/officeDocument/2006/relationships/chart" Target="charts/chart4.xml"/><Relationship Id="rId41" Type="http://schemas.openxmlformats.org/officeDocument/2006/relationships/hyperlink" Target="http://rskuk.cz/files/Zapis-20160331/prilohy/20160316_Vstupni-analyza-Strategie-hospodarske-restrukturalizace-ULK-MS....pdf" TargetMode="External"/><Relationship Id="rId62" Type="http://schemas.openxmlformats.org/officeDocument/2006/relationships/hyperlink" Target="https://www.czso.cz/csu/czso/inovacni-aktivity-podniku-v-ceske-republice-v-letech-2006-az-2008-n-887wivbmq3" TargetMode="External"/><Relationship Id="rId83" Type="http://schemas.openxmlformats.org/officeDocument/2006/relationships/hyperlink" Target="http://www.kr-karlovarsky.cz/cyklo/cyklotrasy/cheb/Stranky/valdstejnova.aspx" TargetMode="External"/><Relationship Id="rId88" Type="http://schemas.openxmlformats.org/officeDocument/2006/relationships/hyperlink" Target="http://www.kr-karlovarsky.cz/region/Documents/RIS/RIS3_krajska_priloha_Karlovarsky_kraj_2014_04_30_konecna_schvalenaRKK_ZKK.pdf" TargetMode="External"/><Relationship Id="rId111" Type="http://schemas.openxmlformats.org/officeDocument/2006/relationships/hyperlink" Target="https://www.czso.cz/csu/czso/vekove-slozeni-obyvatelstva" TargetMode="External"/><Relationship Id="rId132" Type="http://schemas.openxmlformats.org/officeDocument/2006/relationships/hyperlink" Target="http://www.kr-karlovarsky.cz/krajsky-urad/cinnosti/documents/analyza_final_final.pdf" TargetMode="External"/><Relationship Id="rId153" Type="http://schemas.openxmlformats.org/officeDocument/2006/relationships/chart" Target="charts/chart39.xml"/><Relationship Id="rId174" Type="http://schemas.openxmlformats.org/officeDocument/2006/relationships/hyperlink" Target="http://www.kr-karlovarsky.cz/samosprava/dokumenty/Stranky/koncepce/seznam/120113_uzemni_energeticka_koncepce.aspx" TargetMode="External"/><Relationship Id="rId179" Type="http://schemas.openxmlformats.org/officeDocument/2006/relationships/hyperlink" Target="https://www.czso.cz/csu/czso/statisticka-rocenka-karlovarskeho-kraje-2015" TargetMode="External"/><Relationship Id="rId195" Type="http://schemas.openxmlformats.org/officeDocument/2006/relationships/chart" Target="charts/chart48.xml"/><Relationship Id="rId209" Type="http://schemas.openxmlformats.org/officeDocument/2006/relationships/hyperlink" Target="http://www.caf-kk.cz/cz/ke-stazeni" TargetMode="External"/><Relationship Id="rId190" Type="http://schemas.openxmlformats.org/officeDocument/2006/relationships/hyperlink" Target="http://geography.cz/sbornik/wp-content/uploads/downloads/2015/10/gcgs032015_hampl.pdf" TargetMode="External"/><Relationship Id="rId204" Type="http://schemas.openxmlformats.org/officeDocument/2006/relationships/hyperlink" Target="http://www.karp-kv.cz/cz/Documents/SRZKK_final_09_2015.pdf" TargetMode="External"/><Relationship Id="rId15" Type="http://schemas.openxmlformats.org/officeDocument/2006/relationships/image" Target="media/image4.png"/><Relationship Id="rId36" Type="http://schemas.openxmlformats.org/officeDocument/2006/relationships/hyperlink" Target="http://www.karlovyvary-region.eu/cz/investicni-prilezitosti/prumyslova-zona-nova-role" TargetMode="External"/><Relationship Id="rId57" Type="http://schemas.openxmlformats.org/officeDocument/2006/relationships/hyperlink" Target="http://apl.czso.cz/pll/vykazy/pdf113?xvyk=2098&amp;cd=0" TargetMode="External"/><Relationship Id="rId106" Type="http://schemas.openxmlformats.org/officeDocument/2006/relationships/chart" Target="charts/chart32.xml"/><Relationship Id="rId127" Type="http://schemas.openxmlformats.org/officeDocument/2006/relationships/hyperlink" Target="Http://www.gac.cz/userfiles/File/nase_prace_vystupy/GAC_MAPA_analyza_SVL_aAK_CJ.pdf?langSEO=documents&amp;parentSEO=nase_prace_vystupy&amp;midSEO=GAC_MAPA_analyza_SVL_aAK_CJ.pdf" TargetMode="External"/><Relationship Id="rId10" Type="http://schemas.openxmlformats.org/officeDocument/2006/relationships/endnotes" Target="endnotes.xml"/><Relationship Id="rId31" Type="http://schemas.openxmlformats.org/officeDocument/2006/relationships/hyperlink" Target="http://www.karlovyvary-region.eu/cz/investicni-prilezitosti/kraslice-7492" TargetMode="External"/><Relationship Id="rId52" Type="http://schemas.openxmlformats.org/officeDocument/2006/relationships/chart" Target="charts/chart12.xml"/><Relationship Id="rId73" Type="http://schemas.openxmlformats.org/officeDocument/2006/relationships/hyperlink" Target="http://www.atlasceska.cz/karlovarsky-kraj/frantiskovy-lazne-13325/" TargetMode="External"/><Relationship Id="rId78" Type="http://schemas.openxmlformats.org/officeDocument/2006/relationships/hyperlink" Target="http://www.kr-karlovarsky.cz/cyklo/cyklotrasy/Stranky/Popis_EV13.aspx" TargetMode="External"/><Relationship Id="rId94" Type="http://schemas.openxmlformats.org/officeDocument/2006/relationships/chart" Target="charts/chart22.xml"/><Relationship Id="rId99" Type="http://schemas.openxmlformats.org/officeDocument/2006/relationships/hyperlink" Target="http://www.kr-karlovarsky.cz/samosprava/dokumenty/Stranky/koncepce/seznam/SRLZ_KK.aspx" TargetMode="External"/><Relationship Id="rId101" Type="http://schemas.openxmlformats.org/officeDocument/2006/relationships/chart" Target="charts/chart27.xml"/><Relationship Id="rId122" Type="http://schemas.openxmlformats.org/officeDocument/2006/relationships/image" Target="media/image14.emf"/><Relationship Id="rId143" Type="http://schemas.openxmlformats.org/officeDocument/2006/relationships/chart" Target="charts/chart36.xml"/><Relationship Id="rId148" Type="http://schemas.openxmlformats.org/officeDocument/2006/relationships/hyperlink" Target="http://www.uzis.cz/cr-kraje" TargetMode="External"/><Relationship Id="rId164" Type="http://schemas.openxmlformats.org/officeDocument/2006/relationships/image" Target="media/image26.png"/><Relationship Id="rId169" Type="http://schemas.openxmlformats.org/officeDocument/2006/relationships/image" Target="media/image30.png"/><Relationship Id="rId185"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1.cenia.cz/www/sites/default/files/Karlovarsky.pdf" TargetMode="External"/><Relationship Id="rId210" Type="http://schemas.openxmlformats.org/officeDocument/2006/relationships/image" Target="media/image43.png"/><Relationship Id="rId26" Type="http://schemas.openxmlformats.org/officeDocument/2006/relationships/hyperlink" Target="http://www.karlovyvary-region.eu/cz/investicni-prilezitosti/hospodarsky-park-as" TargetMode="External"/><Relationship Id="rId47" Type="http://schemas.openxmlformats.org/officeDocument/2006/relationships/chart" Target="charts/chart11.xml"/><Relationship Id="rId68" Type="http://schemas.openxmlformats.org/officeDocument/2006/relationships/chart" Target="charts/chart17.xml"/><Relationship Id="rId89" Type="http://schemas.openxmlformats.org/officeDocument/2006/relationships/hyperlink" Target="http://www.kr-karlovarsky.cz/samosprava/dokumenty/Stranky/koncepce/seznam/koncepce-kultury.aspx" TargetMode="External"/><Relationship Id="rId112" Type="http://schemas.openxmlformats.org/officeDocument/2006/relationships/hyperlink" Target="https://www.czso.cz/csu/czso/zakladni-tendence-demografickeho-socialniho-a-ekonomickeho-vyvoje-moravskoslezskeho-kraje-2015" TargetMode="External"/><Relationship Id="rId133" Type="http://schemas.openxmlformats.org/officeDocument/2006/relationships/hyperlink" Target="javascript:" TargetMode="External"/><Relationship Id="rId154" Type="http://schemas.openxmlformats.org/officeDocument/2006/relationships/chart" Target="charts/chart40.xml"/><Relationship Id="rId175" Type="http://schemas.openxmlformats.org/officeDocument/2006/relationships/chart" Target="charts/chart45.xml"/><Relationship Id="rId196" Type="http://schemas.openxmlformats.org/officeDocument/2006/relationships/image" Target="media/image41.jpeg"/><Relationship Id="rId200" Type="http://schemas.openxmlformats.org/officeDocument/2006/relationships/hyperlink" Target="https://www.czso.cz/csu/czso/vodovody-kanalizace-a-vodni-toky-2015" TargetMode="External"/><Relationship Id="rId16"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gis.kr-karlovarsky.cz/klm/" TargetMode="External"/><Relationship Id="rId2" Type="http://schemas.openxmlformats.org/officeDocument/2006/relationships/hyperlink" Target="http://www.consilium.europa.eu/cs/policies/cyber-security/" TargetMode="External"/><Relationship Id="rId1" Type="http://schemas.openxmlformats.org/officeDocument/2006/relationships/hyperlink" Target="https://www.dataplan.info/img_upload/7bdb1584e3b8a53d337518d988763f8d/nskb-150216-final.pdf" TargetMode="External"/><Relationship Id="rId4" Type="http://schemas.openxmlformats.org/officeDocument/2006/relationships/hyperlink" Target="http://www.msmt.cz/vzdelavani/stredni-vzdelavani/ramcove-vzdelavaci-programy"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kamila.vostova\Desktop\PRKK\puvodni_Anal&#253;zy_makroekoonomik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amila.vostova\Desktop\PRKK\5.%20odv&#283;tvov&#225;%20specializace%20kraje\5.tab%20a%20g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amila.vostova\Desktop\PRKK\5.%20odv&#283;tvov&#225;%20specializace%20kraje\HPH%20dle%20odvetvi%20nace.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Excel.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cervinka\Documents\PRK\p&#367;vodn&#237;_ANALYZY_znalostni_ekonomika%20VaV.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epco-nas\mepco%20sdilene\PROJEKTY\Projekty%20-%20aktu&#225;ln&#237;\211_Aktualizace%20PR%20Karlovarsk&#233;ho&#237;%20kraje\CR_po&#269;et%20host&#367;_KV_2005_2015.xls"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epco-nas\mepco%20sdilene\PROJEKTY\Projekty%20-%20aktu&#225;ln&#237;\211_Aktualizace%20PR%20Karlovarsk&#233;ho&#237;%20kraje\CR_po&#269;et%20host&#367;_KV_2005_201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mepco-nas\mepco%20sdilene\PROJEKTY\Projekty%20-%20aktu&#225;ln&#237;\211_Aktualizace%20PR%20Karlovarsk&#233;ho&#237;%20kraje\CR_po&#269;et%20host&#367;_KV_2005_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mila.vostova\Desktop\PRKK\3.%20mae%20v&#253;voj\&#269;dd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amila.vostova\Desktop\PRKK\9.%20trh%20pr&#225;ce\postaveni%20v%20zamestnani_2015_kraje.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amila.vostova\Desktop\PRKK\9.%20trh%20pr&#225;ce\neum&#237;steni%20uchaz%20o%20zam%20a%20volna%20pr%20mis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amila.vostova\Desktop\PRKK\9.%20trh%20pr&#225;ce\nezam.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amila.vostova\Desktop\PRKK\9.%20trh%20pr&#225;ce\ukazatale%20za%20SO%20ORP%20v%20KK.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amila.vostova\Desktop\PRKK\9.%20trh%20pr&#225;ce\nezam_vek_vzd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amila.vostova\Desktop\PRKK\9.%20trh%20pr&#225;ce\nezam_vek_vzd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avel\Desktop\Berman%20Group\2016\Anal&#253;za%20probl&#233;mov&#253;ch%20kraj&#367;%20-%20KVK,%20ULK,%20MSK\Zam&#283;stnanost\Vsechny%20kraje%20plus%20&#268;R_pr&#367;m&#283;rn&#225;%20mzd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amila.vostova\Desktop\PRKK\10.%20Demografick&#253;%20v&#253;voj\PRKK_demografi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amila.vostova\Desktop\PRKK\aktualizace%20PRKK_tabulky%20a%20grafy\PRKK_demografie.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kamila.vostova\Desktop\PRKK\aktualizace%20PRKK_tabulky%20a%20grafy\PRKK_graf_5_m&#237;ra%20nezamestnanosti.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amila.vostova\Desktop\PRKK\aktualizace%20PRKK_tabulky%20a%20grafy\PRKK_demografie.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mila.vostova\Desktop\PRKK\aktualizace%20PRKK_tabulky%20a%20grafy\demogr.projekce%20v%20KK.xls"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List_aplikace_Microsoft_Excel7.xlsx"/><Relationship Id="rId1" Type="http://schemas.openxmlformats.org/officeDocument/2006/relationships/themeOverride" Target="../theme/themeOverride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List_aplikace_Microsoft_Excel8.xlsx"/><Relationship Id="rId1" Type="http://schemas.openxmlformats.org/officeDocument/2006/relationships/themeOverride" Target="../theme/themeOverride4.xml"/></Relationships>
</file>

<file path=word/charts/_rels/chart36.xml.rels><?xml version="1.0" encoding="UTF-8" standalone="yes"?>
<Relationships xmlns="http://schemas.openxmlformats.org/package/2006/relationships"><Relationship Id="rId1" Type="http://schemas.openxmlformats.org/officeDocument/2006/relationships/oleObject" Target="file:///\\fs01\Koms01\Odbor%20Zdravotnictv&#237;\analytick&#233;%20odd\Aktualizace%20PRK\podklady%20grafy%20PRK.xlsx"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List_aplikace_Microsoft_Excel10.xlsx"/><Relationship Id="rId1" Type="http://schemas.openxmlformats.org/officeDocument/2006/relationships/themeOverride" Target="../theme/themeOverride5.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tomas.brtek\Desktop\Kopie%20-%20135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mila.vostova\Desktop\PRKK\3.%20mae%20v&#253;voj\obecna%20mira%20nezam.xls"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List_aplikace_Microsoft_Excel11.xlsx"/><Relationship Id="rId1" Type="http://schemas.openxmlformats.org/officeDocument/2006/relationships/themeOverride" Target="../theme/themeOverride6.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tomas.brtek\Desktop\Kopie%20-%201352.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kamila.vostova\Desktop\PRKK\aktualizace%20PRKK_tabulky%20a%20grafy\16.%20tab%20k%20odpadu.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amila.vostova\AppData\Local\Microsoft\Windows\INetCache\IE\3A7EBUU0\320198150308.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amila.vostova\Desktop\PRKK\17.%20zem&#283;d&#283;lstv&#237;\data%20k%20zemedelstvi.xlsx" TargetMode="External"/></Relationships>
</file>

<file path=word/charts/_rels/chart46.xml.rels><?xml version="1.0" encoding="UTF-8" standalone="yes"?>
<Relationships xmlns="http://schemas.openxmlformats.org/package/2006/relationships"><Relationship Id="rId2" Type="http://schemas.openxmlformats.org/officeDocument/2006/relationships/package" Target="../embeddings/List_aplikace_Microsoft_Excel12.xlsx"/><Relationship Id="rId1" Type="http://schemas.openxmlformats.org/officeDocument/2006/relationships/themeOverride" Target="../theme/themeOverride7.xml"/></Relationships>
</file>

<file path=word/charts/_rels/chart47.xml.rels><?xml version="1.0" encoding="UTF-8" standalone="yes"?>
<Relationships xmlns="http://schemas.openxmlformats.org/package/2006/relationships"><Relationship Id="rId2" Type="http://schemas.openxmlformats.org/officeDocument/2006/relationships/package" Target="../embeddings/List_aplikace_Microsoft_Excel13.xlsx"/><Relationship Id="rId1" Type="http://schemas.openxmlformats.org/officeDocument/2006/relationships/themeOverride" Target="../theme/themeOverride8.xml"/></Relationships>
</file>

<file path=word/charts/_rels/chart48.xml.rels><?xml version="1.0" encoding="UTF-8" standalone="yes"?>
<Relationships xmlns="http://schemas.openxmlformats.org/package/2006/relationships"><Relationship Id="rId1" Type="http://schemas.openxmlformats.org/officeDocument/2006/relationships/oleObject" Target="file:///\\fs01\Koms01\Odbor%20regionalniho%20rozvoje\&#381;emli&#269;kov&#225;\PRK_aktualizace_B&#381;\tabulky_akt\vybavenost%20kraje%20&#269;r\vybavenost%20kraje%20&#269;r%20201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s01\Koms01\Odbor%20regionalniho%20rozvoje\&#381;emli&#269;kov&#225;\PRK_aktualizace_B&#381;\tabulky_akt\vybavenost%20kraje%20&#269;r\vybavenost%20kraje%20&#269;r%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mila.vostova\Desktop\PRKK\aktualizace%20PRKK_tabulky%20a%20grafy\pz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mila.vostova\AppData\Local\Temp\173\Temp2_Datov&#233;%20podklady.zip\Datov&#233;_podklady_xls_PJ\Internacionalizace\Anal&#253;zy_internacionalizac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mila.vostova\AppData\Local\Temp\11\Temp1_Datov&#233;%20podklady.zip\Datov&#233;_podklady_xls_PJ\Internacionalizace\KVK_Export_41_05-1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mila.vostova\AppData\Local\Temp\173\Temp3_Datov&#233;%20podklady.zip\Datov&#233;_podklady_xls_PJ\Internacionalizace\Anal&#253;zy_internacionalizac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amila.vostova\Desktop\PRKK\5.%20odv&#283;tvov&#225;%20specializace%20kraje\5.tab%20a%20g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List6!$A$20</c:f>
              <c:strCache>
                <c:ptCount val="1"/>
                <c:pt idx="0">
                  <c:v>ČR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List6!$B$19:$J$19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List6!$B$20:$J$20</c:f>
              <c:numCache>
                <c:formatCode>General</c:formatCode>
                <c:ptCount val="9"/>
                <c:pt idx="0">
                  <c:v>100</c:v>
                </c:pt>
                <c:pt idx="1">
                  <c:v>100</c:v>
                </c:pt>
                <c:pt idx="2">
                  <c:v>100</c:v>
                </c:pt>
                <c:pt idx="3">
                  <c:v>100</c:v>
                </c:pt>
                <c:pt idx="4">
                  <c:v>100</c:v>
                </c:pt>
                <c:pt idx="5">
                  <c:v>100</c:v>
                </c:pt>
                <c:pt idx="6">
                  <c:v>100</c:v>
                </c:pt>
                <c:pt idx="7">
                  <c:v>100</c:v>
                </c:pt>
                <c:pt idx="8">
                  <c:v>100</c:v>
                </c:pt>
              </c:numCache>
            </c:numRef>
          </c:val>
          <c:smooth val="0"/>
          <c:extLst>
            <c:ext xmlns:c16="http://schemas.microsoft.com/office/drawing/2014/chart" uri="{C3380CC4-5D6E-409C-BE32-E72D297353CC}">
              <c16:uniqueId val="{00000000-104B-4CA8-8799-8ECC4703222C}"/>
            </c:ext>
          </c:extLst>
        </c:ser>
        <c:ser>
          <c:idx val="1"/>
          <c:order val="1"/>
          <c:tx>
            <c:strRef>
              <c:f>List6!$A$21</c:f>
              <c:strCache>
                <c:ptCount val="1"/>
                <c:pt idx="0">
                  <c:v>Karlovarský kraj</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6.39118457300275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4B-4CA8-8799-8ECC4703222C}"/>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4B-4CA8-8799-8ECC470322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List6!$B$19:$J$19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List6!$B$21:$J$21</c:f>
              <c:numCache>
                <c:formatCode>0.0</c:formatCode>
                <c:ptCount val="9"/>
                <c:pt idx="0">
                  <c:v>74.256987423718371</c:v>
                </c:pt>
                <c:pt idx="1">
                  <c:v>76.4660827260346</c:v>
                </c:pt>
                <c:pt idx="2">
                  <c:v>70.75149529699911</c:v>
                </c:pt>
                <c:pt idx="3">
                  <c:v>62.811068531257327</c:v>
                </c:pt>
                <c:pt idx="4">
                  <c:v>62.381133103495834</c:v>
                </c:pt>
                <c:pt idx="5">
                  <c:v>68.171420951778501</c:v>
                </c:pt>
                <c:pt idx="6">
                  <c:v>69.990464842891512</c:v>
                </c:pt>
                <c:pt idx="7">
                  <c:v>71.571187640840833</c:v>
                </c:pt>
                <c:pt idx="8">
                  <c:v>69.987398308421419</c:v>
                </c:pt>
              </c:numCache>
            </c:numRef>
          </c:val>
          <c:smooth val="0"/>
          <c:extLst>
            <c:ext xmlns:c16="http://schemas.microsoft.com/office/drawing/2014/chart" uri="{C3380CC4-5D6E-409C-BE32-E72D297353CC}">
              <c16:uniqueId val="{00000003-104B-4CA8-8799-8ECC4703222C}"/>
            </c:ext>
          </c:extLst>
        </c:ser>
        <c:ser>
          <c:idx val="2"/>
          <c:order val="2"/>
          <c:tx>
            <c:strRef>
              <c:f>List6!$A$22</c:f>
              <c:strCache>
                <c:ptCount val="1"/>
                <c:pt idx="0">
                  <c:v>Ústecký kraj</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6.8319559228650142E-2"/>
                  <c:y val="9.2592592592593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4B-4CA8-8799-8ECC4703222C}"/>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4B-4CA8-8799-8ECC470322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List6!$B$19:$J$19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List6!$B$22:$J$22</c:f>
              <c:numCache>
                <c:formatCode>0.0</c:formatCode>
                <c:ptCount val="9"/>
                <c:pt idx="0">
                  <c:v>86.940521774088367</c:v>
                </c:pt>
                <c:pt idx="1">
                  <c:v>86.086614334982684</c:v>
                </c:pt>
                <c:pt idx="2">
                  <c:v>86.258488301298925</c:v>
                </c:pt>
                <c:pt idx="3">
                  <c:v>78.631085481338843</c:v>
                </c:pt>
                <c:pt idx="4">
                  <c:v>78.641448658074481</c:v>
                </c:pt>
                <c:pt idx="5">
                  <c:v>83.249563348219013</c:v>
                </c:pt>
                <c:pt idx="6">
                  <c:v>80.683362941658089</c:v>
                </c:pt>
                <c:pt idx="7">
                  <c:v>85.276027121587489</c:v>
                </c:pt>
                <c:pt idx="8">
                  <c:v>82.747779614366237</c:v>
                </c:pt>
              </c:numCache>
            </c:numRef>
          </c:val>
          <c:smooth val="0"/>
          <c:extLst>
            <c:ext xmlns:c16="http://schemas.microsoft.com/office/drawing/2014/chart" uri="{C3380CC4-5D6E-409C-BE32-E72D297353CC}">
              <c16:uniqueId val="{00000006-104B-4CA8-8799-8ECC4703222C}"/>
            </c:ext>
          </c:extLst>
        </c:ser>
        <c:ser>
          <c:idx val="3"/>
          <c:order val="3"/>
          <c:tx>
            <c:strRef>
              <c:f>List6!$A$23</c:f>
              <c:strCache>
                <c:ptCount val="1"/>
                <c:pt idx="0">
                  <c:v>Plzeňský kraj</c:v>
                </c:pt>
              </c:strCache>
            </c:strRef>
          </c:tx>
          <c:spPr>
            <a:ln w="22225" cap="rnd">
              <a:solidFill>
                <a:schemeClr val="accent4"/>
              </a:solidFill>
              <a:round/>
            </a:ln>
            <a:effectLst/>
          </c:spPr>
          <c:marker>
            <c:symbol val="x"/>
            <c:size val="6"/>
            <c:spPr>
              <a:noFill/>
              <a:ln w="9525">
                <a:solidFill>
                  <a:schemeClr val="accent4"/>
                </a:solidFill>
                <a:round/>
              </a:ln>
              <a:effectLst/>
            </c:spPr>
          </c:marker>
          <c:dLbls>
            <c:dLbl>
              <c:idx val="0"/>
              <c:layout>
                <c:manualLayout>
                  <c:x val="-6.3911845730027547E-2"/>
                  <c:y val="-2.7777777777778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4B-4CA8-8799-8ECC4703222C}"/>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4B-4CA8-8799-8ECC470322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List6!$B$19:$J$19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List6!$B$23:$J$23</c:f>
              <c:numCache>
                <c:formatCode>0.0</c:formatCode>
                <c:ptCount val="9"/>
                <c:pt idx="0">
                  <c:v>88.964425644341731</c:v>
                </c:pt>
                <c:pt idx="1">
                  <c:v>90.608072923281128</c:v>
                </c:pt>
                <c:pt idx="2">
                  <c:v>90.047620927114735</c:v>
                </c:pt>
                <c:pt idx="3">
                  <c:v>75.059385870201297</c:v>
                </c:pt>
                <c:pt idx="4">
                  <c:v>77.774783988669469</c:v>
                </c:pt>
                <c:pt idx="5">
                  <c:v>82.144927720492916</c:v>
                </c:pt>
                <c:pt idx="6">
                  <c:v>81.267924415257326</c:v>
                </c:pt>
                <c:pt idx="7">
                  <c:v>86.231315939835994</c:v>
                </c:pt>
                <c:pt idx="8">
                  <c:v>89.395895898796525</c:v>
                </c:pt>
              </c:numCache>
            </c:numRef>
          </c:val>
          <c:smooth val="0"/>
          <c:extLst>
            <c:ext xmlns:c16="http://schemas.microsoft.com/office/drawing/2014/chart" uri="{C3380CC4-5D6E-409C-BE32-E72D297353CC}">
              <c16:uniqueId val="{00000009-104B-4CA8-8799-8ECC4703222C}"/>
            </c:ext>
          </c:extLst>
        </c:ser>
        <c:dLbls>
          <c:showLegendKey val="0"/>
          <c:showVal val="0"/>
          <c:showCatName val="0"/>
          <c:showSerName val="0"/>
          <c:showPercent val="0"/>
          <c:showBubbleSize val="0"/>
        </c:dLbls>
        <c:marker val="1"/>
        <c:smooth val="0"/>
        <c:axId val="126529920"/>
        <c:axId val="126531456"/>
      </c:lineChart>
      <c:catAx>
        <c:axId val="126529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cs-CZ"/>
          </a:p>
        </c:txPr>
        <c:crossAx val="126531456"/>
        <c:crosses val="autoZero"/>
        <c:auto val="1"/>
        <c:lblAlgn val="ctr"/>
        <c:lblOffset val="100"/>
        <c:noMultiLvlLbl val="0"/>
      </c:catAx>
      <c:valAx>
        <c:axId val="12653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529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26565584260689"/>
          <c:y val="3.6666666666666681E-2"/>
          <c:w val="0.84432667404177864"/>
          <c:h val="0.41183517060367458"/>
        </c:manualLayout>
      </c:layout>
      <c:barChart>
        <c:barDir val="bar"/>
        <c:grouping val="percentStacked"/>
        <c:varyColors val="0"/>
        <c:ser>
          <c:idx val="0"/>
          <c:order val="0"/>
          <c:tx>
            <c:strRef>
              <c:f>'HPH dle NACE2'!$A$14</c:f>
              <c:strCache>
                <c:ptCount val="1"/>
                <c:pt idx="0">
                  <c:v>Zemědělství, lesnictví a rybářství</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NACE2'!$B$14:$E$14</c:f>
              <c:numCache>
                <c:formatCode>General</c:formatCode>
                <c:ptCount val="4"/>
                <c:pt idx="0">
                  <c:v>1.8159830146134215</c:v>
                </c:pt>
                <c:pt idx="1">
                  <c:v>2.7044139022930151</c:v>
                </c:pt>
                <c:pt idx="2">
                  <c:v>1.9744407275768399</c:v>
                </c:pt>
                <c:pt idx="3">
                  <c:v>4.6323774036862071</c:v>
                </c:pt>
              </c:numCache>
            </c:numRef>
          </c:val>
          <c:extLst>
            <c:ext xmlns:c16="http://schemas.microsoft.com/office/drawing/2014/chart" uri="{C3380CC4-5D6E-409C-BE32-E72D297353CC}">
              <c16:uniqueId val="{00000000-C755-4887-AAD1-FB049CA71277}"/>
            </c:ext>
          </c:extLst>
        </c:ser>
        <c:ser>
          <c:idx val="1"/>
          <c:order val="1"/>
          <c:tx>
            <c:strRef>
              <c:f>'HPH dle NACE2'!$A$15</c:f>
              <c:strCache>
                <c:ptCount val="1"/>
                <c:pt idx="0">
                  <c:v>Průmysl, těžba a dobývání</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NACE2'!$B$15:$E$15</c:f>
              <c:numCache>
                <c:formatCode>General</c:formatCode>
                <c:ptCount val="4"/>
                <c:pt idx="0">
                  <c:v>7.1707195711324845</c:v>
                </c:pt>
                <c:pt idx="1">
                  <c:v>5.7949392067778662</c:v>
                </c:pt>
                <c:pt idx="2">
                  <c:v>12.907693915952336</c:v>
                </c:pt>
                <c:pt idx="3">
                  <c:v>9.9580810433162554</c:v>
                </c:pt>
              </c:numCache>
            </c:numRef>
          </c:val>
          <c:extLst>
            <c:ext xmlns:c16="http://schemas.microsoft.com/office/drawing/2014/chart" uri="{C3380CC4-5D6E-409C-BE32-E72D297353CC}">
              <c16:uniqueId val="{00000001-C755-4887-AAD1-FB049CA71277}"/>
            </c:ext>
          </c:extLst>
        </c:ser>
        <c:ser>
          <c:idx val="2"/>
          <c:order val="2"/>
          <c:tx>
            <c:strRef>
              <c:f>'HPH dle NACE2'!$A$16</c:f>
              <c:strCache>
                <c:ptCount val="1"/>
                <c:pt idx="0">
                  <c:v>zpracovatelský průmysl</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NACE2'!$B$16:$E$16</c:f>
              <c:numCache>
                <c:formatCode>General</c:formatCode>
                <c:ptCount val="4"/>
                <c:pt idx="0">
                  <c:v>22.868693100136927</c:v>
                </c:pt>
                <c:pt idx="1">
                  <c:v>26.581510850856102</c:v>
                </c:pt>
                <c:pt idx="2">
                  <c:v>18.14107254860966</c:v>
                </c:pt>
                <c:pt idx="3">
                  <c:v>21.344068134939118</c:v>
                </c:pt>
              </c:numCache>
            </c:numRef>
          </c:val>
          <c:extLst>
            <c:ext xmlns:c16="http://schemas.microsoft.com/office/drawing/2014/chart" uri="{C3380CC4-5D6E-409C-BE32-E72D297353CC}">
              <c16:uniqueId val="{00000002-C755-4887-AAD1-FB049CA71277}"/>
            </c:ext>
          </c:extLst>
        </c:ser>
        <c:ser>
          <c:idx val="3"/>
          <c:order val="3"/>
          <c:tx>
            <c:strRef>
              <c:f>'HPH dle NACE2'!$A$17</c:f>
              <c:strCache>
                <c:ptCount val="1"/>
                <c:pt idx="0">
                  <c:v>Stavebnictví</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NACE2'!$B$17:$E$17</c:f>
              <c:numCache>
                <c:formatCode>General</c:formatCode>
                <c:ptCount val="4"/>
                <c:pt idx="0">
                  <c:v>6.7317315345274586</c:v>
                </c:pt>
                <c:pt idx="1">
                  <c:v>5.5839085492316674</c:v>
                </c:pt>
                <c:pt idx="2">
                  <c:v>7.0797616558645498</c:v>
                </c:pt>
                <c:pt idx="3">
                  <c:v>5.4481336083571774</c:v>
                </c:pt>
              </c:numCache>
            </c:numRef>
          </c:val>
          <c:extLst>
            <c:ext xmlns:c16="http://schemas.microsoft.com/office/drawing/2014/chart" uri="{C3380CC4-5D6E-409C-BE32-E72D297353CC}">
              <c16:uniqueId val="{00000003-C755-4887-AAD1-FB049CA71277}"/>
            </c:ext>
          </c:extLst>
        </c:ser>
        <c:ser>
          <c:idx val="4"/>
          <c:order val="4"/>
          <c:tx>
            <c:strRef>
              <c:f>'HPH dle NACE2'!$A$18</c:f>
              <c:strCache>
                <c:ptCount val="1"/>
                <c:pt idx="0">
                  <c:v>Obchod, doprava, ubytování a pohostinství</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NACE2'!$B$18:$E$18</c:f>
              <c:numCache>
                <c:formatCode>General</c:formatCode>
                <c:ptCount val="4"/>
                <c:pt idx="0">
                  <c:v>18.192730326592692</c:v>
                </c:pt>
                <c:pt idx="1">
                  <c:v>17.965333493802319</c:v>
                </c:pt>
                <c:pt idx="2">
                  <c:v>19.32756638093247</c:v>
                </c:pt>
                <c:pt idx="3">
                  <c:v>20.13174529243463</c:v>
                </c:pt>
              </c:numCache>
            </c:numRef>
          </c:val>
          <c:extLst>
            <c:ext xmlns:c16="http://schemas.microsoft.com/office/drawing/2014/chart" uri="{C3380CC4-5D6E-409C-BE32-E72D297353CC}">
              <c16:uniqueId val="{00000004-C755-4887-AAD1-FB049CA71277}"/>
            </c:ext>
          </c:extLst>
        </c:ser>
        <c:ser>
          <c:idx val="5"/>
          <c:order val="5"/>
          <c:tx>
            <c:strRef>
              <c:f>'HPH dle NACE2'!$A$19</c:f>
              <c:strCache>
                <c:ptCount val="1"/>
                <c:pt idx="0">
                  <c:v>Informační a komunikační činnosti</c:v>
                </c:pt>
              </c:strCache>
            </c:strRef>
          </c:tx>
          <c:spPr>
            <a:solidFill>
              <a:schemeClr val="accent6"/>
            </a:solidFill>
            <a:ln>
              <a:noFill/>
            </a:ln>
            <a:effectLst/>
          </c:spPr>
          <c:invertIfNegative val="0"/>
          <c:dLbls>
            <c:dLbl>
              <c:idx val="2"/>
              <c:layout>
                <c:manualLayout>
                  <c:x val="-8.0833869257271229E-17"/>
                  <c:y val="-3.520606982950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55-4887-AAD1-FB049CA71277}"/>
                </c:ext>
              </c:extLst>
            </c:dLbl>
            <c:dLbl>
              <c:idx val="3"/>
              <c:layout>
                <c:manualLayout>
                  <c:x val="-2.2045855379188794E-3"/>
                  <c:y val="-4.1928758905136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55-4887-AAD1-FB049CA7127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NACE2'!$B$19:$E$19</c:f>
              <c:numCache>
                <c:formatCode>General</c:formatCode>
                <c:ptCount val="4"/>
                <c:pt idx="0">
                  <c:v>5.3084117515279265</c:v>
                </c:pt>
                <c:pt idx="1">
                  <c:v>4.919068601563966</c:v>
                </c:pt>
                <c:pt idx="2">
                  <c:v>1.1812669872464978</c:v>
                </c:pt>
                <c:pt idx="3">
                  <c:v>1.0233548472952292</c:v>
                </c:pt>
              </c:numCache>
            </c:numRef>
          </c:val>
          <c:extLst>
            <c:ext xmlns:c16="http://schemas.microsoft.com/office/drawing/2014/chart" uri="{C3380CC4-5D6E-409C-BE32-E72D297353CC}">
              <c16:uniqueId val="{00000007-C755-4887-AAD1-FB049CA71277}"/>
            </c:ext>
          </c:extLst>
        </c:ser>
        <c:ser>
          <c:idx val="6"/>
          <c:order val="6"/>
          <c:tx>
            <c:strRef>
              <c:f>'HPH dle NACE2'!$A$20</c:f>
              <c:strCache>
                <c:ptCount val="1"/>
                <c:pt idx="0">
                  <c:v>Peněžnictví a pojišťovnictví</c:v>
                </c:pt>
              </c:strCache>
            </c:strRef>
          </c:tx>
          <c:spPr>
            <a:solidFill>
              <a:schemeClr val="accent1">
                <a:lumMod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NACE2'!$B$20:$E$20</c:f>
              <c:numCache>
                <c:formatCode>General</c:formatCode>
                <c:ptCount val="4"/>
                <c:pt idx="0">
                  <c:v>4.4971366429770345</c:v>
                </c:pt>
                <c:pt idx="1">
                  <c:v>4.5048924044526162</c:v>
                </c:pt>
                <c:pt idx="2">
                  <c:v>2.1456199038260504</c:v>
                </c:pt>
                <c:pt idx="3">
                  <c:v>1.1497770976112847</c:v>
                </c:pt>
              </c:numCache>
            </c:numRef>
          </c:val>
          <c:extLst>
            <c:ext xmlns:c16="http://schemas.microsoft.com/office/drawing/2014/chart" uri="{C3380CC4-5D6E-409C-BE32-E72D297353CC}">
              <c16:uniqueId val="{00000008-C755-4887-AAD1-FB049CA71277}"/>
            </c:ext>
          </c:extLst>
        </c:ser>
        <c:ser>
          <c:idx val="7"/>
          <c:order val="7"/>
          <c:tx>
            <c:strRef>
              <c:f>'HPH dle NACE2'!$A$21</c:f>
              <c:strCache>
                <c:ptCount val="1"/>
                <c:pt idx="0">
                  <c:v>Činnosti v oblasti nemovitostí</c:v>
                </c:pt>
              </c:strCache>
            </c:strRef>
          </c:tx>
          <c:spPr>
            <a:solidFill>
              <a:schemeClr val="accent2">
                <a:lumMod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NACE2'!$B$21:$E$21</c:f>
              <c:numCache>
                <c:formatCode>General</c:formatCode>
                <c:ptCount val="4"/>
                <c:pt idx="0">
                  <c:v>9.046874173273908</c:v>
                </c:pt>
                <c:pt idx="1">
                  <c:v>8.2799185757816947</c:v>
                </c:pt>
                <c:pt idx="2">
                  <c:v>9.7781204265104975</c:v>
                </c:pt>
                <c:pt idx="3">
                  <c:v>9.5468760396566648</c:v>
                </c:pt>
              </c:numCache>
            </c:numRef>
          </c:val>
          <c:extLst>
            <c:ext xmlns:c16="http://schemas.microsoft.com/office/drawing/2014/chart" uri="{C3380CC4-5D6E-409C-BE32-E72D297353CC}">
              <c16:uniqueId val="{00000009-C755-4887-AAD1-FB049CA71277}"/>
            </c:ext>
          </c:extLst>
        </c:ser>
        <c:ser>
          <c:idx val="8"/>
          <c:order val="8"/>
          <c:tx>
            <c:strRef>
              <c:f>'HPH dle NACE2'!$A$22</c:f>
              <c:strCache>
                <c:ptCount val="1"/>
                <c:pt idx="0">
                  <c:v>Profesní, vědecké, technické a administrativní činnosti</c:v>
                </c:pt>
              </c:strCache>
            </c:strRef>
          </c:tx>
          <c:spPr>
            <a:solidFill>
              <a:schemeClr val="accent3">
                <a:lumMod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NACE2'!$B$22:$E$22</c:f>
              <c:numCache>
                <c:formatCode>General</c:formatCode>
                <c:ptCount val="4"/>
                <c:pt idx="0">
                  <c:v>6.8576471952385134</c:v>
                </c:pt>
                <c:pt idx="1">
                  <c:v>6.7264725198450765</c:v>
                </c:pt>
                <c:pt idx="2">
                  <c:v>3.9201338072339627</c:v>
                </c:pt>
                <c:pt idx="3">
                  <c:v>3.4905848692527792</c:v>
                </c:pt>
              </c:numCache>
            </c:numRef>
          </c:val>
          <c:extLst>
            <c:ext xmlns:c16="http://schemas.microsoft.com/office/drawing/2014/chart" uri="{C3380CC4-5D6E-409C-BE32-E72D297353CC}">
              <c16:uniqueId val="{0000000A-C755-4887-AAD1-FB049CA71277}"/>
            </c:ext>
          </c:extLst>
        </c:ser>
        <c:ser>
          <c:idx val="9"/>
          <c:order val="9"/>
          <c:tx>
            <c:strRef>
              <c:f>'HPH dle NACE2'!$A$23</c:f>
              <c:strCache>
                <c:ptCount val="1"/>
                <c:pt idx="0">
                  <c:v>Veřejná správa a obrana, vzdělávání, zdravotní a sociální péče</c:v>
                </c:pt>
              </c:strCache>
            </c:strRef>
          </c:tx>
          <c:spPr>
            <a:solidFill>
              <a:schemeClr val="accent4">
                <a:lumMod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NACE2'!$B$23:$E$23</c:f>
              <c:numCache>
                <c:formatCode>General</c:formatCode>
                <c:ptCount val="4"/>
                <c:pt idx="0">
                  <c:v>15.214096024622505</c:v>
                </c:pt>
                <c:pt idx="1">
                  <c:v>14.776659220763596</c:v>
                </c:pt>
                <c:pt idx="2">
                  <c:v>19.842410620949138</c:v>
                </c:pt>
                <c:pt idx="3">
                  <c:v>19.515603167210095</c:v>
                </c:pt>
              </c:numCache>
            </c:numRef>
          </c:val>
          <c:extLst>
            <c:ext xmlns:c16="http://schemas.microsoft.com/office/drawing/2014/chart" uri="{C3380CC4-5D6E-409C-BE32-E72D297353CC}">
              <c16:uniqueId val="{0000000B-C755-4887-AAD1-FB049CA71277}"/>
            </c:ext>
          </c:extLst>
        </c:ser>
        <c:ser>
          <c:idx val="10"/>
          <c:order val="10"/>
          <c:tx>
            <c:strRef>
              <c:f>'HPH dle NACE2'!$A$24</c:f>
              <c:strCache>
                <c:ptCount val="1"/>
                <c:pt idx="0">
                  <c:v>Ostatní činnosti</c:v>
                </c:pt>
              </c:strCache>
            </c:strRef>
          </c:tx>
          <c:spPr>
            <a:solidFill>
              <a:schemeClr val="accent1">
                <a:lumMod val="20000"/>
                <a:lumOff val="8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'HPH dle NACE2'!$B$13:$E$13</c:f>
              <c:strCache>
                <c:ptCount val="4"/>
                <c:pt idx="0">
                  <c:v>ČR 2009</c:v>
                </c:pt>
                <c:pt idx="1">
                  <c:v>ČR 2014</c:v>
                </c:pt>
                <c:pt idx="2">
                  <c:v>KVK 2009</c:v>
                </c:pt>
                <c:pt idx="3">
                  <c:v>KVK 2014</c:v>
                </c:pt>
              </c:strCache>
            </c:strRef>
          </c:cat>
          <c:val>
            <c:numRef>
              <c:f>'HPH dle NACE2'!$B$24:$E$24</c:f>
              <c:numCache>
                <c:formatCode>General</c:formatCode>
                <c:ptCount val="4"/>
                <c:pt idx="0">
                  <c:v>2.2959766653570401</c:v>
                </c:pt>
                <c:pt idx="1">
                  <c:v>2.1628826746320193</c:v>
                </c:pt>
                <c:pt idx="2">
                  <c:v>3.7019130252979395</c:v>
                </c:pt>
                <c:pt idx="3">
                  <c:v>3.7593984962405997</c:v>
                </c:pt>
              </c:numCache>
            </c:numRef>
          </c:val>
          <c:extLst>
            <c:ext xmlns:c16="http://schemas.microsoft.com/office/drawing/2014/chart" uri="{C3380CC4-5D6E-409C-BE32-E72D297353CC}">
              <c16:uniqueId val="{0000000C-C755-4887-AAD1-FB049CA71277}"/>
            </c:ext>
          </c:extLst>
        </c:ser>
        <c:dLbls>
          <c:showLegendKey val="0"/>
          <c:showVal val="0"/>
          <c:showCatName val="0"/>
          <c:showSerName val="0"/>
          <c:showPercent val="0"/>
          <c:showBubbleSize val="0"/>
        </c:dLbls>
        <c:gapWidth val="150"/>
        <c:overlap val="100"/>
        <c:axId val="127826560"/>
        <c:axId val="127852928"/>
      </c:barChart>
      <c:catAx>
        <c:axId val="12782656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852928"/>
        <c:crosses val="autoZero"/>
        <c:auto val="1"/>
        <c:lblAlgn val="ctr"/>
        <c:lblOffset val="100"/>
        <c:noMultiLvlLbl val="0"/>
      </c:catAx>
      <c:valAx>
        <c:axId val="127852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826560"/>
        <c:crosses val="autoZero"/>
        <c:crossBetween val="between"/>
      </c:valAx>
      <c:spPr>
        <a:noFill/>
        <a:ln>
          <a:noFill/>
        </a:ln>
        <a:effectLst/>
      </c:spPr>
    </c:plotArea>
    <c:legend>
      <c:legendPos val="b"/>
      <c:layout>
        <c:manualLayout>
          <c:xMode val="edge"/>
          <c:yMode val="edge"/>
          <c:x val="0"/>
          <c:y val="0.55227007874015732"/>
          <c:w val="0.99922336096876563"/>
          <c:h val="0.43959160104987038"/>
        </c:manualLayout>
      </c:layout>
      <c:overlay val="0"/>
      <c:spPr>
        <a:noFill/>
        <a:ln>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List2!$B$2</c:f>
              <c:strCache>
                <c:ptCount val="1"/>
                <c:pt idx="0">
                  <c:v>G - I Obchod, doprava, ubytování a pohostinství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List2!$C$1:$F$1</c:f>
              <c:strCache>
                <c:ptCount val="4"/>
                <c:pt idx="0">
                  <c:v>KVK 2005</c:v>
                </c:pt>
                <c:pt idx="1">
                  <c:v>KVK 2014</c:v>
                </c:pt>
                <c:pt idx="2">
                  <c:v>ČR 2005</c:v>
                </c:pt>
                <c:pt idx="3">
                  <c:v>ČR 2014</c:v>
                </c:pt>
              </c:strCache>
            </c:strRef>
          </c:cat>
          <c:val>
            <c:numRef>
              <c:f>List2!$C$2:$F$2</c:f>
              <c:numCache>
                <c:formatCode>0.0</c:formatCode>
                <c:ptCount val="4"/>
                <c:pt idx="0">
                  <c:v>35.053263997576508</c:v>
                </c:pt>
                <c:pt idx="1">
                  <c:v>34.344351616418344</c:v>
                </c:pt>
                <c:pt idx="2">
                  <c:v>33.260490699107983</c:v>
                </c:pt>
                <c:pt idx="3">
                  <c:v>30.27768537092977</c:v>
                </c:pt>
              </c:numCache>
            </c:numRef>
          </c:val>
          <c:extLst>
            <c:ext xmlns:c16="http://schemas.microsoft.com/office/drawing/2014/chart" uri="{C3380CC4-5D6E-409C-BE32-E72D297353CC}">
              <c16:uniqueId val="{00000000-832E-49EA-A8A1-F7CFD0818975}"/>
            </c:ext>
          </c:extLst>
        </c:ser>
        <c:ser>
          <c:idx val="1"/>
          <c:order val="1"/>
          <c:tx>
            <c:strRef>
              <c:f>List2!$B$3</c:f>
              <c:strCache>
                <c:ptCount val="1"/>
                <c:pt idx="0">
                  <c:v>J Informační a komunikační činnosti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List2!$C$1:$F$1</c:f>
              <c:strCache>
                <c:ptCount val="4"/>
                <c:pt idx="0">
                  <c:v>KVK 2005</c:v>
                </c:pt>
                <c:pt idx="1">
                  <c:v>KVK 2014</c:v>
                </c:pt>
                <c:pt idx="2">
                  <c:v>ČR 2005</c:v>
                </c:pt>
                <c:pt idx="3">
                  <c:v>ČR 2014</c:v>
                </c:pt>
              </c:strCache>
            </c:strRef>
          </c:cat>
          <c:val>
            <c:numRef>
              <c:f>List2!$C$3:$F$3</c:f>
              <c:numCache>
                <c:formatCode>0.0</c:formatCode>
                <c:ptCount val="4"/>
                <c:pt idx="0">
                  <c:v>2.7414550411470695</c:v>
                </c:pt>
                <c:pt idx="1">
                  <c:v>1.7458227388303658</c:v>
                </c:pt>
                <c:pt idx="2">
                  <c:v>8.1156741786931601</c:v>
                </c:pt>
                <c:pt idx="3">
                  <c:v>8.2903003992412998</c:v>
                </c:pt>
              </c:numCache>
            </c:numRef>
          </c:val>
          <c:extLst>
            <c:ext xmlns:c16="http://schemas.microsoft.com/office/drawing/2014/chart" uri="{C3380CC4-5D6E-409C-BE32-E72D297353CC}">
              <c16:uniqueId val="{00000001-832E-49EA-A8A1-F7CFD0818975}"/>
            </c:ext>
          </c:extLst>
        </c:ser>
        <c:ser>
          <c:idx val="2"/>
          <c:order val="2"/>
          <c:tx>
            <c:strRef>
              <c:f>List2!$B$4</c:f>
              <c:strCache>
                <c:ptCount val="1"/>
                <c:pt idx="0">
                  <c:v>K Peněžnictví a pojišťovnictví</c:v>
                </c:pt>
              </c:strCache>
            </c:strRef>
          </c:tx>
          <c:spPr>
            <a:solidFill>
              <a:schemeClr val="accent3"/>
            </a:solidFill>
            <a:ln>
              <a:noFill/>
            </a:ln>
            <a:effectLst/>
          </c:spPr>
          <c:invertIfNegative val="0"/>
          <c:dLbls>
            <c:dLbl>
              <c:idx val="1"/>
              <c:layout>
                <c:manualLayout>
                  <c:x val="5.98802395209583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2E-49EA-A8A1-F7CFD08189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List2!$C$1:$F$1</c:f>
              <c:strCache>
                <c:ptCount val="4"/>
                <c:pt idx="0">
                  <c:v>KVK 2005</c:v>
                </c:pt>
                <c:pt idx="1">
                  <c:v>KVK 2014</c:v>
                </c:pt>
                <c:pt idx="2">
                  <c:v>ČR 2005</c:v>
                </c:pt>
                <c:pt idx="3">
                  <c:v>ČR 2014</c:v>
                </c:pt>
              </c:strCache>
            </c:strRef>
          </c:cat>
          <c:val>
            <c:numRef>
              <c:f>List2!$C$4:$F$4</c:f>
              <c:numCache>
                <c:formatCode>0.0</c:formatCode>
                <c:ptCount val="4"/>
                <c:pt idx="0">
                  <c:v>2.4057151512091677</c:v>
                </c:pt>
                <c:pt idx="1">
                  <c:v>1.9614965492190339</c:v>
                </c:pt>
                <c:pt idx="2">
                  <c:v>5.3208739756327486</c:v>
                </c:pt>
                <c:pt idx="3">
                  <c:v>7.5922729126604471</c:v>
                </c:pt>
              </c:numCache>
            </c:numRef>
          </c:val>
          <c:extLst>
            <c:ext xmlns:c16="http://schemas.microsoft.com/office/drawing/2014/chart" uri="{C3380CC4-5D6E-409C-BE32-E72D297353CC}">
              <c16:uniqueId val="{00000003-832E-49EA-A8A1-F7CFD0818975}"/>
            </c:ext>
          </c:extLst>
        </c:ser>
        <c:ser>
          <c:idx val="3"/>
          <c:order val="3"/>
          <c:tx>
            <c:strRef>
              <c:f>List2!$B$5</c:f>
              <c:strCache>
                <c:ptCount val="1"/>
                <c:pt idx="0">
                  <c:v>L Činnosti v oblasti nemovitostí</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List2!$C$1:$F$1</c:f>
              <c:strCache>
                <c:ptCount val="4"/>
                <c:pt idx="0">
                  <c:v>KVK 2005</c:v>
                </c:pt>
                <c:pt idx="1">
                  <c:v>KVK 2014</c:v>
                </c:pt>
                <c:pt idx="2">
                  <c:v>ČR 2005</c:v>
                </c:pt>
                <c:pt idx="3">
                  <c:v>ČR 2014</c:v>
                </c:pt>
              </c:strCache>
            </c:strRef>
          </c:cat>
          <c:val>
            <c:numRef>
              <c:f>List2!$C$5:$F$5</c:f>
              <c:numCache>
                <c:formatCode>0.0</c:formatCode>
                <c:ptCount val="4"/>
                <c:pt idx="0">
                  <c:v>15.030039884889186</c:v>
                </c:pt>
                <c:pt idx="1">
                  <c:v>16.286778060297856</c:v>
                </c:pt>
                <c:pt idx="2">
                  <c:v>13.384536587134718</c:v>
                </c:pt>
                <c:pt idx="3">
                  <c:v>13.954473465294685</c:v>
                </c:pt>
              </c:numCache>
            </c:numRef>
          </c:val>
          <c:extLst>
            <c:ext xmlns:c16="http://schemas.microsoft.com/office/drawing/2014/chart" uri="{C3380CC4-5D6E-409C-BE32-E72D297353CC}">
              <c16:uniqueId val="{00000004-832E-49EA-A8A1-F7CFD0818975}"/>
            </c:ext>
          </c:extLst>
        </c:ser>
        <c:ser>
          <c:idx val="4"/>
          <c:order val="4"/>
          <c:tx>
            <c:strRef>
              <c:f>List2!$B$6</c:f>
              <c:strCache>
                <c:ptCount val="1"/>
                <c:pt idx="0">
                  <c:v>M + N Profesní, vědecké, technické a administrativní činnosti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List2!$C$1:$F$1</c:f>
              <c:strCache>
                <c:ptCount val="4"/>
                <c:pt idx="0">
                  <c:v>KVK 2005</c:v>
                </c:pt>
                <c:pt idx="1">
                  <c:v>KVK 2014</c:v>
                </c:pt>
                <c:pt idx="2">
                  <c:v>ČR 2005</c:v>
                </c:pt>
                <c:pt idx="3">
                  <c:v>ČR 2014</c:v>
                </c:pt>
              </c:strCache>
            </c:strRef>
          </c:cat>
          <c:val>
            <c:numRef>
              <c:f>List2!$C$6:$F$6</c:f>
              <c:numCache>
                <c:formatCode>0.0</c:formatCode>
                <c:ptCount val="4"/>
                <c:pt idx="0">
                  <c:v>7.3181198566163248</c:v>
                </c:pt>
                <c:pt idx="1">
                  <c:v>5.9548674173628804</c:v>
                </c:pt>
                <c:pt idx="2">
                  <c:v>10.788717455943143</c:v>
                </c:pt>
                <c:pt idx="3">
                  <c:v>11.336389535008307</c:v>
                </c:pt>
              </c:numCache>
            </c:numRef>
          </c:val>
          <c:extLst>
            <c:ext xmlns:c16="http://schemas.microsoft.com/office/drawing/2014/chart" uri="{C3380CC4-5D6E-409C-BE32-E72D297353CC}">
              <c16:uniqueId val="{00000005-832E-49EA-A8A1-F7CFD0818975}"/>
            </c:ext>
          </c:extLst>
        </c:ser>
        <c:ser>
          <c:idx val="5"/>
          <c:order val="5"/>
          <c:tx>
            <c:strRef>
              <c:f>List2!$B$7</c:f>
              <c:strCache>
                <c:ptCount val="1"/>
                <c:pt idx="0">
                  <c:v>O - Q Veřejná správa, vzdělání, zdravotní a sociální péče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List2!$C$1:$F$1</c:f>
              <c:strCache>
                <c:ptCount val="4"/>
                <c:pt idx="0">
                  <c:v>KVK 2005</c:v>
                </c:pt>
                <c:pt idx="1">
                  <c:v>KVK 2014</c:v>
                </c:pt>
                <c:pt idx="2">
                  <c:v>ČR 2005</c:v>
                </c:pt>
                <c:pt idx="3">
                  <c:v>ČR 2014</c:v>
                </c:pt>
              </c:strCache>
            </c:strRef>
          </c:cat>
          <c:val>
            <c:numRef>
              <c:f>List2!$C$7:$F$7</c:f>
              <c:numCache>
                <c:formatCode>0.0</c:formatCode>
                <c:ptCount val="4"/>
                <c:pt idx="0">
                  <c:v>29.560256474983589</c:v>
                </c:pt>
                <c:pt idx="1">
                  <c:v>33.293225572103161</c:v>
                </c:pt>
                <c:pt idx="2">
                  <c:v>25.052238197113642</c:v>
                </c:pt>
                <c:pt idx="3">
                  <c:v>24.903686807376598</c:v>
                </c:pt>
              </c:numCache>
            </c:numRef>
          </c:val>
          <c:extLst>
            <c:ext xmlns:c16="http://schemas.microsoft.com/office/drawing/2014/chart" uri="{C3380CC4-5D6E-409C-BE32-E72D297353CC}">
              <c16:uniqueId val="{00000006-832E-49EA-A8A1-F7CFD0818975}"/>
            </c:ext>
          </c:extLst>
        </c:ser>
        <c:ser>
          <c:idx val="6"/>
          <c:order val="6"/>
          <c:tx>
            <c:strRef>
              <c:f>List2!$B$8</c:f>
              <c:strCache>
                <c:ptCount val="1"/>
                <c:pt idx="0">
                  <c:v>R - U Ostatní činnosti</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List2!$C$1:$F$1</c:f>
              <c:strCache>
                <c:ptCount val="4"/>
                <c:pt idx="0">
                  <c:v>KVK 2005</c:v>
                </c:pt>
                <c:pt idx="1">
                  <c:v>KVK 2014</c:v>
                </c:pt>
                <c:pt idx="2">
                  <c:v>ČR 2005</c:v>
                </c:pt>
                <c:pt idx="3">
                  <c:v>ČR 2014</c:v>
                </c:pt>
              </c:strCache>
            </c:strRef>
          </c:cat>
          <c:val>
            <c:numRef>
              <c:f>List2!$C$8:$F$8</c:f>
              <c:numCache>
                <c:formatCode>0.0</c:formatCode>
                <c:ptCount val="4"/>
                <c:pt idx="0">
                  <c:v>7.8911495935780334</c:v>
                </c:pt>
                <c:pt idx="1">
                  <c:v>6.4134580457682526</c:v>
                </c:pt>
                <c:pt idx="2">
                  <c:v>4.0774689063746514</c:v>
                </c:pt>
                <c:pt idx="3">
                  <c:v>3.6451915094888112</c:v>
                </c:pt>
              </c:numCache>
            </c:numRef>
          </c:val>
          <c:extLst>
            <c:ext xmlns:c16="http://schemas.microsoft.com/office/drawing/2014/chart" uri="{C3380CC4-5D6E-409C-BE32-E72D297353CC}">
              <c16:uniqueId val="{00000007-832E-49EA-A8A1-F7CFD0818975}"/>
            </c:ext>
          </c:extLst>
        </c:ser>
        <c:dLbls>
          <c:showLegendKey val="0"/>
          <c:showVal val="0"/>
          <c:showCatName val="0"/>
          <c:showSerName val="0"/>
          <c:showPercent val="0"/>
          <c:showBubbleSize val="0"/>
        </c:dLbls>
        <c:gapWidth val="150"/>
        <c:overlap val="100"/>
        <c:axId val="129088512"/>
        <c:axId val="127677184"/>
      </c:barChart>
      <c:catAx>
        <c:axId val="12908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677184"/>
        <c:crosses val="autoZero"/>
        <c:auto val="1"/>
        <c:lblAlgn val="ctr"/>
        <c:lblOffset val="100"/>
        <c:noMultiLvlLbl val="0"/>
      </c:catAx>
      <c:valAx>
        <c:axId val="1276771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9088512"/>
        <c:crosses val="autoZero"/>
        <c:crossBetween val="between"/>
      </c:valAx>
      <c:spPr>
        <a:noFill/>
        <a:ln>
          <a:noFill/>
        </a:ln>
        <a:effectLst/>
      </c:spPr>
    </c:plotArea>
    <c:legend>
      <c:legendPos val="b"/>
      <c:layout>
        <c:manualLayout>
          <c:xMode val="edge"/>
          <c:yMode val="edge"/>
          <c:x val="0"/>
          <c:y val="0.61309400306004613"/>
          <c:w val="0.99878261745059871"/>
          <c:h val="0.371375900287347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928717323336496"/>
          <c:y val="4.252515310586176E-2"/>
          <c:w val="0.85015722939030325"/>
          <c:h val="0.82108684867999771"/>
        </c:manualLayout>
      </c:layout>
      <c:barChart>
        <c:barDir val="col"/>
        <c:grouping val="clustered"/>
        <c:varyColors val="0"/>
        <c:ser>
          <c:idx val="0"/>
          <c:order val="0"/>
          <c:tx>
            <c:strRef>
              <c:f>'VaV zaměstnanci'!$C$40</c:f>
              <c:strCache>
                <c:ptCount val="1"/>
                <c:pt idx="0">
                  <c:v>2005</c:v>
                </c:pt>
              </c:strCache>
            </c:strRef>
          </c:tx>
          <c:spPr>
            <a:solidFill>
              <a:schemeClr val="tx2">
                <a:lumMod val="40000"/>
                <a:lumOff val="60000"/>
              </a:schemeClr>
            </a:solidFill>
          </c:spPr>
          <c:invertIfNegative val="0"/>
          <c:dPt>
            <c:idx val="13"/>
            <c:invertIfNegative val="0"/>
            <c:bubble3D val="0"/>
            <c:spPr>
              <a:solidFill>
                <a:srgbClr val="C00000"/>
              </a:solidFill>
            </c:spPr>
            <c:extLst>
              <c:ext xmlns:c16="http://schemas.microsoft.com/office/drawing/2014/chart" uri="{C3380CC4-5D6E-409C-BE32-E72D297353CC}">
                <c16:uniqueId val="{00000000-6D52-49B3-9B58-B29C244E62BC}"/>
              </c:ext>
            </c:extLst>
          </c:dPt>
          <c:cat>
            <c:strRef>
              <c:f>'VaV zaměstnanci'!$B$41:$B$54</c:f>
              <c:strCache>
                <c:ptCount val="14"/>
                <c:pt idx="0">
                  <c:v>PHA</c:v>
                </c:pt>
                <c:pt idx="1">
                  <c:v>JHM</c:v>
                </c:pt>
                <c:pt idx="2">
                  <c:v>STC</c:v>
                </c:pt>
                <c:pt idx="3">
                  <c:v>PAK</c:v>
                </c:pt>
                <c:pt idx="4">
                  <c:v>PLZ</c:v>
                </c:pt>
                <c:pt idx="5">
                  <c:v>JHC</c:v>
                </c:pt>
                <c:pt idx="6">
                  <c:v>OLK</c:v>
                </c:pt>
                <c:pt idx="7">
                  <c:v>KHK</c:v>
                </c:pt>
                <c:pt idx="8">
                  <c:v>LBK</c:v>
                </c:pt>
                <c:pt idx="9">
                  <c:v>ZLK</c:v>
                </c:pt>
                <c:pt idx="10">
                  <c:v>MSK</c:v>
                </c:pt>
                <c:pt idx="11">
                  <c:v>VYS</c:v>
                </c:pt>
                <c:pt idx="12">
                  <c:v>ULK</c:v>
                </c:pt>
                <c:pt idx="13">
                  <c:v>KVK</c:v>
                </c:pt>
              </c:strCache>
            </c:strRef>
          </c:cat>
          <c:val>
            <c:numRef>
              <c:f>'VaV zaměstnanci'!$C$41:$C$54</c:f>
              <c:numCache>
                <c:formatCode>0</c:formatCode>
                <c:ptCount val="14"/>
                <c:pt idx="0">
                  <c:v>149.51016298562425</c:v>
                </c:pt>
                <c:pt idx="1">
                  <c:v>53.399044132349246</c:v>
                </c:pt>
                <c:pt idx="2">
                  <c:v>39.238573489211625</c:v>
                </c:pt>
                <c:pt idx="3">
                  <c:v>38.297198908917657</c:v>
                </c:pt>
                <c:pt idx="4">
                  <c:v>26.012524733316262</c:v>
                </c:pt>
                <c:pt idx="5">
                  <c:v>26.23355478759219</c:v>
                </c:pt>
                <c:pt idx="6">
                  <c:v>32.211861542048894</c:v>
                </c:pt>
                <c:pt idx="7">
                  <c:v>24.90870659616051</c:v>
                </c:pt>
                <c:pt idx="8">
                  <c:v>30.235962061139286</c:v>
                </c:pt>
                <c:pt idx="9">
                  <c:v>28.200503770871819</c:v>
                </c:pt>
                <c:pt idx="10">
                  <c:v>18.982065871683709</c:v>
                </c:pt>
                <c:pt idx="11">
                  <c:v>13.711771372549018</c:v>
                </c:pt>
                <c:pt idx="12">
                  <c:v>8.4734142023410541</c:v>
                </c:pt>
                <c:pt idx="13">
                  <c:v>2.3015591604369199</c:v>
                </c:pt>
              </c:numCache>
            </c:numRef>
          </c:val>
          <c:extLst>
            <c:ext xmlns:c16="http://schemas.microsoft.com/office/drawing/2014/chart" uri="{C3380CC4-5D6E-409C-BE32-E72D297353CC}">
              <c16:uniqueId val="{00000001-6D52-49B3-9B58-B29C244E62BC}"/>
            </c:ext>
          </c:extLst>
        </c:ser>
        <c:ser>
          <c:idx val="1"/>
          <c:order val="1"/>
          <c:tx>
            <c:strRef>
              <c:f>'VaV zaměstnanci'!$D$40</c:f>
              <c:strCache>
                <c:ptCount val="1"/>
                <c:pt idx="0">
                  <c:v>2010</c:v>
                </c:pt>
              </c:strCache>
            </c:strRef>
          </c:tx>
          <c:spPr>
            <a:solidFill>
              <a:schemeClr val="tx2">
                <a:lumMod val="75000"/>
              </a:schemeClr>
            </a:solidFill>
          </c:spPr>
          <c:invertIfNegative val="0"/>
          <c:dPt>
            <c:idx val="13"/>
            <c:invertIfNegative val="0"/>
            <c:bubble3D val="0"/>
            <c:spPr>
              <a:solidFill>
                <a:srgbClr val="FF0000"/>
              </a:solidFill>
            </c:spPr>
            <c:extLst>
              <c:ext xmlns:c16="http://schemas.microsoft.com/office/drawing/2014/chart" uri="{C3380CC4-5D6E-409C-BE32-E72D297353CC}">
                <c16:uniqueId val="{00000002-6D52-49B3-9B58-B29C244E62BC}"/>
              </c:ext>
            </c:extLst>
          </c:dPt>
          <c:cat>
            <c:strRef>
              <c:f>'VaV zaměstnanci'!$B$41:$B$54</c:f>
              <c:strCache>
                <c:ptCount val="14"/>
                <c:pt idx="0">
                  <c:v>PHA</c:v>
                </c:pt>
                <c:pt idx="1">
                  <c:v>JHM</c:v>
                </c:pt>
                <c:pt idx="2">
                  <c:v>STC</c:v>
                </c:pt>
                <c:pt idx="3">
                  <c:v>PAK</c:v>
                </c:pt>
                <c:pt idx="4">
                  <c:v>PLZ</c:v>
                </c:pt>
                <c:pt idx="5">
                  <c:v>JHC</c:v>
                </c:pt>
                <c:pt idx="6">
                  <c:v>OLK</c:v>
                </c:pt>
                <c:pt idx="7">
                  <c:v>KHK</c:v>
                </c:pt>
                <c:pt idx="8">
                  <c:v>LBK</c:v>
                </c:pt>
                <c:pt idx="9">
                  <c:v>ZLK</c:v>
                </c:pt>
                <c:pt idx="10">
                  <c:v>MSK</c:v>
                </c:pt>
                <c:pt idx="11">
                  <c:v>VYS</c:v>
                </c:pt>
                <c:pt idx="12">
                  <c:v>ULK</c:v>
                </c:pt>
                <c:pt idx="13">
                  <c:v>KVK</c:v>
                </c:pt>
              </c:strCache>
            </c:strRef>
          </c:cat>
          <c:val>
            <c:numRef>
              <c:f>'VaV zaměstnanci'!$D$41:$D$54</c:f>
              <c:numCache>
                <c:formatCode>0</c:formatCode>
                <c:ptCount val="14"/>
                <c:pt idx="0">
                  <c:v>159.48507620677381</c:v>
                </c:pt>
                <c:pt idx="1">
                  <c:v>75.750458506287018</c:v>
                </c:pt>
                <c:pt idx="2">
                  <c:v>42.358817095849894</c:v>
                </c:pt>
                <c:pt idx="3">
                  <c:v>41.795125741133646</c:v>
                </c:pt>
                <c:pt idx="4">
                  <c:v>33.800773220657206</c:v>
                </c:pt>
                <c:pt idx="5">
                  <c:v>33.247993525732319</c:v>
                </c:pt>
                <c:pt idx="6">
                  <c:v>32.888221038835148</c:v>
                </c:pt>
                <c:pt idx="7">
                  <c:v>32.592137323740388</c:v>
                </c:pt>
                <c:pt idx="8">
                  <c:v>30.453394215475889</c:v>
                </c:pt>
                <c:pt idx="9">
                  <c:v>30.228577005346686</c:v>
                </c:pt>
                <c:pt idx="10">
                  <c:v>27.792025115305286</c:v>
                </c:pt>
                <c:pt idx="11">
                  <c:v>13.446842657342676</c:v>
                </c:pt>
                <c:pt idx="12">
                  <c:v>9.2049011361624089</c:v>
                </c:pt>
                <c:pt idx="13">
                  <c:v>3.0565839561275472</c:v>
                </c:pt>
              </c:numCache>
            </c:numRef>
          </c:val>
          <c:extLst>
            <c:ext xmlns:c16="http://schemas.microsoft.com/office/drawing/2014/chart" uri="{C3380CC4-5D6E-409C-BE32-E72D297353CC}">
              <c16:uniqueId val="{00000003-6D52-49B3-9B58-B29C244E62BC}"/>
            </c:ext>
          </c:extLst>
        </c:ser>
        <c:ser>
          <c:idx val="2"/>
          <c:order val="2"/>
          <c:tx>
            <c:strRef>
              <c:f>'VaV zaměstnanci'!$E$40</c:f>
              <c:strCache>
                <c:ptCount val="1"/>
                <c:pt idx="0">
                  <c:v>2015</c:v>
                </c:pt>
              </c:strCache>
            </c:strRef>
          </c:tx>
          <c:invertIfNegative val="0"/>
          <c:dPt>
            <c:idx val="13"/>
            <c:invertIfNegative val="0"/>
            <c:bubble3D val="0"/>
            <c:spPr>
              <a:solidFill>
                <a:srgbClr val="FF5050"/>
              </a:solidFill>
            </c:spPr>
            <c:extLst>
              <c:ext xmlns:c16="http://schemas.microsoft.com/office/drawing/2014/chart" uri="{C3380CC4-5D6E-409C-BE32-E72D297353CC}">
                <c16:uniqueId val="{00000004-6D52-49B3-9B58-B29C244E62BC}"/>
              </c:ext>
            </c:extLst>
          </c:dPt>
          <c:cat>
            <c:strRef>
              <c:f>'VaV zaměstnanci'!$B$41:$B$54</c:f>
              <c:strCache>
                <c:ptCount val="14"/>
                <c:pt idx="0">
                  <c:v>PHA</c:v>
                </c:pt>
                <c:pt idx="1">
                  <c:v>JHM</c:v>
                </c:pt>
                <c:pt idx="2">
                  <c:v>STC</c:v>
                </c:pt>
                <c:pt idx="3">
                  <c:v>PAK</c:v>
                </c:pt>
                <c:pt idx="4">
                  <c:v>PLZ</c:v>
                </c:pt>
                <c:pt idx="5">
                  <c:v>JHC</c:v>
                </c:pt>
                <c:pt idx="6">
                  <c:v>OLK</c:v>
                </c:pt>
                <c:pt idx="7">
                  <c:v>KHK</c:v>
                </c:pt>
                <c:pt idx="8">
                  <c:v>LBK</c:v>
                </c:pt>
                <c:pt idx="9">
                  <c:v>ZLK</c:v>
                </c:pt>
                <c:pt idx="10">
                  <c:v>MSK</c:v>
                </c:pt>
                <c:pt idx="11">
                  <c:v>VYS</c:v>
                </c:pt>
                <c:pt idx="12">
                  <c:v>ULK</c:v>
                </c:pt>
                <c:pt idx="13">
                  <c:v>KVK</c:v>
                </c:pt>
              </c:strCache>
            </c:strRef>
          </c:cat>
          <c:val>
            <c:numRef>
              <c:f>'VaV zaměstnanci'!$E$41:$E$54</c:f>
              <c:numCache>
                <c:formatCode>General</c:formatCode>
                <c:ptCount val="14"/>
                <c:pt idx="0">
                  <c:v>281</c:v>
                </c:pt>
                <c:pt idx="1">
                  <c:v>155</c:v>
                </c:pt>
                <c:pt idx="2">
                  <c:v>52</c:v>
                </c:pt>
                <c:pt idx="3">
                  <c:v>77</c:v>
                </c:pt>
                <c:pt idx="4">
                  <c:v>84</c:v>
                </c:pt>
                <c:pt idx="5">
                  <c:v>52</c:v>
                </c:pt>
                <c:pt idx="6">
                  <c:v>77</c:v>
                </c:pt>
                <c:pt idx="7">
                  <c:v>53</c:v>
                </c:pt>
                <c:pt idx="8">
                  <c:v>66</c:v>
                </c:pt>
                <c:pt idx="9">
                  <c:v>52</c:v>
                </c:pt>
                <c:pt idx="10">
                  <c:v>60</c:v>
                </c:pt>
                <c:pt idx="11">
                  <c:v>28</c:v>
                </c:pt>
                <c:pt idx="12">
                  <c:v>26</c:v>
                </c:pt>
                <c:pt idx="13">
                  <c:v>9</c:v>
                </c:pt>
              </c:numCache>
            </c:numRef>
          </c:val>
          <c:extLst>
            <c:ext xmlns:c16="http://schemas.microsoft.com/office/drawing/2014/chart" uri="{C3380CC4-5D6E-409C-BE32-E72D297353CC}">
              <c16:uniqueId val="{00000005-6D52-49B3-9B58-B29C244E62BC}"/>
            </c:ext>
          </c:extLst>
        </c:ser>
        <c:dLbls>
          <c:showLegendKey val="0"/>
          <c:showVal val="0"/>
          <c:showCatName val="0"/>
          <c:showSerName val="0"/>
          <c:showPercent val="0"/>
          <c:showBubbleSize val="0"/>
        </c:dLbls>
        <c:gapWidth val="150"/>
        <c:axId val="127698432"/>
        <c:axId val="127699968"/>
      </c:barChart>
      <c:catAx>
        <c:axId val="127698432"/>
        <c:scaling>
          <c:orientation val="minMax"/>
        </c:scaling>
        <c:delete val="0"/>
        <c:axPos val="b"/>
        <c:numFmt formatCode="General" sourceLinked="0"/>
        <c:majorTickMark val="out"/>
        <c:minorTickMark val="none"/>
        <c:tickLblPos val="nextTo"/>
        <c:crossAx val="127699968"/>
        <c:crosses val="autoZero"/>
        <c:auto val="1"/>
        <c:lblAlgn val="ctr"/>
        <c:lblOffset val="100"/>
        <c:noMultiLvlLbl val="0"/>
      </c:catAx>
      <c:valAx>
        <c:axId val="127699968"/>
        <c:scaling>
          <c:orientation val="minMax"/>
        </c:scaling>
        <c:delete val="0"/>
        <c:axPos val="l"/>
        <c:majorGridlines>
          <c:spPr>
            <a:ln>
              <a:prstDash val="sysDash"/>
            </a:ln>
          </c:spPr>
        </c:majorGridlines>
        <c:numFmt formatCode="0" sourceLinked="1"/>
        <c:majorTickMark val="out"/>
        <c:minorTickMark val="none"/>
        <c:tickLblPos val="nextTo"/>
        <c:crossAx val="127698432"/>
        <c:crosses val="autoZero"/>
        <c:crossBetween val="between"/>
      </c:valAx>
      <c:spPr>
        <a:ln>
          <a:solidFill>
            <a:sysClr val="windowText" lastClr="000000">
              <a:tint val="75000"/>
              <a:shade val="95000"/>
              <a:satMod val="105000"/>
            </a:sysClr>
          </a:solidFill>
        </a:ln>
      </c:spPr>
    </c:plotArea>
    <c:legend>
      <c:legendPos val="t"/>
      <c:layout>
        <c:manualLayout>
          <c:xMode val="edge"/>
          <c:yMode val="edge"/>
          <c:x val="0.37911832895888142"/>
          <c:y val="4.6296296296296474E-2"/>
          <c:w val="0.23595833539675512"/>
          <c:h val="8.2854127770111224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7124015934208523E-2"/>
          <c:y val="5.6406430517246822E-2"/>
          <c:w val="0.91239612773661427"/>
          <c:h val="0.83503041531573263"/>
        </c:manualLayout>
      </c:layout>
      <c:barChart>
        <c:barDir val="col"/>
        <c:grouping val="clustered"/>
        <c:varyColors val="0"/>
        <c:ser>
          <c:idx val="0"/>
          <c:order val="0"/>
          <c:tx>
            <c:strRef>
              <c:f>'Výdaje na VaV'!$C$19</c:f>
              <c:strCache>
                <c:ptCount val="1"/>
                <c:pt idx="0">
                  <c:v>Výdaje na VaV v % HDP 2005</c:v>
                </c:pt>
              </c:strCache>
            </c:strRef>
          </c:tx>
          <c:invertIfNegative val="0"/>
          <c:dPt>
            <c:idx val="13"/>
            <c:invertIfNegative val="0"/>
            <c:bubble3D val="0"/>
            <c:spPr>
              <a:solidFill>
                <a:srgbClr val="C00000"/>
              </a:solidFill>
            </c:spPr>
            <c:extLst>
              <c:ext xmlns:c16="http://schemas.microsoft.com/office/drawing/2014/chart" uri="{C3380CC4-5D6E-409C-BE32-E72D297353CC}">
                <c16:uniqueId val="{00000000-84FE-416F-8A31-E927209ACA30}"/>
              </c:ext>
            </c:extLst>
          </c:dPt>
          <c:cat>
            <c:strRef>
              <c:f>'Výdaje na VaV'!$B$20:$B$33</c:f>
              <c:strCache>
                <c:ptCount val="14"/>
                <c:pt idx="0">
                  <c:v>STC</c:v>
                </c:pt>
                <c:pt idx="1">
                  <c:v>PHA</c:v>
                </c:pt>
                <c:pt idx="2">
                  <c:v>JHM</c:v>
                </c:pt>
                <c:pt idx="3">
                  <c:v>PAK</c:v>
                </c:pt>
                <c:pt idx="4">
                  <c:v>LBK</c:v>
                </c:pt>
                <c:pt idx="5">
                  <c:v>JHC</c:v>
                </c:pt>
                <c:pt idx="6">
                  <c:v>KHK</c:v>
                </c:pt>
                <c:pt idx="7">
                  <c:v>OLK</c:v>
                </c:pt>
                <c:pt idx="8">
                  <c:v>PLK</c:v>
                </c:pt>
                <c:pt idx="9">
                  <c:v>ZLK</c:v>
                </c:pt>
                <c:pt idx="10">
                  <c:v>MSK</c:v>
                </c:pt>
                <c:pt idx="11">
                  <c:v>VYS</c:v>
                </c:pt>
                <c:pt idx="12">
                  <c:v>ULK</c:v>
                </c:pt>
                <c:pt idx="13">
                  <c:v>KVK</c:v>
                </c:pt>
              </c:strCache>
            </c:strRef>
          </c:cat>
          <c:val>
            <c:numRef>
              <c:f>'Výdaje na VaV'!$C$20:$C$33</c:f>
              <c:numCache>
                <c:formatCode>0.00</c:formatCode>
                <c:ptCount val="14"/>
                <c:pt idx="0">
                  <c:v>2.772969548181297</c:v>
                </c:pt>
                <c:pt idx="1">
                  <c:v>2.210916426214502</c:v>
                </c:pt>
                <c:pt idx="2">
                  <c:v>1.5520632090893318</c:v>
                </c:pt>
                <c:pt idx="3">
                  <c:v>1.343817025660496</c:v>
                </c:pt>
                <c:pt idx="4">
                  <c:v>1.0599118308771496</c:v>
                </c:pt>
                <c:pt idx="5">
                  <c:v>0.978337025615857</c:v>
                </c:pt>
                <c:pt idx="6">
                  <c:v>0.83532192905082692</c:v>
                </c:pt>
                <c:pt idx="7">
                  <c:v>0.97181126483795977</c:v>
                </c:pt>
                <c:pt idx="8">
                  <c:v>0.74587661787522064</c:v>
                </c:pt>
                <c:pt idx="9">
                  <c:v>1.1309888850663343</c:v>
                </c:pt>
                <c:pt idx="10">
                  <c:v>0.70619515591405269</c:v>
                </c:pt>
                <c:pt idx="11">
                  <c:v>0.5608727541713916</c:v>
                </c:pt>
                <c:pt idx="12">
                  <c:v>0.30242016022119539</c:v>
                </c:pt>
                <c:pt idx="13">
                  <c:v>0.11387664033376919</c:v>
                </c:pt>
              </c:numCache>
            </c:numRef>
          </c:val>
          <c:extLst>
            <c:ext xmlns:c16="http://schemas.microsoft.com/office/drawing/2014/chart" uri="{C3380CC4-5D6E-409C-BE32-E72D297353CC}">
              <c16:uniqueId val="{00000001-84FE-416F-8A31-E927209ACA30}"/>
            </c:ext>
          </c:extLst>
        </c:ser>
        <c:ser>
          <c:idx val="1"/>
          <c:order val="1"/>
          <c:tx>
            <c:strRef>
              <c:f>'Výdaje na VaV'!$D$19</c:f>
              <c:strCache>
                <c:ptCount val="1"/>
                <c:pt idx="0">
                  <c:v>Výdaje na VaV v % HDP 2009</c:v>
                </c:pt>
              </c:strCache>
            </c:strRef>
          </c:tx>
          <c:invertIfNegative val="0"/>
          <c:dPt>
            <c:idx val="13"/>
            <c:invertIfNegative val="0"/>
            <c:bubble3D val="0"/>
            <c:spPr>
              <a:solidFill>
                <a:srgbClr val="FF0000"/>
              </a:solidFill>
            </c:spPr>
            <c:extLst>
              <c:ext xmlns:c16="http://schemas.microsoft.com/office/drawing/2014/chart" uri="{C3380CC4-5D6E-409C-BE32-E72D297353CC}">
                <c16:uniqueId val="{00000002-84FE-416F-8A31-E927209ACA30}"/>
              </c:ext>
            </c:extLst>
          </c:dPt>
          <c:cat>
            <c:strRef>
              <c:f>'Výdaje na VaV'!$B$20:$B$33</c:f>
              <c:strCache>
                <c:ptCount val="14"/>
                <c:pt idx="0">
                  <c:v>STC</c:v>
                </c:pt>
                <c:pt idx="1">
                  <c:v>PHA</c:v>
                </c:pt>
                <c:pt idx="2">
                  <c:v>JHM</c:v>
                </c:pt>
                <c:pt idx="3">
                  <c:v>PAK</c:v>
                </c:pt>
                <c:pt idx="4">
                  <c:v>LBK</c:v>
                </c:pt>
                <c:pt idx="5">
                  <c:v>JHC</c:v>
                </c:pt>
                <c:pt idx="6">
                  <c:v>KHK</c:v>
                </c:pt>
                <c:pt idx="7">
                  <c:v>OLK</c:v>
                </c:pt>
                <c:pt idx="8">
                  <c:v>PLK</c:v>
                </c:pt>
                <c:pt idx="9">
                  <c:v>ZLK</c:v>
                </c:pt>
                <c:pt idx="10">
                  <c:v>MSK</c:v>
                </c:pt>
                <c:pt idx="11">
                  <c:v>VYS</c:v>
                </c:pt>
                <c:pt idx="12">
                  <c:v>ULK</c:v>
                </c:pt>
                <c:pt idx="13">
                  <c:v>KVK</c:v>
                </c:pt>
              </c:strCache>
            </c:strRef>
          </c:cat>
          <c:val>
            <c:numRef>
              <c:f>'Výdaje na VaV'!$D$20:$D$33</c:f>
              <c:numCache>
                <c:formatCode>0.00</c:formatCode>
                <c:ptCount val="14"/>
                <c:pt idx="0">
                  <c:v>2.556091596880143</c:v>
                </c:pt>
                <c:pt idx="1">
                  <c:v>2.2085174387036188</c:v>
                </c:pt>
                <c:pt idx="2">
                  <c:v>2.1404171370325216</c:v>
                </c:pt>
                <c:pt idx="3">
                  <c:v>1.3120264876019079</c:v>
                </c:pt>
                <c:pt idx="4">
                  <c:v>1.263180804547442</c:v>
                </c:pt>
                <c:pt idx="5">
                  <c:v>1.1181162702509113</c:v>
                </c:pt>
                <c:pt idx="6">
                  <c:v>1.0225820639520515</c:v>
                </c:pt>
                <c:pt idx="7">
                  <c:v>0.96916364723825477</c:v>
                </c:pt>
                <c:pt idx="8">
                  <c:v>0.9338731608202141</c:v>
                </c:pt>
                <c:pt idx="9">
                  <c:v>0.9329492368436586</c:v>
                </c:pt>
                <c:pt idx="10">
                  <c:v>0.86103802922176642</c:v>
                </c:pt>
                <c:pt idx="11">
                  <c:v>0.46293489915568997</c:v>
                </c:pt>
                <c:pt idx="12">
                  <c:v>0.28305220820805188</c:v>
                </c:pt>
                <c:pt idx="13">
                  <c:v>0.12789068645846371</c:v>
                </c:pt>
              </c:numCache>
            </c:numRef>
          </c:val>
          <c:extLst>
            <c:ext xmlns:c16="http://schemas.microsoft.com/office/drawing/2014/chart" uri="{C3380CC4-5D6E-409C-BE32-E72D297353CC}">
              <c16:uniqueId val="{00000003-84FE-416F-8A31-E927209ACA30}"/>
            </c:ext>
          </c:extLst>
        </c:ser>
        <c:ser>
          <c:idx val="2"/>
          <c:order val="2"/>
          <c:tx>
            <c:strRef>
              <c:f>'Výdaje na VaV'!$E$19</c:f>
              <c:strCache>
                <c:ptCount val="1"/>
                <c:pt idx="0">
                  <c:v>Výdaje na VaV v % HDP 2014</c:v>
                </c:pt>
              </c:strCache>
            </c:strRef>
          </c:tx>
          <c:invertIfNegative val="0"/>
          <c:dPt>
            <c:idx val="13"/>
            <c:invertIfNegative val="0"/>
            <c:bubble3D val="0"/>
            <c:spPr>
              <a:solidFill>
                <a:srgbClr val="FF5050"/>
              </a:solidFill>
            </c:spPr>
            <c:extLst>
              <c:ext xmlns:c16="http://schemas.microsoft.com/office/drawing/2014/chart" uri="{C3380CC4-5D6E-409C-BE32-E72D297353CC}">
                <c16:uniqueId val="{00000004-84FE-416F-8A31-E927209ACA30}"/>
              </c:ext>
            </c:extLst>
          </c:dPt>
          <c:cat>
            <c:strRef>
              <c:f>'Výdaje na VaV'!$B$20:$B$33</c:f>
              <c:strCache>
                <c:ptCount val="14"/>
                <c:pt idx="0">
                  <c:v>STC</c:v>
                </c:pt>
                <c:pt idx="1">
                  <c:v>PHA</c:v>
                </c:pt>
                <c:pt idx="2">
                  <c:v>JHM</c:v>
                </c:pt>
                <c:pt idx="3">
                  <c:v>PAK</c:v>
                </c:pt>
                <c:pt idx="4">
                  <c:v>LBK</c:v>
                </c:pt>
                <c:pt idx="5">
                  <c:v>JHC</c:v>
                </c:pt>
                <c:pt idx="6">
                  <c:v>KHK</c:v>
                </c:pt>
                <c:pt idx="7">
                  <c:v>OLK</c:v>
                </c:pt>
                <c:pt idx="8">
                  <c:v>PLK</c:v>
                </c:pt>
                <c:pt idx="9">
                  <c:v>ZLK</c:v>
                </c:pt>
                <c:pt idx="10">
                  <c:v>MSK</c:v>
                </c:pt>
                <c:pt idx="11">
                  <c:v>VYS</c:v>
                </c:pt>
                <c:pt idx="12">
                  <c:v>ULK</c:v>
                </c:pt>
                <c:pt idx="13">
                  <c:v>KVK</c:v>
                </c:pt>
              </c:strCache>
            </c:strRef>
          </c:cat>
          <c:val>
            <c:numRef>
              <c:f>'Výdaje na VaV'!$E$20:$E$33</c:f>
              <c:numCache>
                <c:formatCode>General</c:formatCode>
                <c:ptCount val="14"/>
                <c:pt idx="0">
                  <c:v>2.0099999999999998</c:v>
                </c:pt>
                <c:pt idx="1">
                  <c:v>2.86</c:v>
                </c:pt>
                <c:pt idx="2">
                  <c:v>3.66</c:v>
                </c:pt>
                <c:pt idx="3">
                  <c:v>1.61</c:v>
                </c:pt>
                <c:pt idx="4">
                  <c:v>1.8900000000000001</c:v>
                </c:pt>
                <c:pt idx="5">
                  <c:v>1.1399999999999963</c:v>
                </c:pt>
                <c:pt idx="6">
                  <c:v>1.04</c:v>
                </c:pt>
                <c:pt idx="7">
                  <c:v>1.6900000000000033</c:v>
                </c:pt>
                <c:pt idx="8">
                  <c:v>2.15</c:v>
                </c:pt>
                <c:pt idx="9">
                  <c:v>1.29</c:v>
                </c:pt>
                <c:pt idx="10">
                  <c:v>1.26</c:v>
                </c:pt>
                <c:pt idx="11">
                  <c:v>0.88</c:v>
                </c:pt>
                <c:pt idx="12">
                  <c:v>0.48000000000000032</c:v>
                </c:pt>
                <c:pt idx="13">
                  <c:v>0.18000000000000024</c:v>
                </c:pt>
              </c:numCache>
            </c:numRef>
          </c:val>
          <c:extLst>
            <c:ext xmlns:c16="http://schemas.microsoft.com/office/drawing/2014/chart" uri="{C3380CC4-5D6E-409C-BE32-E72D297353CC}">
              <c16:uniqueId val="{00000005-84FE-416F-8A31-E927209ACA30}"/>
            </c:ext>
          </c:extLst>
        </c:ser>
        <c:dLbls>
          <c:showLegendKey val="0"/>
          <c:showVal val="0"/>
          <c:showCatName val="0"/>
          <c:showSerName val="0"/>
          <c:showPercent val="0"/>
          <c:showBubbleSize val="0"/>
        </c:dLbls>
        <c:gapWidth val="150"/>
        <c:axId val="129127168"/>
        <c:axId val="129128704"/>
      </c:barChart>
      <c:catAx>
        <c:axId val="129127168"/>
        <c:scaling>
          <c:orientation val="minMax"/>
        </c:scaling>
        <c:delete val="0"/>
        <c:axPos val="b"/>
        <c:numFmt formatCode="General" sourceLinked="0"/>
        <c:majorTickMark val="out"/>
        <c:minorTickMark val="none"/>
        <c:tickLblPos val="nextTo"/>
        <c:crossAx val="129128704"/>
        <c:crosses val="autoZero"/>
        <c:auto val="1"/>
        <c:lblAlgn val="ctr"/>
        <c:lblOffset val="100"/>
        <c:noMultiLvlLbl val="0"/>
      </c:catAx>
      <c:valAx>
        <c:axId val="129128704"/>
        <c:scaling>
          <c:orientation val="minMax"/>
        </c:scaling>
        <c:delete val="0"/>
        <c:axPos val="l"/>
        <c:majorGridlines/>
        <c:numFmt formatCode="0.0" sourceLinked="0"/>
        <c:majorTickMark val="out"/>
        <c:minorTickMark val="none"/>
        <c:tickLblPos val="nextTo"/>
        <c:crossAx val="129127168"/>
        <c:crosses val="autoZero"/>
        <c:crossBetween val="between"/>
      </c:valAx>
    </c:plotArea>
    <c:legend>
      <c:legendPos val="t"/>
      <c:layout>
        <c:manualLayout>
          <c:xMode val="edge"/>
          <c:yMode val="edge"/>
          <c:x val="6.5543011690350178E-2"/>
          <c:y val="2.6968610515456042E-3"/>
          <c:w val="0.90483220847394052"/>
          <c:h val="0.18461135103104045"/>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2434652041787724E-2"/>
          <c:y val="5.961485477298762E-2"/>
          <c:w val="0.92530940460970712"/>
          <c:h val="0.78019015087632348"/>
        </c:manualLayout>
      </c:layout>
      <c:barChart>
        <c:barDir val="col"/>
        <c:grouping val="clustered"/>
        <c:varyColors val="0"/>
        <c:ser>
          <c:idx val="0"/>
          <c:order val="0"/>
          <c:tx>
            <c:strRef>
              <c:f>'zaměstnanost VŠ osob'!$D$41</c:f>
              <c:strCache>
                <c:ptCount val="1"/>
                <c:pt idx="0">
                  <c:v>Podíl VŠ zaměstnanosti 2004</c:v>
                </c:pt>
              </c:strCache>
            </c:strRef>
          </c:tx>
          <c:spPr>
            <a:solidFill>
              <a:schemeClr val="accent1">
                <a:lumMod val="60000"/>
                <a:lumOff val="40000"/>
              </a:schemeClr>
            </a:solidFill>
          </c:spPr>
          <c:invertIfNegative val="0"/>
          <c:dPt>
            <c:idx val="14"/>
            <c:invertIfNegative val="0"/>
            <c:bubble3D val="0"/>
            <c:spPr>
              <a:solidFill>
                <a:srgbClr val="C00000"/>
              </a:solidFill>
            </c:spPr>
            <c:extLst>
              <c:ext xmlns:c16="http://schemas.microsoft.com/office/drawing/2014/chart" uri="{C3380CC4-5D6E-409C-BE32-E72D297353CC}">
                <c16:uniqueId val="{00000000-58B0-40C1-9784-466F20FABFB2}"/>
              </c:ext>
            </c:extLst>
          </c:dPt>
          <c:cat>
            <c:strRef>
              <c:f>'zaměstnanost VŠ osob'!$C$42:$C$56</c:f>
              <c:strCache>
                <c:ptCount val="15"/>
                <c:pt idx="0">
                  <c:v>PHA</c:v>
                </c:pt>
                <c:pt idx="1">
                  <c:v>JHM</c:v>
                </c:pt>
                <c:pt idx="2">
                  <c:v>Česko</c:v>
                </c:pt>
                <c:pt idx="3">
                  <c:v>MSK</c:v>
                </c:pt>
                <c:pt idx="4">
                  <c:v>PLK</c:v>
                </c:pt>
                <c:pt idx="5">
                  <c:v>KHK</c:v>
                </c:pt>
                <c:pt idx="6">
                  <c:v>STC</c:v>
                </c:pt>
                <c:pt idx="7">
                  <c:v>ZLK</c:v>
                </c:pt>
                <c:pt idx="8">
                  <c:v>PAK</c:v>
                </c:pt>
                <c:pt idx="9">
                  <c:v>OLK</c:v>
                </c:pt>
                <c:pt idx="10">
                  <c:v>JHC</c:v>
                </c:pt>
                <c:pt idx="11">
                  <c:v>LBK</c:v>
                </c:pt>
                <c:pt idx="12">
                  <c:v>VYS</c:v>
                </c:pt>
                <c:pt idx="13">
                  <c:v>ULK</c:v>
                </c:pt>
                <c:pt idx="14">
                  <c:v>KVK</c:v>
                </c:pt>
              </c:strCache>
            </c:strRef>
          </c:cat>
          <c:val>
            <c:numRef>
              <c:f>'zaměstnanost VŠ osob'!$D$42:$D$56</c:f>
              <c:numCache>
                <c:formatCode>General</c:formatCode>
                <c:ptCount val="15"/>
                <c:pt idx="0">
                  <c:v>28.845539127250014</c:v>
                </c:pt>
                <c:pt idx="1">
                  <c:v>17.487186435112186</c:v>
                </c:pt>
                <c:pt idx="2">
                  <c:v>14.017076033979277</c:v>
                </c:pt>
                <c:pt idx="3">
                  <c:v>12.075816675789598</c:v>
                </c:pt>
                <c:pt idx="4">
                  <c:v>11.689395213726756</c:v>
                </c:pt>
                <c:pt idx="5">
                  <c:v>12.133475650556662</c:v>
                </c:pt>
                <c:pt idx="6">
                  <c:v>11.362521819272144</c:v>
                </c:pt>
                <c:pt idx="7">
                  <c:v>12.2252946255349</c:v>
                </c:pt>
                <c:pt idx="8">
                  <c:v>10.899213071124352</c:v>
                </c:pt>
                <c:pt idx="9">
                  <c:v>12.535742999306095</c:v>
                </c:pt>
                <c:pt idx="10">
                  <c:v>12.420879775765803</c:v>
                </c:pt>
                <c:pt idx="11">
                  <c:v>8.4724673211894643</c:v>
                </c:pt>
                <c:pt idx="12">
                  <c:v>10.187634216890075</c:v>
                </c:pt>
                <c:pt idx="13">
                  <c:v>7.6612755016675251</c:v>
                </c:pt>
                <c:pt idx="14">
                  <c:v>8.8829309593831187</c:v>
                </c:pt>
              </c:numCache>
            </c:numRef>
          </c:val>
          <c:extLst>
            <c:ext xmlns:c16="http://schemas.microsoft.com/office/drawing/2014/chart" uri="{C3380CC4-5D6E-409C-BE32-E72D297353CC}">
              <c16:uniqueId val="{00000001-58B0-40C1-9784-466F20FABFB2}"/>
            </c:ext>
          </c:extLst>
        </c:ser>
        <c:ser>
          <c:idx val="1"/>
          <c:order val="1"/>
          <c:tx>
            <c:strRef>
              <c:f>'zaměstnanost VŠ osob'!$E$41</c:f>
              <c:strCache>
                <c:ptCount val="1"/>
                <c:pt idx="0">
                  <c:v>Podíl VŠ zaměstnanosti 2010</c:v>
                </c:pt>
              </c:strCache>
            </c:strRef>
          </c:tx>
          <c:spPr>
            <a:solidFill>
              <a:schemeClr val="tx2"/>
            </a:solidFill>
          </c:spPr>
          <c:invertIfNegative val="0"/>
          <c:dPt>
            <c:idx val="14"/>
            <c:invertIfNegative val="0"/>
            <c:bubble3D val="0"/>
            <c:spPr>
              <a:solidFill>
                <a:srgbClr val="FF0000"/>
              </a:solidFill>
            </c:spPr>
            <c:extLst>
              <c:ext xmlns:c16="http://schemas.microsoft.com/office/drawing/2014/chart" uri="{C3380CC4-5D6E-409C-BE32-E72D297353CC}">
                <c16:uniqueId val="{00000002-58B0-40C1-9784-466F20FABFB2}"/>
              </c:ext>
            </c:extLst>
          </c:dPt>
          <c:cat>
            <c:strRef>
              <c:f>'zaměstnanost VŠ osob'!$C$42:$C$56</c:f>
              <c:strCache>
                <c:ptCount val="15"/>
                <c:pt idx="0">
                  <c:v>PHA</c:v>
                </c:pt>
                <c:pt idx="1">
                  <c:v>JHM</c:v>
                </c:pt>
                <c:pt idx="2">
                  <c:v>Česko</c:v>
                </c:pt>
                <c:pt idx="3">
                  <c:v>MSK</c:v>
                </c:pt>
                <c:pt idx="4">
                  <c:v>PLK</c:v>
                </c:pt>
                <c:pt idx="5">
                  <c:v>KHK</c:v>
                </c:pt>
                <c:pt idx="6">
                  <c:v>STC</c:v>
                </c:pt>
                <c:pt idx="7">
                  <c:v>ZLK</c:v>
                </c:pt>
                <c:pt idx="8">
                  <c:v>PAK</c:v>
                </c:pt>
                <c:pt idx="9">
                  <c:v>OLK</c:v>
                </c:pt>
                <c:pt idx="10">
                  <c:v>JHC</c:v>
                </c:pt>
                <c:pt idx="11">
                  <c:v>LBK</c:v>
                </c:pt>
                <c:pt idx="12">
                  <c:v>VYS</c:v>
                </c:pt>
                <c:pt idx="13">
                  <c:v>ULK</c:v>
                </c:pt>
                <c:pt idx="14">
                  <c:v>KVK</c:v>
                </c:pt>
              </c:strCache>
            </c:strRef>
          </c:cat>
          <c:val>
            <c:numRef>
              <c:f>'zaměstnanost VŠ osob'!$E$42:$E$56</c:f>
              <c:numCache>
                <c:formatCode>General</c:formatCode>
                <c:ptCount val="15"/>
                <c:pt idx="0">
                  <c:v>35.607443654814965</c:v>
                </c:pt>
                <c:pt idx="1">
                  <c:v>22.139601998781227</c:v>
                </c:pt>
                <c:pt idx="2">
                  <c:v>18.419500631075866</c:v>
                </c:pt>
                <c:pt idx="3">
                  <c:v>17.73906583943198</c:v>
                </c:pt>
                <c:pt idx="4">
                  <c:v>16.093435220551129</c:v>
                </c:pt>
                <c:pt idx="5">
                  <c:v>16.04939592079505</c:v>
                </c:pt>
                <c:pt idx="6">
                  <c:v>16.044952181559978</c:v>
                </c:pt>
                <c:pt idx="7">
                  <c:v>15.56014069276147</c:v>
                </c:pt>
                <c:pt idx="8">
                  <c:v>14.997402358301038</c:v>
                </c:pt>
                <c:pt idx="9">
                  <c:v>14.852202039821135</c:v>
                </c:pt>
                <c:pt idx="10">
                  <c:v>14.707962834257405</c:v>
                </c:pt>
                <c:pt idx="11">
                  <c:v>12.993151019812602</c:v>
                </c:pt>
                <c:pt idx="12">
                  <c:v>12.866841697101385</c:v>
                </c:pt>
                <c:pt idx="13">
                  <c:v>10.37209398271505</c:v>
                </c:pt>
                <c:pt idx="14">
                  <c:v>9.8632846725511598</c:v>
                </c:pt>
              </c:numCache>
            </c:numRef>
          </c:val>
          <c:extLst>
            <c:ext xmlns:c16="http://schemas.microsoft.com/office/drawing/2014/chart" uri="{C3380CC4-5D6E-409C-BE32-E72D297353CC}">
              <c16:uniqueId val="{00000003-58B0-40C1-9784-466F20FABFB2}"/>
            </c:ext>
          </c:extLst>
        </c:ser>
        <c:ser>
          <c:idx val="2"/>
          <c:order val="2"/>
          <c:tx>
            <c:strRef>
              <c:f>'zaměstnanost VŠ osob'!$F$41</c:f>
              <c:strCache>
                <c:ptCount val="1"/>
                <c:pt idx="0">
                  <c:v>Podíl VŠ zaměstnanosti 2015</c:v>
                </c:pt>
              </c:strCache>
            </c:strRef>
          </c:tx>
          <c:spPr>
            <a:solidFill>
              <a:schemeClr val="accent5">
                <a:lumMod val="40000"/>
                <a:lumOff val="60000"/>
              </a:schemeClr>
            </a:solidFill>
            <a:ln w="28575">
              <a:noFill/>
            </a:ln>
          </c:spPr>
          <c:invertIfNegative val="0"/>
          <c:dPt>
            <c:idx val="14"/>
            <c:invertIfNegative val="0"/>
            <c:bubble3D val="0"/>
            <c:spPr>
              <a:solidFill>
                <a:srgbClr val="FF5050"/>
              </a:solidFill>
              <a:ln w="28575">
                <a:noFill/>
              </a:ln>
            </c:spPr>
            <c:extLst>
              <c:ext xmlns:c16="http://schemas.microsoft.com/office/drawing/2014/chart" uri="{C3380CC4-5D6E-409C-BE32-E72D297353CC}">
                <c16:uniqueId val="{00000004-58B0-40C1-9784-466F20FABFB2}"/>
              </c:ext>
            </c:extLst>
          </c:dPt>
          <c:val>
            <c:numRef>
              <c:f>'zaměstnanost VŠ osob'!$F$42:$F$56</c:f>
              <c:numCache>
                <c:formatCode>General</c:formatCode>
                <c:ptCount val="15"/>
                <c:pt idx="0">
                  <c:v>40.730000000000011</c:v>
                </c:pt>
                <c:pt idx="1">
                  <c:v>28.459999999999987</c:v>
                </c:pt>
                <c:pt idx="2">
                  <c:v>23.29</c:v>
                </c:pt>
                <c:pt idx="3">
                  <c:v>21.3</c:v>
                </c:pt>
                <c:pt idx="4">
                  <c:v>19.239999999999988</c:v>
                </c:pt>
                <c:pt idx="5">
                  <c:v>19.86</c:v>
                </c:pt>
                <c:pt idx="6">
                  <c:v>22.479999999999986</c:v>
                </c:pt>
                <c:pt idx="7">
                  <c:v>20.93</c:v>
                </c:pt>
                <c:pt idx="8">
                  <c:v>19.29</c:v>
                </c:pt>
                <c:pt idx="9">
                  <c:v>21.53</c:v>
                </c:pt>
                <c:pt idx="10">
                  <c:v>19.329999999999988</c:v>
                </c:pt>
                <c:pt idx="11">
                  <c:v>17.610000000000031</c:v>
                </c:pt>
                <c:pt idx="12">
                  <c:v>16.57</c:v>
                </c:pt>
                <c:pt idx="13">
                  <c:v>15.139999999999999</c:v>
                </c:pt>
                <c:pt idx="14">
                  <c:v>13.18</c:v>
                </c:pt>
              </c:numCache>
            </c:numRef>
          </c:val>
          <c:extLst>
            <c:ext xmlns:c16="http://schemas.microsoft.com/office/drawing/2014/chart" uri="{C3380CC4-5D6E-409C-BE32-E72D297353CC}">
              <c16:uniqueId val="{00000005-58B0-40C1-9784-466F20FABFB2}"/>
            </c:ext>
          </c:extLst>
        </c:ser>
        <c:dLbls>
          <c:showLegendKey val="0"/>
          <c:showVal val="0"/>
          <c:showCatName val="0"/>
          <c:showSerName val="0"/>
          <c:showPercent val="0"/>
          <c:showBubbleSize val="0"/>
        </c:dLbls>
        <c:gapWidth val="101"/>
        <c:axId val="130590976"/>
        <c:axId val="130605440"/>
      </c:barChart>
      <c:scatterChart>
        <c:scatterStyle val="lineMarker"/>
        <c:varyColors val="0"/>
        <c:ser>
          <c:idx val="3"/>
          <c:order val="3"/>
          <c:tx>
            <c:strRef>
              <c:f>'zaměstnanost VŠ osob'!$G$41</c:f>
              <c:strCache>
                <c:ptCount val="1"/>
                <c:pt idx="0">
                  <c:v>Podíl na růstu 2015/2004</c:v>
                </c:pt>
              </c:strCache>
            </c:strRef>
          </c:tx>
          <c:spPr>
            <a:ln w="28575">
              <a:noFill/>
            </a:ln>
          </c:spPr>
          <c:marker>
            <c:symbol val="diamond"/>
            <c:size val="10"/>
            <c:spPr>
              <a:solidFill>
                <a:srgbClr val="FFFF00"/>
              </a:solidFill>
            </c:spPr>
          </c:marker>
          <c:xVal>
            <c:strRef>
              <c:f>'zaměstnanost VŠ osob'!$C$42:$C$56</c:f>
              <c:strCache>
                <c:ptCount val="15"/>
                <c:pt idx="0">
                  <c:v>PHA</c:v>
                </c:pt>
                <c:pt idx="1">
                  <c:v>JHM</c:v>
                </c:pt>
                <c:pt idx="2">
                  <c:v>Česko</c:v>
                </c:pt>
                <c:pt idx="3">
                  <c:v>MSK</c:v>
                </c:pt>
                <c:pt idx="4">
                  <c:v>PLK</c:v>
                </c:pt>
                <c:pt idx="5">
                  <c:v>KHK</c:v>
                </c:pt>
                <c:pt idx="6">
                  <c:v>STC</c:v>
                </c:pt>
                <c:pt idx="7">
                  <c:v>ZLK</c:v>
                </c:pt>
                <c:pt idx="8">
                  <c:v>PAK</c:v>
                </c:pt>
                <c:pt idx="9">
                  <c:v>OLK</c:v>
                </c:pt>
                <c:pt idx="10">
                  <c:v>JHC</c:v>
                </c:pt>
                <c:pt idx="11">
                  <c:v>LBK</c:v>
                </c:pt>
                <c:pt idx="12">
                  <c:v>VYS</c:v>
                </c:pt>
                <c:pt idx="13">
                  <c:v>ULK</c:v>
                </c:pt>
                <c:pt idx="14">
                  <c:v>KVK</c:v>
                </c:pt>
              </c:strCache>
            </c:strRef>
          </c:xVal>
          <c:yVal>
            <c:numRef>
              <c:f>'zaměstnanost VŠ osob'!$G$42:$G$56</c:f>
              <c:numCache>
                <c:formatCode>General</c:formatCode>
                <c:ptCount val="15"/>
                <c:pt idx="0">
                  <c:v>25.990835991196803</c:v>
                </c:pt>
                <c:pt idx="1">
                  <c:v>18.626080001679924</c:v>
                </c:pt>
                <c:pt idx="3">
                  <c:v>13.865730326094775</c:v>
                </c:pt>
                <c:pt idx="4">
                  <c:v>6.4799250602493084</c:v>
                </c:pt>
                <c:pt idx="5">
                  <c:v>5.6343796969194395</c:v>
                </c:pt>
                <c:pt idx="6">
                  <c:v>18.373880409518705</c:v>
                </c:pt>
                <c:pt idx="7">
                  <c:v>6.7870218142582175</c:v>
                </c:pt>
                <c:pt idx="8">
                  <c:v>6.0989919297643427</c:v>
                </c:pt>
                <c:pt idx="9">
                  <c:v>7.3525114454333602</c:v>
                </c:pt>
                <c:pt idx="10">
                  <c:v>6.3860496200432104</c:v>
                </c:pt>
                <c:pt idx="11">
                  <c:v>4.6285251095348254</c:v>
                </c:pt>
                <c:pt idx="12">
                  <c:v>5.2157066378943213</c:v>
                </c:pt>
                <c:pt idx="13">
                  <c:v>7.45936629516273</c:v>
                </c:pt>
                <c:pt idx="14">
                  <c:v>2.0013672275642751</c:v>
                </c:pt>
              </c:numCache>
            </c:numRef>
          </c:yVal>
          <c:smooth val="0"/>
          <c:extLst>
            <c:ext xmlns:c16="http://schemas.microsoft.com/office/drawing/2014/chart" uri="{C3380CC4-5D6E-409C-BE32-E72D297353CC}">
              <c16:uniqueId val="{00000006-58B0-40C1-9784-466F20FABFB2}"/>
            </c:ext>
          </c:extLst>
        </c:ser>
        <c:dLbls>
          <c:showLegendKey val="0"/>
          <c:showVal val="0"/>
          <c:showCatName val="0"/>
          <c:showSerName val="0"/>
          <c:showPercent val="0"/>
          <c:showBubbleSize val="0"/>
        </c:dLbls>
        <c:axId val="130590976"/>
        <c:axId val="130605440"/>
      </c:scatterChart>
      <c:catAx>
        <c:axId val="130590976"/>
        <c:scaling>
          <c:orientation val="minMax"/>
        </c:scaling>
        <c:delete val="0"/>
        <c:axPos val="b"/>
        <c:numFmt formatCode="General" sourceLinked="0"/>
        <c:majorTickMark val="out"/>
        <c:minorTickMark val="none"/>
        <c:tickLblPos val="nextTo"/>
        <c:crossAx val="130605440"/>
        <c:crosses val="autoZero"/>
        <c:auto val="1"/>
        <c:lblAlgn val="ctr"/>
        <c:lblOffset val="100"/>
        <c:noMultiLvlLbl val="0"/>
      </c:catAx>
      <c:valAx>
        <c:axId val="130605440"/>
        <c:scaling>
          <c:orientation val="minMax"/>
        </c:scaling>
        <c:delete val="0"/>
        <c:axPos val="l"/>
        <c:majorGridlines>
          <c:spPr>
            <a:ln>
              <a:prstDash val="sysDash"/>
            </a:ln>
          </c:spPr>
        </c:majorGridlines>
        <c:numFmt formatCode="General" sourceLinked="1"/>
        <c:majorTickMark val="out"/>
        <c:minorTickMark val="none"/>
        <c:tickLblPos val="nextTo"/>
        <c:crossAx val="130590976"/>
        <c:crosses val="autoZero"/>
        <c:crossBetween val="between"/>
      </c:valAx>
    </c:plotArea>
    <c:legend>
      <c:legendPos val="t"/>
      <c:layout>
        <c:manualLayout>
          <c:xMode val="edge"/>
          <c:yMode val="edge"/>
          <c:x val="0.1425456121097177"/>
          <c:y val="7.3664825046040522E-2"/>
          <c:w val="0.75502924786634462"/>
          <c:h val="0.16093902371626809"/>
        </c:manualLayout>
      </c:layout>
      <c:overlay val="0"/>
    </c:legend>
    <c:plotVisOnly val="1"/>
    <c:dispBlanksAs val="gap"/>
    <c:showDLblsOverMax val="0"/>
  </c:chart>
  <c:txPr>
    <a:bodyPr/>
    <a:lstStyle/>
    <a:p>
      <a:pPr>
        <a:defRPr>
          <a:latin typeface="Arial" pitchFamily="34" charset="0"/>
          <a:cs typeface="Arial" pitchFamily="34" charset="0"/>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5822997892630573E-2"/>
          <c:y val="3.8147689403993032E-2"/>
          <c:w val="0.92048287178964983"/>
          <c:h val="0.86802589283081633"/>
        </c:manualLayout>
      </c:layout>
      <c:barChart>
        <c:barDir val="col"/>
        <c:grouping val="clustered"/>
        <c:varyColors val="0"/>
        <c:ser>
          <c:idx val="0"/>
          <c:order val="0"/>
          <c:tx>
            <c:strRef>
              <c:f>'zaměstnanost KZAM'!$C$16</c:f>
              <c:strCache>
                <c:ptCount val="1"/>
                <c:pt idx="0">
                  <c:v>Podíl KZAM 2,3 v roce 2004</c:v>
                </c:pt>
              </c:strCache>
            </c:strRef>
          </c:tx>
          <c:spPr>
            <a:solidFill>
              <a:schemeClr val="tx2">
                <a:lumMod val="40000"/>
                <a:lumOff val="60000"/>
              </a:schemeClr>
            </a:solidFill>
          </c:spPr>
          <c:invertIfNegative val="0"/>
          <c:dPt>
            <c:idx val="13"/>
            <c:invertIfNegative val="0"/>
            <c:bubble3D val="0"/>
            <c:spPr>
              <a:solidFill>
                <a:srgbClr val="C00000"/>
              </a:solidFill>
            </c:spPr>
            <c:extLst>
              <c:ext xmlns:c16="http://schemas.microsoft.com/office/drawing/2014/chart" uri="{C3380CC4-5D6E-409C-BE32-E72D297353CC}">
                <c16:uniqueId val="{00000000-432A-47CA-8FE8-366055A76BFE}"/>
              </c:ext>
            </c:extLst>
          </c:dPt>
          <c:cat>
            <c:strRef>
              <c:f>'zaměstnanost KZAM'!$B$17:$B$30</c:f>
              <c:strCache>
                <c:ptCount val="14"/>
                <c:pt idx="0">
                  <c:v>Praha</c:v>
                </c:pt>
                <c:pt idx="1">
                  <c:v>JHM</c:v>
                </c:pt>
                <c:pt idx="2">
                  <c:v>KHK</c:v>
                </c:pt>
                <c:pt idx="3">
                  <c:v>MSK</c:v>
                </c:pt>
                <c:pt idx="4">
                  <c:v>STC</c:v>
                </c:pt>
                <c:pt idx="5">
                  <c:v>ZLK</c:v>
                </c:pt>
                <c:pt idx="6">
                  <c:v>PAK</c:v>
                </c:pt>
                <c:pt idx="7">
                  <c:v>PLK</c:v>
                </c:pt>
                <c:pt idx="8">
                  <c:v>JHC</c:v>
                </c:pt>
                <c:pt idx="9">
                  <c:v>LBK</c:v>
                </c:pt>
                <c:pt idx="10">
                  <c:v>OLK</c:v>
                </c:pt>
                <c:pt idx="11">
                  <c:v>ULK</c:v>
                </c:pt>
                <c:pt idx="12">
                  <c:v>VYS</c:v>
                </c:pt>
                <c:pt idx="13">
                  <c:v>KVK</c:v>
                </c:pt>
              </c:strCache>
            </c:strRef>
          </c:cat>
          <c:val>
            <c:numRef>
              <c:f>'zaměstnanost KZAM'!$C$17:$C$30</c:f>
              <c:numCache>
                <c:formatCode>General</c:formatCode>
                <c:ptCount val="14"/>
                <c:pt idx="0">
                  <c:v>50.441538685258585</c:v>
                </c:pt>
                <c:pt idx="1">
                  <c:v>33.992328353053693</c:v>
                </c:pt>
                <c:pt idx="2">
                  <c:v>29.941150414710755</c:v>
                </c:pt>
                <c:pt idx="3">
                  <c:v>29.913600443385587</c:v>
                </c:pt>
                <c:pt idx="4">
                  <c:v>27.384051958323752</c:v>
                </c:pt>
                <c:pt idx="5">
                  <c:v>27.12074130061243</c:v>
                </c:pt>
                <c:pt idx="6">
                  <c:v>27.559308591320129</c:v>
                </c:pt>
                <c:pt idx="7">
                  <c:v>31.382794737753429</c:v>
                </c:pt>
                <c:pt idx="8">
                  <c:v>27.729527854748589</c:v>
                </c:pt>
                <c:pt idx="9">
                  <c:v>26.467585304895842</c:v>
                </c:pt>
                <c:pt idx="10">
                  <c:v>27.728203722161865</c:v>
                </c:pt>
                <c:pt idx="11">
                  <c:v>25.272857041204944</c:v>
                </c:pt>
                <c:pt idx="12">
                  <c:v>24.614237067553631</c:v>
                </c:pt>
                <c:pt idx="13">
                  <c:v>24.698263270085889</c:v>
                </c:pt>
              </c:numCache>
            </c:numRef>
          </c:val>
          <c:extLst>
            <c:ext xmlns:c16="http://schemas.microsoft.com/office/drawing/2014/chart" uri="{C3380CC4-5D6E-409C-BE32-E72D297353CC}">
              <c16:uniqueId val="{00000001-432A-47CA-8FE8-366055A76BFE}"/>
            </c:ext>
          </c:extLst>
        </c:ser>
        <c:ser>
          <c:idx val="1"/>
          <c:order val="1"/>
          <c:tx>
            <c:strRef>
              <c:f>'zaměstnanost KZAM'!$D$16</c:f>
              <c:strCache>
                <c:ptCount val="1"/>
                <c:pt idx="0">
                  <c:v>Podíl KZAM 2,3 v roce 2010</c:v>
                </c:pt>
              </c:strCache>
            </c:strRef>
          </c:tx>
          <c:spPr>
            <a:solidFill>
              <a:schemeClr val="tx2"/>
            </a:solidFill>
          </c:spPr>
          <c:invertIfNegative val="0"/>
          <c:dPt>
            <c:idx val="13"/>
            <c:invertIfNegative val="0"/>
            <c:bubble3D val="0"/>
            <c:spPr>
              <a:solidFill>
                <a:srgbClr val="FF0000"/>
              </a:solidFill>
            </c:spPr>
            <c:extLst>
              <c:ext xmlns:c16="http://schemas.microsoft.com/office/drawing/2014/chart" uri="{C3380CC4-5D6E-409C-BE32-E72D297353CC}">
                <c16:uniqueId val="{00000002-432A-47CA-8FE8-366055A76BFE}"/>
              </c:ext>
            </c:extLst>
          </c:dPt>
          <c:cat>
            <c:strRef>
              <c:f>'zaměstnanost KZAM'!$B$17:$B$30</c:f>
              <c:strCache>
                <c:ptCount val="14"/>
                <c:pt idx="0">
                  <c:v>Praha</c:v>
                </c:pt>
                <c:pt idx="1">
                  <c:v>JHM</c:v>
                </c:pt>
                <c:pt idx="2">
                  <c:v>KHK</c:v>
                </c:pt>
                <c:pt idx="3">
                  <c:v>MSK</c:v>
                </c:pt>
                <c:pt idx="4">
                  <c:v>STC</c:v>
                </c:pt>
                <c:pt idx="5">
                  <c:v>ZLK</c:v>
                </c:pt>
                <c:pt idx="6">
                  <c:v>PAK</c:v>
                </c:pt>
                <c:pt idx="7">
                  <c:v>PLK</c:v>
                </c:pt>
                <c:pt idx="8">
                  <c:v>JHC</c:v>
                </c:pt>
                <c:pt idx="9">
                  <c:v>LBK</c:v>
                </c:pt>
                <c:pt idx="10">
                  <c:v>OLK</c:v>
                </c:pt>
                <c:pt idx="11">
                  <c:v>ULK</c:v>
                </c:pt>
                <c:pt idx="12">
                  <c:v>VYS</c:v>
                </c:pt>
                <c:pt idx="13">
                  <c:v>KVK</c:v>
                </c:pt>
              </c:strCache>
            </c:strRef>
          </c:cat>
          <c:val>
            <c:numRef>
              <c:f>'zaměstnanost KZAM'!$D$17:$D$30</c:f>
              <c:numCache>
                <c:formatCode>General</c:formatCode>
                <c:ptCount val="14"/>
                <c:pt idx="0">
                  <c:v>55.352658180433544</c:v>
                </c:pt>
                <c:pt idx="1">
                  <c:v>36.435120726172094</c:v>
                </c:pt>
                <c:pt idx="2">
                  <c:v>34.215001704974561</c:v>
                </c:pt>
                <c:pt idx="3">
                  <c:v>33.397679109344374</c:v>
                </c:pt>
                <c:pt idx="4">
                  <c:v>33.385266634145594</c:v>
                </c:pt>
                <c:pt idx="5">
                  <c:v>31.957379123519164</c:v>
                </c:pt>
                <c:pt idx="6">
                  <c:v>31.723230187778821</c:v>
                </c:pt>
                <c:pt idx="7">
                  <c:v>31.566022778435762</c:v>
                </c:pt>
                <c:pt idx="8">
                  <c:v>31.565984142131452</c:v>
                </c:pt>
                <c:pt idx="9">
                  <c:v>30.224923624001498</c:v>
                </c:pt>
                <c:pt idx="10">
                  <c:v>30.055549920690112</c:v>
                </c:pt>
                <c:pt idx="11">
                  <c:v>29.696601530622303</c:v>
                </c:pt>
                <c:pt idx="12">
                  <c:v>28.340564870583822</c:v>
                </c:pt>
                <c:pt idx="13">
                  <c:v>27.885297783351763</c:v>
                </c:pt>
              </c:numCache>
            </c:numRef>
          </c:val>
          <c:extLst>
            <c:ext xmlns:c16="http://schemas.microsoft.com/office/drawing/2014/chart" uri="{C3380CC4-5D6E-409C-BE32-E72D297353CC}">
              <c16:uniqueId val="{00000003-432A-47CA-8FE8-366055A76BFE}"/>
            </c:ext>
          </c:extLst>
        </c:ser>
        <c:ser>
          <c:idx val="2"/>
          <c:order val="2"/>
          <c:tx>
            <c:strRef>
              <c:f>'zaměstnanost KZAM'!$E$16</c:f>
              <c:strCache>
                <c:ptCount val="1"/>
                <c:pt idx="0">
                  <c:v>Podíl KZAM 2,3 v roce 2015</c:v>
                </c:pt>
              </c:strCache>
            </c:strRef>
          </c:tx>
          <c:spPr>
            <a:solidFill>
              <a:srgbClr val="85CDE3"/>
            </a:solidFill>
            <a:ln w="28575">
              <a:noFill/>
            </a:ln>
          </c:spPr>
          <c:invertIfNegative val="0"/>
          <c:dPt>
            <c:idx val="13"/>
            <c:invertIfNegative val="0"/>
            <c:bubble3D val="0"/>
            <c:spPr>
              <a:solidFill>
                <a:srgbClr val="FA5736"/>
              </a:solidFill>
              <a:ln w="28575">
                <a:noFill/>
              </a:ln>
            </c:spPr>
            <c:extLst>
              <c:ext xmlns:c16="http://schemas.microsoft.com/office/drawing/2014/chart" uri="{C3380CC4-5D6E-409C-BE32-E72D297353CC}">
                <c16:uniqueId val="{00000004-432A-47CA-8FE8-366055A76BFE}"/>
              </c:ext>
            </c:extLst>
          </c:dPt>
          <c:cat>
            <c:strRef>
              <c:f>'zaměstnanost KZAM'!$B$17:$B$30</c:f>
              <c:strCache>
                <c:ptCount val="14"/>
                <c:pt idx="0">
                  <c:v>Praha</c:v>
                </c:pt>
                <c:pt idx="1">
                  <c:v>JHM</c:v>
                </c:pt>
                <c:pt idx="2">
                  <c:v>KHK</c:v>
                </c:pt>
                <c:pt idx="3">
                  <c:v>MSK</c:v>
                </c:pt>
                <c:pt idx="4">
                  <c:v>STC</c:v>
                </c:pt>
                <c:pt idx="5">
                  <c:v>ZLK</c:v>
                </c:pt>
                <c:pt idx="6">
                  <c:v>PAK</c:v>
                </c:pt>
                <c:pt idx="7">
                  <c:v>PLK</c:v>
                </c:pt>
                <c:pt idx="8">
                  <c:v>JHC</c:v>
                </c:pt>
                <c:pt idx="9">
                  <c:v>LBK</c:v>
                </c:pt>
                <c:pt idx="10">
                  <c:v>OLK</c:v>
                </c:pt>
                <c:pt idx="11">
                  <c:v>ULK</c:v>
                </c:pt>
                <c:pt idx="12">
                  <c:v>VYS</c:v>
                </c:pt>
                <c:pt idx="13">
                  <c:v>KVK</c:v>
                </c:pt>
              </c:strCache>
            </c:strRef>
          </c:cat>
          <c:val>
            <c:numRef>
              <c:f>'zaměstnanost KZAM'!$E$17:$E$30</c:f>
              <c:numCache>
                <c:formatCode>General</c:formatCode>
                <c:ptCount val="14"/>
                <c:pt idx="0">
                  <c:v>47</c:v>
                </c:pt>
                <c:pt idx="1">
                  <c:v>37</c:v>
                </c:pt>
                <c:pt idx="2">
                  <c:v>31</c:v>
                </c:pt>
                <c:pt idx="3">
                  <c:v>30</c:v>
                </c:pt>
                <c:pt idx="4">
                  <c:v>32</c:v>
                </c:pt>
                <c:pt idx="5">
                  <c:v>28</c:v>
                </c:pt>
                <c:pt idx="6">
                  <c:v>29</c:v>
                </c:pt>
                <c:pt idx="7">
                  <c:v>29</c:v>
                </c:pt>
                <c:pt idx="8">
                  <c:v>28</c:v>
                </c:pt>
                <c:pt idx="9">
                  <c:v>29</c:v>
                </c:pt>
                <c:pt idx="10">
                  <c:v>28</c:v>
                </c:pt>
                <c:pt idx="11">
                  <c:v>28</c:v>
                </c:pt>
                <c:pt idx="12">
                  <c:v>26</c:v>
                </c:pt>
                <c:pt idx="13">
                  <c:v>22</c:v>
                </c:pt>
              </c:numCache>
            </c:numRef>
          </c:val>
          <c:extLst>
            <c:ext xmlns:c16="http://schemas.microsoft.com/office/drawing/2014/chart" uri="{C3380CC4-5D6E-409C-BE32-E72D297353CC}">
              <c16:uniqueId val="{00000005-432A-47CA-8FE8-366055A76BFE}"/>
            </c:ext>
          </c:extLst>
        </c:ser>
        <c:dLbls>
          <c:showLegendKey val="0"/>
          <c:showVal val="0"/>
          <c:showCatName val="0"/>
          <c:showSerName val="0"/>
          <c:showPercent val="0"/>
          <c:showBubbleSize val="0"/>
        </c:dLbls>
        <c:gapWidth val="150"/>
        <c:axId val="129255680"/>
        <c:axId val="129269760"/>
      </c:barChart>
      <c:catAx>
        <c:axId val="129255680"/>
        <c:scaling>
          <c:orientation val="minMax"/>
        </c:scaling>
        <c:delete val="0"/>
        <c:axPos val="b"/>
        <c:numFmt formatCode="General" sourceLinked="0"/>
        <c:majorTickMark val="out"/>
        <c:minorTickMark val="none"/>
        <c:tickLblPos val="nextTo"/>
        <c:crossAx val="129269760"/>
        <c:crosses val="autoZero"/>
        <c:auto val="1"/>
        <c:lblAlgn val="ctr"/>
        <c:lblOffset val="100"/>
        <c:noMultiLvlLbl val="0"/>
      </c:catAx>
      <c:valAx>
        <c:axId val="129269760"/>
        <c:scaling>
          <c:orientation val="minMax"/>
        </c:scaling>
        <c:delete val="0"/>
        <c:axPos val="l"/>
        <c:majorGridlines>
          <c:spPr>
            <a:ln>
              <a:prstDash val="sysDash"/>
            </a:ln>
          </c:spPr>
        </c:majorGridlines>
        <c:numFmt formatCode="General" sourceLinked="1"/>
        <c:majorTickMark val="out"/>
        <c:minorTickMark val="none"/>
        <c:tickLblPos val="nextTo"/>
        <c:crossAx val="129255680"/>
        <c:crosses val="autoZero"/>
        <c:crossBetween val="between"/>
      </c:valAx>
    </c:plotArea>
    <c:legend>
      <c:legendPos val="t"/>
      <c:layout>
        <c:manualLayout>
          <c:xMode val="edge"/>
          <c:yMode val="edge"/>
          <c:x val="0.10018207336360822"/>
          <c:y val="4.49438202247191E-2"/>
          <c:w val="0.87827780816574064"/>
          <c:h val="9.0124450735793532E-2"/>
        </c:manualLayout>
      </c:layout>
      <c:overlay val="0"/>
    </c:legend>
    <c:plotVisOnly val="1"/>
    <c:dispBlanksAs val="gap"/>
    <c:showDLblsOverMax val="0"/>
  </c:chart>
  <c:txPr>
    <a:bodyPr/>
    <a:lstStyle/>
    <a:p>
      <a:pPr>
        <a:defRPr>
          <a:latin typeface="Arial" pitchFamily="34" charset="0"/>
          <a:cs typeface="Arial" pitchFamily="34" charset="0"/>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List4!$A$19</c:f>
              <c:strCache>
                <c:ptCount val="1"/>
                <c:pt idx="0">
                  <c:v>nové na trhu</c:v>
                </c:pt>
              </c:strCache>
            </c:strRef>
          </c:tx>
          <c:spPr>
            <a:solidFill>
              <a:schemeClr val="accent1"/>
            </a:solidFill>
            <a:ln>
              <a:noFill/>
            </a:ln>
            <a:effectLst/>
          </c:spPr>
          <c:invertIfNegative val="0"/>
          <c:dLbls>
            <c:dLbl>
              <c:idx val="0"/>
              <c:layout>
                <c:manualLayout>
                  <c:x val="-1.2731334408020162E-17"/>
                  <c:y val="-9.13203557888602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E-4E54-BF5F-6CB2EAA18DE0}"/>
                </c:ext>
              </c:extLst>
            </c:dLbl>
            <c:dLbl>
              <c:idx val="2"/>
              <c:layout>
                <c:manualLayout>
                  <c:x val="-2.5462668816040325E-17"/>
                  <c:y val="-6.319262175561419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E-4E54-BF5F-6CB2EAA18DE0}"/>
                </c:ext>
              </c:extLst>
            </c:dLbl>
            <c:dLbl>
              <c:idx val="5"/>
              <c:layout>
                <c:manualLayout>
                  <c:x val="-5.0925337632080612E-17"/>
                  <c:y val="6.34295713035870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E-4E54-BF5F-6CB2EAA18DE0}"/>
                </c:ext>
              </c:extLst>
            </c:dLbl>
            <c:dLbl>
              <c:idx val="9"/>
              <c:layout>
                <c:manualLayout>
                  <c:x val="2.7777777777777991E-3"/>
                  <c:y val="-6.29192184310295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E-4E54-BF5F-6CB2EAA18D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List4!$B$18:$P$18</c:f>
              <c:strCache>
                <c:ptCount val="15"/>
                <c:pt idx="0">
                  <c:v>Hl. m. Praha</c:v>
                </c:pt>
                <c:pt idx="1">
                  <c:v>Středočeský</c:v>
                </c:pt>
                <c:pt idx="2">
                  <c:v>Jihočeský</c:v>
                </c:pt>
                <c:pt idx="3">
                  <c:v>Plzeňský</c:v>
                </c:pt>
                <c:pt idx="4">
                  <c:v>Karlovarský</c:v>
                </c:pt>
                <c:pt idx="5">
                  <c:v>Ústecký</c:v>
                </c:pt>
                <c:pt idx="6">
                  <c:v>Liberecký</c:v>
                </c:pt>
                <c:pt idx="7">
                  <c:v>Královéhradecký</c:v>
                </c:pt>
                <c:pt idx="8">
                  <c:v>Pardubický</c:v>
                </c:pt>
                <c:pt idx="9">
                  <c:v>Vysočina</c:v>
                </c:pt>
                <c:pt idx="10">
                  <c:v>Jihomoravský</c:v>
                </c:pt>
                <c:pt idx="11">
                  <c:v>Olomoucký</c:v>
                </c:pt>
                <c:pt idx="12">
                  <c:v>Zlínský</c:v>
                </c:pt>
                <c:pt idx="13">
                  <c:v>Moravskoslezský</c:v>
                </c:pt>
                <c:pt idx="14">
                  <c:v>ČR</c:v>
                </c:pt>
              </c:strCache>
            </c:strRef>
          </c:cat>
          <c:val>
            <c:numRef>
              <c:f>List4!$B$19:$P$19</c:f>
              <c:numCache>
                <c:formatCode>#,##0.0</c:formatCode>
                <c:ptCount val="15"/>
                <c:pt idx="0">
                  <c:v>8.4671757095505189</c:v>
                </c:pt>
                <c:pt idx="1">
                  <c:v>28.072291525765767</c:v>
                </c:pt>
                <c:pt idx="2">
                  <c:v>4.4318108226082895</c:v>
                </c:pt>
                <c:pt idx="3">
                  <c:v>22.40462388982094</c:v>
                </c:pt>
                <c:pt idx="4">
                  <c:v>32.507932529823137</c:v>
                </c:pt>
                <c:pt idx="5">
                  <c:v>5.2784545351589687</c:v>
                </c:pt>
                <c:pt idx="6">
                  <c:v>15.190181965619253</c:v>
                </c:pt>
                <c:pt idx="7">
                  <c:v>13.835832753368576</c:v>
                </c:pt>
                <c:pt idx="8">
                  <c:v>17.575765182052091</c:v>
                </c:pt>
                <c:pt idx="9">
                  <c:v>4.4417953306895912</c:v>
                </c:pt>
                <c:pt idx="10">
                  <c:v>20.095009085480562</c:v>
                </c:pt>
                <c:pt idx="11">
                  <c:v>11.412284729324224</c:v>
                </c:pt>
                <c:pt idx="12">
                  <c:v>13.745745447223138</c:v>
                </c:pt>
                <c:pt idx="13">
                  <c:v>20.482931323423227</c:v>
                </c:pt>
                <c:pt idx="14">
                  <c:v>14.846591517617155</c:v>
                </c:pt>
              </c:numCache>
            </c:numRef>
          </c:val>
          <c:extLst>
            <c:ext xmlns:c16="http://schemas.microsoft.com/office/drawing/2014/chart" uri="{C3380CC4-5D6E-409C-BE32-E72D297353CC}">
              <c16:uniqueId val="{00000004-5FEE-4E54-BF5F-6CB2EAA18DE0}"/>
            </c:ext>
          </c:extLst>
        </c:ser>
        <c:ser>
          <c:idx val="1"/>
          <c:order val="1"/>
          <c:tx>
            <c:strRef>
              <c:f>List4!$A$20</c:f>
              <c:strCache>
                <c:ptCount val="1"/>
                <c:pt idx="0">
                  <c:v>nové pro podnik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List4!$B$18:$P$18</c:f>
              <c:strCache>
                <c:ptCount val="15"/>
                <c:pt idx="0">
                  <c:v>Hl. m. Praha</c:v>
                </c:pt>
                <c:pt idx="1">
                  <c:v>Středočeský</c:v>
                </c:pt>
                <c:pt idx="2">
                  <c:v>Jihočeský</c:v>
                </c:pt>
                <c:pt idx="3">
                  <c:v>Plzeňský</c:v>
                </c:pt>
                <c:pt idx="4">
                  <c:v>Karlovarský</c:v>
                </c:pt>
                <c:pt idx="5">
                  <c:v>Ústecký</c:v>
                </c:pt>
                <c:pt idx="6">
                  <c:v>Liberecký</c:v>
                </c:pt>
                <c:pt idx="7">
                  <c:v>Královéhradecký</c:v>
                </c:pt>
                <c:pt idx="8">
                  <c:v>Pardubický</c:v>
                </c:pt>
                <c:pt idx="9">
                  <c:v>Vysočina</c:v>
                </c:pt>
                <c:pt idx="10">
                  <c:v>Jihomoravský</c:v>
                </c:pt>
                <c:pt idx="11">
                  <c:v>Olomoucký</c:v>
                </c:pt>
                <c:pt idx="12">
                  <c:v>Zlínský</c:v>
                </c:pt>
                <c:pt idx="13">
                  <c:v>Moravskoslezský</c:v>
                </c:pt>
                <c:pt idx="14">
                  <c:v>ČR</c:v>
                </c:pt>
              </c:strCache>
            </c:strRef>
          </c:cat>
          <c:val>
            <c:numRef>
              <c:f>List4!$B$20:$P$20</c:f>
              <c:numCache>
                <c:formatCode>#,##0.0</c:formatCode>
                <c:ptCount val="15"/>
                <c:pt idx="0">
                  <c:v>16.391056857282528</c:v>
                </c:pt>
                <c:pt idx="1">
                  <c:v>10.187690107343762</c:v>
                </c:pt>
                <c:pt idx="2">
                  <c:v>10.792106588460356</c:v>
                </c:pt>
                <c:pt idx="3">
                  <c:v>13.463368320649346</c:v>
                </c:pt>
                <c:pt idx="4">
                  <c:v>15.924768986108433</c:v>
                </c:pt>
                <c:pt idx="5">
                  <c:v>12.972383897915236</c:v>
                </c:pt>
                <c:pt idx="6">
                  <c:v>12.845197886097656</c:v>
                </c:pt>
                <c:pt idx="7">
                  <c:v>7.9958808178332275</c:v>
                </c:pt>
                <c:pt idx="8">
                  <c:v>14.67683333601787</c:v>
                </c:pt>
                <c:pt idx="9">
                  <c:v>17.368631575870065</c:v>
                </c:pt>
                <c:pt idx="10">
                  <c:v>13.328512985917481</c:v>
                </c:pt>
                <c:pt idx="11">
                  <c:v>20.701044892080425</c:v>
                </c:pt>
                <c:pt idx="12">
                  <c:v>12.281996072785224</c:v>
                </c:pt>
                <c:pt idx="13">
                  <c:v>28.38025379311879</c:v>
                </c:pt>
                <c:pt idx="14">
                  <c:v>15.752444069017312</c:v>
                </c:pt>
              </c:numCache>
            </c:numRef>
          </c:val>
          <c:extLst>
            <c:ext xmlns:c16="http://schemas.microsoft.com/office/drawing/2014/chart" uri="{C3380CC4-5D6E-409C-BE32-E72D297353CC}">
              <c16:uniqueId val="{00000005-5FEE-4E54-BF5F-6CB2EAA18DE0}"/>
            </c:ext>
          </c:extLst>
        </c:ser>
        <c:ser>
          <c:idx val="2"/>
          <c:order val="2"/>
          <c:tx>
            <c:strRef>
              <c:f>List4!$A$21</c:f>
              <c:strCache>
                <c:ptCount val="1"/>
                <c:pt idx="0">
                  <c:v>nezměněné nebo málo modifikované</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List4!$B$18:$P$18</c:f>
              <c:strCache>
                <c:ptCount val="15"/>
                <c:pt idx="0">
                  <c:v>Hl. m. Praha</c:v>
                </c:pt>
                <c:pt idx="1">
                  <c:v>Středočeský</c:v>
                </c:pt>
                <c:pt idx="2">
                  <c:v>Jihočeský</c:v>
                </c:pt>
                <c:pt idx="3">
                  <c:v>Plzeňský</c:v>
                </c:pt>
                <c:pt idx="4">
                  <c:v>Karlovarský</c:v>
                </c:pt>
                <c:pt idx="5">
                  <c:v>Ústecký</c:v>
                </c:pt>
                <c:pt idx="6">
                  <c:v>Liberecký</c:v>
                </c:pt>
                <c:pt idx="7">
                  <c:v>Královéhradecký</c:v>
                </c:pt>
                <c:pt idx="8">
                  <c:v>Pardubický</c:v>
                </c:pt>
                <c:pt idx="9">
                  <c:v>Vysočina</c:v>
                </c:pt>
                <c:pt idx="10">
                  <c:v>Jihomoravský</c:v>
                </c:pt>
                <c:pt idx="11">
                  <c:v>Olomoucký</c:v>
                </c:pt>
                <c:pt idx="12">
                  <c:v>Zlínský</c:v>
                </c:pt>
                <c:pt idx="13">
                  <c:v>Moravskoslezský</c:v>
                </c:pt>
                <c:pt idx="14">
                  <c:v>ČR</c:v>
                </c:pt>
              </c:strCache>
            </c:strRef>
          </c:cat>
          <c:val>
            <c:numRef>
              <c:f>List4!$B$21:$P$21</c:f>
              <c:numCache>
                <c:formatCode>#,##0.0</c:formatCode>
                <c:ptCount val="15"/>
                <c:pt idx="0">
                  <c:v>75.141767433167004</c:v>
                </c:pt>
                <c:pt idx="1">
                  <c:v>61.740018366890403</c:v>
                </c:pt>
                <c:pt idx="2">
                  <c:v>84.776082588931359</c:v>
                </c:pt>
                <c:pt idx="3">
                  <c:v>64.132007789529268</c:v>
                </c:pt>
                <c:pt idx="4">
                  <c:v>51.567298484068424</c:v>
                </c:pt>
                <c:pt idx="5">
                  <c:v>81.749161566925835</c:v>
                </c:pt>
                <c:pt idx="6">
                  <c:v>71.964620148283359</c:v>
                </c:pt>
                <c:pt idx="7">
                  <c:v>78.168286428798183</c:v>
                </c:pt>
                <c:pt idx="8">
                  <c:v>67.747401481930439</c:v>
                </c:pt>
                <c:pt idx="9">
                  <c:v>78.189573093440188</c:v>
                </c:pt>
                <c:pt idx="10">
                  <c:v>66.576477928601577</c:v>
                </c:pt>
                <c:pt idx="11">
                  <c:v>67.886670378595142</c:v>
                </c:pt>
                <c:pt idx="12">
                  <c:v>73.972258479991652</c:v>
                </c:pt>
                <c:pt idx="13">
                  <c:v>51.136814883457916</c:v>
                </c:pt>
                <c:pt idx="14">
                  <c:v>69.400964413365813</c:v>
                </c:pt>
              </c:numCache>
            </c:numRef>
          </c:val>
          <c:extLst>
            <c:ext xmlns:c16="http://schemas.microsoft.com/office/drawing/2014/chart" uri="{C3380CC4-5D6E-409C-BE32-E72D297353CC}">
              <c16:uniqueId val="{00000006-5FEE-4E54-BF5F-6CB2EAA18DE0}"/>
            </c:ext>
          </c:extLst>
        </c:ser>
        <c:dLbls>
          <c:showLegendKey val="0"/>
          <c:showVal val="0"/>
          <c:showCatName val="0"/>
          <c:showSerName val="0"/>
          <c:showPercent val="0"/>
          <c:showBubbleSize val="0"/>
        </c:dLbls>
        <c:gapWidth val="150"/>
        <c:overlap val="100"/>
        <c:axId val="130717568"/>
        <c:axId val="130719104"/>
      </c:barChart>
      <c:catAx>
        <c:axId val="130717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719104"/>
        <c:crosses val="autoZero"/>
        <c:auto val="1"/>
        <c:lblAlgn val="ctr"/>
        <c:lblOffset val="100"/>
        <c:noMultiLvlLbl val="0"/>
      </c:catAx>
      <c:valAx>
        <c:axId val="13071910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71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'Kraje na tis.obyv.'!$AB$2</c:f>
              <c:strCache>
                <c:ptCount val="1"/>
                <c:pt idx="0">
                  <c:v>Počet hostů na 1000 obyvatel</c:v>
                </c:pt>
              </c:strCache>
            </c:strRef>
          </c:tx>
          <c:spPr>
            <a:solidFill>
              <a:srgbClr val="002060"/>
            </a:solidFill>
            <a:ln>
              <a:solidFill>
                <a:srgbClr val="002060"/>
              </a:solidFill>
            </a:ln>
          </c:spPr>
          <c:invertIfNegative val="0"/>
          <c:cat>
            <c:strRef>
              <c:f>'Kraje na tis.obyv.'!$AA$3:$AA$17</c:f>
              <c:strCache>
                <c:ptCount val="15"/>
                <c:pt idx="0">
                  <c:v>Moravskoslezský kraj</c:v>
                </c:pt>
                <c:pt idx="1">
                  <c:v>Středočeský kraj</c:v>
                </c:pt>
                <c:pt idx="2">
                  <c:v>Jihočeský kraj</c:v>
                </c:pt>
                <c:pt idx="3">
                  <c:v>Plzeňský kraj</c:v>
                </c:pt>
                <c:pt idx="4">
                  <c:v>Karlovarský kraj</c:v>
                </c:pt>
                <c:pt idx="5">
                  <c:v>Ústecký kraj</c:v>
                </c:pt>
                <c:pt idx="6">
                  <c:v>Liberecký kraj</c:v>
                </c:pt>
                <c:pt idx="7">
                  <c:v>Královéhradecký kraj</c:v>
                </c:pt>
                <c:pt idx="8">
                  <c:v>Pardubický kraj</c:v>
                </c:pt>
                <c:pt idx="9">
                  <c:v>Kraj Vysočina</c:v>
                </c:pt>
                <c:pt idx="10">
                  <c:v>Jihomoravský kraj</c:v>
                </c:pt>
                <c:pt idx="11">
                  <c:v>Olomoucký kraj</c:v>
                </c:pt>
                <c:pt idx="12">
                  <c:v>Zlínský kraj</c:v>
                </c:pt>
                <c:pt idx="13">
                  <c:v>Hlavní město Praha</c:v>
                </c:pt>
                <c:pt idx="14">
                  <c:v>ČR</c:v>
                </c:pt>
              </c:strCache>
            </c:strRef>
          </c:cat>
          <c:val>
            <c:numRef>
              <c:f>'Kraje na tis.obyv.'!$AB$3:$AB$17</c:f>
              <c:numCache>
                <c:formatCode>###,###,##0</c:formatCode>
                <c:ptCount val="15"/>
                <c:pt idx="0">
                  <c:v>638.78675788812654</c:v>
                </c:pt>
                <c:pt idx="1">
                  <c:v>683.98780292958804</c:v>
                </c:pt>
                <c:pt idx="2">
                  <c:v>2103.8577435508373</c:v>
                </c:pt>
                <c:pt idx="3">
                  <c:v>1127.7002372462782</c:v>
                </c:pt>
                <c:pt idx="4">
                  <c:v>2856.9879259169707</c:v>
                </c:pt>
                <c:pt idx="5">
                  <c:v>592.17744699365358</c:v>
                </c:pt>
                <c:pt idx="6">
                  <c:v>1866.9908720563908</c:v>
                </c:pt>
                <c:pt idx="7">
                  <c:v>2038.4279887780851</c:v>
                </c:pt>
                <c:pt idx="8">
                  <c:v>801.01482323902655</c:v>
                </c:pt>
                <c:pt idx="9">
                  <c:v>929.8042102163995</c:v>
                </c:pt>
                <c:pt idx="10">
                  <c:v>1307.3526095189429</c:v>
                </c:pt>
                <c:pt idx="11">
                  <c:v>862.64766400196356</c:v>
                </c:pt>
                <c:pt idx="12">
                  <c:v>1130.7955175173943</c:v>
                </c:pt>
                <c:pt idx="13">
                  <c:v>5211.8673019585003</c:v>
                </c:pt>
                <c:pt idx="14" formatCode="0">
                  <c:v>1629.3164489939791</c:v>
                </c:pt>
              </c:numCache>
            </c:numRef>
          </c:val>
          <c:extLst>
            <c:ext xmlns:c16="http://schemas.microsoft.com/office/drawing/2014/chart" uri="{C3380CC4-5D6E-409C-BE32-E72D297353CC}">
              <c16:uniqueId val="{00000000-47F6-4749-90E4-D32DD491B957}"/>
            </c:ext>
          </c:extLst>
        </c:ser>
        <c:ser>
          <c:idx val="1"/>
          <c:order val="1"/>
          <c:tx>
            <c:strRef>
              <c:f>'Kraje na tis.obyv.'!$AC$2</c:f>
              <c:strCache>
                <c:ptCount val="1"/>
                <c:pt idx="0">
                  <c:v>Počet přenocování na 1000 obyvatel</c:v>
                </c:pt>
              </c:strCache>
            </c:strRef>
          </c:tx>
          <c:spPr>
            <a:solidFill>
              <a:srgbClr val="00B050"/>
            </a:solidFill>
            <a:ln>
              <a:solidFill>
                <a:srgbClr val="00B050"/>
              </a:solidFill>
            </a:ln>
          </c:spPr>
          <c:invertIfNegative val="0"/>
          <c:cat>
            <c:strRef>
              <c:f>'Kraje na tis.obyv.'!$AA$3:$AA$17</c:f>
              <c:strCache>
                <c:ptCount val="15"/>
                <c:pt idx="0">
                  <c:v>Moravskoslezský kraj</c:v>
                </c:pt>
                <c:pt idx="1">
                  <c:v>Středočeský kraj</c:v>
                </c:pt>
                <c:pt idx="2">
                  <c:v>Jihočeský kraj</c:v>
                </c:pt>
                <c:pt idx="3">
                  <c:v>Plzeňský kraj</c:v>
                </c:pt>
                <c:pt idx="4">
                  <c:v>Karlovarský kraj</c:v>
                </c:pt>
                <c:pt idx="5">
                  <c:v>Ústecký kraj</c:v>
                </c:pt>
                <c:pt idx="6">
                  <c:v>Liberecký kraj</c:v>
                </c:pt>
                <c:pt idx="7">
                  <c:v>Královéhradecký kraj</c:v>
                </c:pt>
                <c:pt idx="8">
                  <c:v>Pardubický kraj</c:v>
                </c:pt>
                <c:pt idx="9">
                  <c:v>Kraj Vysočina</c:v>
                </c:pt>
                <c:pt idx="10">
                  <c:v>Jihomoravský kraj</c:v>
                </c:pt>
                <c:pt idx="11">
                  <c:v>Olomoucký kraj</c:v>
                </c:pt>
                <c:pt idx="12">
                  <c:v>Zlínský kraj</c:v>
                </c:pt>
                <c:pt idx="13">
                  <c:v>Hlavní město Praha</c:v>
                </c:pt>
                <c:pt idx="14">
                  <c:v>ČR</c:v>
                </c:pt>
              </c:strCache>
            </c:strRef>
          </c:cat>
          <c:val>
            <c:numRef>
              <c:f>'Kraje na tis.obyv.'!$AC$3:$AC$17</c:f>
              <c:numCache>
                <c:formatCode>###,###,##0</c:formatCode>
                <c:ptCount val="15"/>
                <c:pt idx="0">
                  <c:v>1837.7547059245321</c:v>
                </c:pt>
                <c:pt idx="1">
                  <c:v>1668.8718463518771</c:v>
                </c:pt>
                <c:pt idx="2">
                  <c:v>5713.3156902893443</c:v>
                </c:pt>
                <c:pt idx="3">
                  <c:v>2978.2923123881478</c:v>
                </c:pt>
                <c:pt idx="4">
                  <c:v>15503.448299018226</c:v>
                </c:pt>
                <c:pt idx="5">
                  <c:v>1596.9001951810023</c:v>
                </c:pt>
                <c:pt idx="6">
                  <c:v>5852.4744165099091</c:v>
                </c:pt>
                <c:pt idx="7">
                  <c:v>6568.9935639012656</c:v>
                </c:pt>
                <c:pt idx="8">
                  <c:v>2286.1673664000123</c:v>
                </c:pt>
                <c:pt idx="9">
                  <c:v>2358.3669463663573</c:v>
                </c:pt>
                <c:pt idx="10">
                  <c:v>2615.2592498031954</c:v>
                </c:pt>
                <c:pt idx="11">
                  <c:v>2802.9802211375759</c:v>
                </c:pt>
                <c:pt idx="12">
                  <c:v>3439.1543350505262</c:v>
                </c:pt>
                <c:pt idx="13">
                  <c:v>12558.505312639791</c:v>
                </c:pt>
                <c:pt idx="14" formatCode="0">
                  <c:v>4462.2519019849024</c:v>
                </c:pt>
              </c:numCache>
            </c:numRef>
          </c:val>
          <c:extLst>
            <c:ext xmlns:c16="http://schemas.microsoft.com/office/drawing/2014/chart" uri="{C3380CC4-5D6E-409C-BE32-E72D297353CC}">
              <c16:uniqueId val="{00000001-47F6-4749-90E4-D32DD491B957}"/>
            </c:ext>
          </c:extLst>
        </c:ser>
        <c:dLbls>
          <c:showLegendKey val="0"/>
          <c:showVal val="0"/>
          <c:showCatName val="0"/>
          <c:showSerName val="0"/>
          <c:showPercent val="0"/>
          <c:showBubbleSize val="0"/>
        </c:dLbls>
        <c:gapWidth val="150"/>
        <c:axId val="131100032"/>
        <c:axId val="131101824"/>
      </c:barChart>
      <c:catAx>
        <c:axId val="131100032"/>
        <c:scaling>
          <c:orientation val="minMax"/>
        </c:scaling>
        <c:delete val="0"/>
        <c:axPos val="b"/>
        <c:numFmt formatCode="General" sourceLinked="1"/>
        <c:majorTickMark val="out"/>
        <c:minorTickMark val="none"/>
        <c:tickLblPos val="nextTo"/>
        <c:txPr>
          <a:bodyPr/>
          <a:lstStyle/>
          <a:p>
            <a:pPr>
              <a:defRPr b="1"/>
            </a:pPr>
            <a:endParaRPr lang="cs-CZ"/>
          </a:p>
        </c:txPr>
        <c:crossAx val="131101824"/>
        <c:crosses val="autoZero"/>
        <c:auto val="1"/>
        <c:lblAlgn val="ctr"/>
        <c:lblOffset val="100"/>
        <c:noMultiLvlLbl val="0"/>
      </c:catAx>
      <c:valAx>
        <c:axId val="131101824"/>
        <c:scaling>
          <c:orientation val="minMax"/>
        </c:scaling>
        <c:delete val="0"/>
        <c:axPos val="l"/>
        <c:majorGridlines/>
        <c:title>
          <c:tx>
            <c:rich>
              <a:bodyPr rot="-5400000" vert="horz"/>
              <a:lstStyle/>
              <a:p>
                <a:pPr>
                  <a:defRPr/>
                </a:pPr>
                <a:r>
                  <a:rPr lang="en-US"/>
                  <a:t>Počet hostů</a:t>
                </a:r>
              </a:p>
            </c:rich>
          </c:tx>
          <c:overlay val="0"/>
        </c:title>
        <c:numFmt formatCode="###,###,##0" sourceLinked="1"/>
        <c:majorTickMark val="out"/>
        <c:minorTickMark val="none"/>
        <c:tickLblPos val="nextTo"/>
        <c:txPr>
          <a:bodyPr/>
          <a:lstStyle/>
          <a:p>
            <a:pPr>
              <a:defRPr b="1"/>
            </a:pPr>
            <a:endParaRPr lang="cs-CZ"/>
          </a:p>
        </c:txPr>
        <c:crossAx val="131100032"/>
        <c:crosses val="autoZero"/>
        <c:crossBetween val="between"/>
      </c:valAx>
    </c:plotArea>
    <c:legend>
      <c:legendPos val="b"/>
      <c:overlay val="0"/>
      <c:txPr>
        <a:bodyPr/>
        <a:lstStyle/>
        <a:p>
          <a:pPr>
            <a:defRPr b="1"/>
          </a:pPr>
          <a:endParaRPr lang="cs-CZ"/>
        </a:p>
      </c:txPr>
    </c:legend>
    <c:plotVisOnly val="1"/>
    <c:dispBlanksAs val="gap"/>
    <c:showDLblsOverMax val="0"/>
  </c:chart>
  <c:txPr>
    <a:bodyPr/>
    <a:lstStyle/>
    <a:p>
      <a:pPr>
        <a:defRPr sz="1000">
          <a:latin typeface="+mn-lt"/>
        </a:defRPr>
      </a:pPr>
      <a:endParaRPr lang="cs-CZ"/>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'KV Celk,rez,nerez'!$B$4</c:f>
              <c:strCache>
                <c:ptCount val="1"/>
                <c:pt idx="0">
                  <c:v>Počet hostů (celkem)</c:v>
                </c:pt>
              </c:strCache>
            </c:strRef>
          </c:tx>
          <c:spPr>
            <a:ln>
              <a:solidFill>
                <a:srgbClr val="002060"/>
              </a:solidFill>
            </a:ln>
          </c:spPr>
          <c:marker>
            <c:symbol val="triangle"/>
            <c:size val="3"/>
            <c:spPr>
              <a:solidFill>
                <a:srgbClr val="002060"/>
              </a:solidFill>
              <a:ln>
                <a:solidFill>
                  <a:srgbClr val="002060"/>
                </a:solidFill>
              </a:ln>
            </c:spPr>
          </c:marker>
          <c:cat>
            <c:numRef>
              <c:f>'KV Celk,rez,nerez'!$C$3:$M$3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'KV Celk,rez,nerez'!$C$4:$M$4</c:f>
              <c:numCache>
                <c:formatCode>###,###,##0</c:formatCode>
                <c:ptCount val="11"/>
                <c:pt idx="0">
                  <c:v>589838</c:v>
                </c:pt>
                <c:pt idx="1">
                  <c:v>669905</c:v>
                </c:pt>
                <c:pt idx="2">
                  <c:v>679102</c:v>
                </c:pt>
                <c:pt idx="3">
                  <c:v>679996</c:v>
                </c:pt>
                <c:pt idx="4">
                  <c:v>666094</c:v>
                </c:pt>
                <c:pt idx="5">
                  <c:v>670457</c:v>
                </c:pt>
                <c:pt idx="6">
                  <c:v>709733</c:v>
                </c:pt>
                <c:pt idx="7">
                  <c:v>809043</c:v>
                </c:pt>
                <c:pt idx="8">
                  <c:v>787084</c:v>
                </c:pt>
                <c:pt idx="9">
                  <c:v>776671</c:v>
                </c:pt>
                <c:pt idx="10">
                  <c:v>850891</c:v>
                </c:pt>
              </c:numCache>
            </c:numRef>
          </c:val>
          <c:smooth val="0"/>
          <c:extLst>
            <c:ext xmlns:c16="http://schemas.microsoft.com/office/drawing/2014/chart" uri="{C3380CC4-5D6E-409C-BE32-E72D297353CC}">
              <c16:uniqueId val="{00000000-F2F1-4AF3-8F81-FD2CC3F9F950}"/>
            </c:ext>
          </c:extLst>
        </c:ser>
        <c:ser>
          <c:idx val="1"/>
          <c:order val="1"/>
          <c:tx>
            <c:strRef>
              <c:f>'KV Celk,rez,nerez'!$B$5</c:f>
              <c:strCache>
                <c:ptCount val="1"/>
                <c:pt idx="0">
                  <c:v>Rezidenti</c:v>
                </c:pt>
              </c:strCache>
            </c:strRef>
          </c:tx>
          <c:spPr>
            <a:ln>
              <a:solidFill>
                <a:srgbClr val="C00000"/>
              </a:solidFill>
            </a:ln>
          </c:spPr>
          <c:marker>
            <c:symbol val="triangle"/>
            <c:size val="3"/>
            <c:spPr>
              <a:solidFill>
                <a:srgbClr val="C00000"/>
              </a:solidFill>
            </c:spPr>
          </c:marker>
          <c:cat>
            <c:numRef>
              <c:f>'KV Celk,rez,nerez'!$C$3:$M$3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'KV Celk,rez,nerez'!$C$5:$M$5</c:f>
              <c:numCache>
                <c:formatCode>###,###,##0</c:formatCode>
                <c:ptCount val="11"/>
                <c:pt idx="0">
                  <c:v>183869</c:v>
                </c:pt>
                <c:pt idx="1">
                  <c:v>190163</c:v>
                </c:pt>
                <c:pt idx="2">
                  <c:v>206467</c:v>
                </c:pt>
                <c:pt idx="3">
                  <c:v>204719</c:v>
                </c:pt>
                <c:pt idx="4">
                  <c:v>209368</c:v>
                </c:pt>
                <c:pt idx="5">
                  <c:v>211958</c:v>
                </c:pt>
                <c:pt idx="6">
                  <c:v>224905</c:v>
                </c:pt>
                <c:pt idx="7">
                  <c:v>293788</c:v>
                </c:pt>
                <c:pt idx="8">
                  <c:v>260995</c:v>
                </c:pt>
                <c:pt idx="9">
                  <c:v>259348</c:v>
                </c:pt>
                <c:pt idx="10">
                  <c:v>316776</c:v>
                </c:pt>
              </c:numCache>
            </c:numRef>
          </c:val>
          <c:smooth val="0"/>
          <c:extLst>
            <c:ext xmlns:c16="http://schemas.microsoft.com/office/drawing/2014/chart" uri="{C3380CC4-5D6E-409C-BE32-E72D297353CC}">
              <c16:uniqueId val="{00000001-F2F1-4AF3-8F81-FD2CC3F9F950}"/>
            </c:ext>
          </c:extLst>
        </c:ser>
        <c:ser>
          <c:idx val="2"/>
          <c:order val="2"/>
          <c:tx>
            <c:strRef>
              <c:f>'KV Celk,rez,nerez'!$B$6</c:f>
              <c:strCache>
                <c:ptCount val="1"/>
                <c:pt idx="0">
                  <c:v>Nerezidenti</c:v>
                </c:pt>
              </c:strCache>
            </c:strRef>
          </c:tx>
          <c:spPr>
            <a:ln>
              <a:solidFill>
                <a:srgbClr val="00B050"/>
              </a:solidFill>
            </a:ln>
          </c:spPr>
          <c:marker>
            <c:symbol val="triangle"/>
            <c:size val="3"/>
            <c:spPr>
              <a:solidFill>
                <a:srgbClr val="00B050"/>
              </a:solidFill>
              <a:ln>
                <a:solidFill>
                  <a:srgbClr val="00B050"/>
                </a:solidFill>
              </a:ln>
            </c:spPr>
          </c:marker>
          <c:cat>
            <c:numRef>
              <c:f>'KV Celk,rez,nerez'!$C$3:$M$3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'KV Celk,rez,nerez'!$C$6:$M$6</c:f>
              <c:numCache>
                <c:formatCode>###,###,##0</c:formatCode>
                <c:ptCount val="11"/>
                <c:pt idx="0">
                  <c:v>405969</c:v>
                </c:pt>
                <c:pt idx="1">
                  <c:v>479742</c:v>
                </c:pt>
                <c:pt idx="2">
                  <c:v>472635</c:v>
                </c:pt>
                <c:pt idx="3">
                  <c:v>475277</c:v>
                </c:pt>
                <c:pt idx="4">
                  <c:v>456726</c:v>
                </c:pt>
                <c:pt idx="5">
                  <c:v>458499</c:v>
                </c:pt>
                <c:pt idx="6">
                  <c:v>484828</c:v>
                </c:pt>
                <c:pt idx="7">
                  <c:v>515255</c:v>
                </c:pt>
                <c:pt idx="8">
                  <c:v>526089</c:v>
                </c:pt>
                <c:pt idx="9">
                  <c:v>517323</c:v>
                </c:pt>
                <c:pt idx="10">
                  <c:v>534115</c:v>
                </c:pt>
              </c:numCache>
            </c:numRef>
          </c:val>
          <c:smooth val="0"/>
          <c:extLst>
            <c:ext xmlns:c16="http://schemas.microsoft.com/office/drawing/2014/chart" uri="{C3380CC4-5D6E-409C-BE32-E72D297353CC}">
              <c16:uniqueId val="{00000002-F2F1-4AF3-8F81-FD2CC3F9F950}"/>
            </c:ext>
          </c:extLst>
        </c:ser>
        <c:dLbls>
          <c:showLegendKey val="0"/>
          <c:showVal val="0"/>
          <c:showCatName val="0"/>
          <c:showSerName val="0"/>
          <c:showPercent val="0"/>
          <c:showBubbleSize val="0"/>
        </c:dLbls>
        <c:marker val="1"/>
        <c:smooth val="0"/>
        <c:axId val="131123072"/>
        <c:axId val="132259840"/>
      </c:lineChart>
      <c:catAx>
        <c:axId val="131123072"/>
        <c:scaling>
          <c:orientation val="minMax"/>
        </c:scaling>
        <c:delete val="0"/>
        <c:axPos val="b"/>
        <c:numFmt formatCode="General" sourceLinked="1"/>
        <c:majorTickMark val="out"/>
        <c:minorTickMark val="none"/>
        <c:tickLblPos val="nextTo"/>
        <c:txPr>
          <a:bodyPr/>
          <a:lstStyle/>
          <a:p>
            <a:pPr>
              <a:defRPr b="1"/>
            </a:pPr>
            <a:endParaRPr lang="cs-CZ"/>
          </a:p>
        </c:txPr>
        <c:crossAx val="132259840"/>
        <c:crosses val="autoZero"/>
        <c:auto val="1"/>
        <c:lblAlgn val="ctr"/>
        <c:lblOffset val="100"/>
        <c:noMultiLvlLbl val="0"/>
      </c:catAx>
      <c:valAx>
        <c:axId val="132259840"/>
        <c:scaling>
          <c:orientation val="minMax"/>
        </c:scaling>
        <c:delete val="0"/>
        <c:axPos val="l"/>
        <c:majorGridlines/>
        <c:title>
          <c:tx>
            <c:rich>
              <a:bodyPr rot="-5400000" vert="horz"/>
              <a:lstStyle/>
              <a:p>
                <a:pPr>
                  <a:defRPr/>
                </a:pPr>
                <a:r>
                  <a:rPr lang="en-US"/>
                  <a:t>Počet hostů (v tis.)</a:t>
                </a:r>
              </a:p>
            </c:rich>
          </c:tx>
          <c:overlay val="0"/>
        </c:title>
        <c:numFmt formatCode="###,###,##0" sourceLinked="1"/>
        <c:majorTickMark val="out"/>
        <c:minorTickMark val="none"/>
        <c:tickLblPos val="nextTo"/>
        <c:txPr>
          <a:bodyPr/>
          <a:lstStyle/>
          <a:p>
            <a:pPr>
              <a:defRPr b="1"/>
            </a:pPr>
            <a:endParaRPr lang="cs-CZ"/>
          </a:p>
        </c:txPr>
        <c:crossAx val="131123072"/>
        <c:crosses val="autoZero"/>
        <c:crossBetween val="between"/>
        <c:dispUnits>
          <c:builtInUnit val="thousands"/>
        </c:dispUnits>
      </c:valAx>
    </c:plotArea>
    <c:legend>
      <c:legendPos val="b"/>
      <c:overlay val="0"/>
      <c:txPr>
        <a:bodyPr/>
        <a:lstStyle/>
        <a:p>
          <a:pPr>
            <a:defRPr b="1"/>
          </a:pPr>
          <a:endParaRPr lang="cs-CZ"/>
        </a:p>
      </c:txPr>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'Kraje země pův.'!$G$3</c:f>
              <c:strCache>
                <c:ptCount val="1"/>
                <c:pt idx="0">
                  <c:v>2005</c:v>
                </c:pt>
              </c:strCache>
            </c:strRef>
          </c:tx>
          <c:spPr>
            <a:solidFill>
              <a:srgbClr val="FFC000"/>
            </a:solidFill>
          </c:spPr>
          <c:invertIfNegative val="0"/>
          <c:cat>
            <c:strRef>
              <c:f>'Kraje země pův.'!$F$4:$F$15</c:f>
              <c:strCache>
                <c:ptCount val="12"/>
                <c:pt idx="0">
                  <c:v>SRN</c:v>
                </c:pt>
                <c:pt idx="1">
                  <c:v>Rusko</c:v>
                </c:pt>
                <c:pt idx="2">
                  <c:v>Čínská lidová republika</c:v>
                </c:pt>
                <c:pt idx="3">
                  <c:v>Slovenská republika</c:v>
                </c:pt>
                <c:pt idx="4">
                  <c:v>Stát Izrael</c:v>
                </c:pt>
                <c:pt idx="5">
                  <c:v>Rakouská republika</c:v>
                </c:pt>
                <c:pt idx="6">
                  <c:v>Korejská republika</c:v>
                </c:pt>
                <c:pt idx="7">
                  <c:v>Ukrajina</c:v>
                </c:pt>
                <c:pt idx="8">
                  <c:v>USA</c:v>
                </c:pt>
                <c:pt idx="9">
                  <c:v>Nizozemsko</c:v>
                </c:pt>
                <c:pt idx="10">
                  <c:v>Italská republika</c:v>
                </c:pt>
                <c:pt idx="11">
                  <c:v>Maďarsko</c:v>
                </c:pt>
              </c:strCache>
            </c:strRef>
          </c:cat>
          <c:val>
            <c:numRef>
              <c:f>'Kraje země pův.'!$G$4:$G$15</c:f>
              <c:numCache>
                <c:formatCode>General</c:formatCode>
                <c:ptCount val="12"/>
                <c:pt idx="0">
                  <c:v>246447</c:v>
                </c:pt>
                <c:pt idx="1">
                  <c:v>42153</c:v>
                </c:pt>
                <c:pt idx="2">
                  <c:v>958</c:v>
                </c:pt>
                <c:pt idx="3">
                  <c:v>7084</c:v>
                </c:pt>
                <c:pt idx="4">
                  <c:v>4592</c:v>
                </c:pt>
                <c:pt idx="5">
                  <c:v>5603</c:v>
                </c:pt>
                <c:pt idx="6">
                  <c:v>183</c:v>
                </c:pt>
                <c:pt idx="7">
                  <c:v>3414</c:v>
                </c:pt>
                <c:pt idx="8">
                  <c:v>7278</c:v>
                </c:pt>
                <c:pt idx="9">
                  <c:v>15396</c:v>
                </c:pt>
                <c:pt idx="10">
                  <c:v>3818</c:v>
                </c:pt>
                <c:pt idx="11">
                  <c:v>3415</c:v>
                </c:pt>
              </c:numCache>
            </c:numRef>
          </c:val>
          <c:extLst>
            <c:ext xmlns:c16="http://schemas.microsoft.com/office/drawing/2014/chart" uri="{C3380CC4-5D6E-409C-BE32-E72D297353CC}">
              <c16:uniqueId val="{00000000-7558-4C0F-8C60-634230971B6C}"/>
            </c:ext>
          </c:extLst>
        </c:ser>
        <c:ser>
          <c:idx val="1"/>
          <c:order val="1"/>
          <c:tx>
            <c:strRef>
              <c:f>'Kraje země pův.'!$H$3</c:f>
              <c:strCache>
                <c:ptCount val="1"/>
                <c:pt idx="0">
                  <c:v>2010</c:v>
                </c:pt>
              </c:strCache>
            </c:strRef>
          </c:tx>
          <c:spPr>
            <a:solidFill>
              <a:schemeClr val="accent2"/>
            </a:solidFill>
          </c:spPr>
          <c:invertIfNegative val="0"/>
          <c:cat>
            <c:strRef>
              <c:f>'Kraje země pův.'!$F$4:$F$15</c:f>
              <c:strCache>
                <c:ptCount val="12"/>
                <c:pt idx="0">
                  <c:v>SRN</c:v>
                </c:pt>
                <c:pt idx="1">
                  <c:v>Rusko</c:v>
                </c:pt>
                <c:pt idx="2">
                  <c:v>Čínská lidová republika</c:v>
                </c:pt>
                <c:pt idx="3">
                  <c:v>Slovenská republika</c:v>
                </c:pt>
                <c:pt idx="4">
                  <c:v>Stát Izrael</c:v>
                </c:pt>
                <c:pt idx="5">
                  <c:v>Rakouská republika</c:v>
                </c:pt>
                <c:pt idx="6">
                  <c:v>Korejská republika</c:v>
                </c:pt>
                <c:pt idx="7">
                  <c:v>Ukrajina</c:v>
                </c:pt>
                <c:pt idx="8">
                  <c:v>USA</c:v>
                </c:pt>
                <c:pt idx="9">
                  <c:v>Nizozemsko</c:v>
                </c:pt>
                <c:pt idx="10">
                  <c:v>Italská republika</c:v>
                </c:pt>
                <c:pt idx="11">
                  <c:v>Maďarsko</c:v>
                </c:pt>
              </c:strCache>
            </c:strRef>
          </c:cat>
          <c:val>
            <c:numRef>
              <c:f>'Kraje země pův.'!$H$4:$H$15</c:f>
              <c:numCache>
                <c:formatCode>General</c:formatCode>
                <c:ptCount val="12"/>
                <c:pt idx="0">
                  <c:v>245677</c:v>
                </c:pt>
                <c:pt idx="1">
                  <c:v>74377</c:v>
                </c:pt>
                <c:pt idx="2">
                  <c:v>6530</c:v>
                </c:pt>
                <c:pt idx="3">
                  <c:v>5400</c:v>
                </c:pt>
                <c:pt idx="4">
                  <c:v>8430</c:v>
                </c:pt>
                <c:pt idx="5">
                  <c:v>7718</c:v>
                </c:pt>
                <c:pt idx="6">
                  <c:v>959</c:v>
                </c:pt>
                <c:pt idx="7">
                  <c:v>10208</c:v>
                </c:pt>
                <c:pt idx="8">
                  <c:v>5791</c:v>
                </c:pt>
                <c:pt idx="9">
                  <c:v>7308</c:v>
                </c:pt>
                <c:pt idx="10">
                  <c:v>3879</c:v>
                </c:pt>
                <c:pt idx="11">
                  <c:v>1928</c:v>
                </c:pt>
              </c:numCache>
            </c:numRef>
          </c:val>
          <c:extLst>
            <c:ext xmlns:c16="http://schemas.microsoft.com/office/drawing/2014/chart" uri="{C3380CC4-5D6E-409C-BE32-E72D297353CC}">
              <c16:uniqueId val="{00000001-7558-4C0F-8C60-634230971B6C}"/>
            </c:ext>
          </c:extLst>
        </c:ser>
        <c:ser>
          <c:idx val="2"/>
          <c:order val="2"/>
          <c:tx>
            <c:strRef>
              <c:f>'Kraje země pův.'!$I$3</c:f>
              <c:strCache>
                <c:ptCount val="1"/>
                <c:pt idx="0">
                  <c:v>2015</c:v>
                </c:pt>
              </c:strCache>
            </c:strRef>
          </c:tx>
          <c:spPr>
            <a:solidFill>
              <a:srgbClr val="C00000"/>
            </a:solidFill>
          </c:spPr>
          <c:invertIfNegative val="0"/>
          <c:cat>
            <c:strRef>
              <c:f>'Kraje země pův.'!$F$4:$F$15</c:f>
              <c:strCache>
                <c:ptCount val="12"/>
                <c:pt idx="0">
                  <c:v>SRN</c:v>
                </c:pt>
                <c:pt idx="1">
                  <c:v>Rusko</c:v>
                </c:pt>
                <c:pt idx="2">
                  <c:v>Čínská lidová republika</c:v>
                </c:pt>
                <c:pt idx="3">
                  <c:v>Slovenská republika</c:v>
                </c:pt>
                <c:pt idx="4">
                  <c:v>Stát Izrael</c:v>
                </c:pt>
                <c:pt idx="5">
                  <c:v>Rakouská republika</c:v>
                </c:pt>
                <c:pt idx="6">
                  <c:v>Korejská republika</c:v>
                </c:pt>
                <c:pt idx="7">
                  <c:v>Ukrajina</c:v>
                </c:pt>
                <c:pt idx="8">
                  <c:v>USA</c:v>
                </c:pt>
                <c:pt idx="9">
                  <c:v>Nizozemsko</c:v>
                </c:pt>
                <c:pt idx="10">
                  <c:v>Italská republika</c:v>
                </c:pt>
                <c:pt idx="11">
                  <c:v>Maďarsko</c:v>
                </c:pt>
              </c:strCache>
            </c:strRef>
          </c:cat>
          <c:val>
            <c:numRef>
              <c:f>'Kraje země pův.'!$I$4:$I$15</c:f>
              <c:numCache>
                <c:formatCode>General</c:formatCode>
                <c:ptCount val="12"/>
                <c:pt idx="0">
                  <c:v>271468</c:v>
                </c:pt>
                <c:pt idx="1">
                  <c:v>73356</c:v>
                </c:pt>
                <c:pt idx="2">
                  <c:v>18064</c:v>
                </c:pt>
                <c:pt idx="3">
                  <c:v>10220</c:v>
                </c:pt>
                <c:pt idx="4">
                  <c:v>9322</c:v>
                </c:pt>
                <c:pt idx="5">
                  <c:v>8581</c:v>
                </c:pt>
                <c:pt idx="6">
                  <c:v>8496</c:v>
                </c:pt>
                <c:pt idx="7">
                  <c:v>8131</c:v>
                </c:pt>
                <c:pt idx="8">
                  <c:v>7234</c:v>
                </c:pt>
                <c:pt idx="9">
                  <c:v>5830</c:v>
                </c:pt>
                <c:pt idx="10">
                  <c:v>4007</c:v>
                </c:pt>
                <c:pt idx="11">
                  <c:v>3136</c:v>
                </c:pt>
              </c:numCache>
            </c:numRef>
          </c:val>
          <c:extLst>
            <c:ext xmlns:c16="http://schemas.microsoft.com/office/drawing/2014/chart" uri="{C3380CC4-5D6E-409C-BE32-E72D297353CC}">
              <c16:uniqueId val="{00000002-7558-4C0F-8C60-634230971B6C}"/>
            </c:ext>
          </c:extLst>
        </c:ser>
        <c:dLbls>
          <c:showLegendKey val="0"/>
          <c:showVal val="0"/>
          <c:showCatName val="0"/>
          <c:showSerName val="0"/>
          <c:showPercent val="0"/>
          <c:showBubbleSize val="0"/>
        </c:dLbls>
        <c:gapWidth val="150"/>
        <c:axId val="132305280"/>
        <c:axId val="132306816"/>
      </c:barChart>
      <c:scatterChart>
        <c:scatterStyle val="lineMarker"/>
        <c:varyColors val="0"/>
        <c:ser>
          <c:idx val="3"/>
          <c:order val="3"/>
          <c:tx>
            <c:strRef>
              <c:f>'Kraje země pův.'!$J$3</c:f>
              <c:strCache>
                <c:ptCount val="1"/>
                <c:pt idx="0">
                  <c:v>Index změny 2015/2005</c:v>
                </c:pt>
              </c:strCache>
            </c:strRef>
          </c:tx>
          <c:spPr>
            <a:ln w="28575">
              <a:noFill/>
            </a:ln>
          </c:spPr>
          <c:marker>
            <c:symbol val="circle"/>
            <c:size val="7"/>
            <c:spPr>
              <a:solidFill>
                <a:srgbClr val="0000EE"/>
              </a:solidFill>
              <a:ln>
                <a:solidFill>
                  <a:srgbClr val="002060"/>
                </a:solidFill>
              </a:ln>
            </c:spPr>
          </c:marker>
          <c:dLbls>
            <c:dLbl>
              <c:idx val="6"/>
              <c:layout>
                <c:manualLayout>
                  <c:x val="-4.3129136167121683E-2"/>
                  <c:y val="5.6512823547351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58-4C0F-8C60-634230971B6C}"/>
                </c:ext>
              </c:extLst>
            </c:dLbl>
            <c:spPr>
              <a:noFill/>
              <a:ln>
                <a:noFill/>
              </a:ln>
              <a:effectLst/>
            </c:spPr>
            <c:txPr>
              <a:bodyPr/>
              <a:lstStyle/>
              <a:p>
                <a:pPr>
                  <a:defRPr b="1"/>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strRef>
              <c:f>'Kraje země pův.'!$F$4:$F$15</c:f>
              <c:strCache>
                <c:ptCount val="12"/>
                <c:pt idx="0">
                  <c:v>SRN</c:v>
                </c:pt>
                <c:pt idx="1">
                  <c:v>Rusko</c:v>
                </c:pt>
                <c:pt idx="2">
                  <c:v>Čínská lidová republika</c:v>
                </c:pt>
                <c:pt idx="3">
                  <c:v>Slovenská republika</c:v>
                </c:pt>
                <c:pt idx="4">
                  <c:v>Stát Izrael</c:v>
                </c:pt>
                <c:pt idx="5">
                  <c:v>Rakouská republika</c:v>
                </c:pt>
                <c:pt idx="6">
                  <c:v>Korejská republika</c:v>
                </c:pt>
                <c:pt idx="7">
                  <c:v>Ukrajina</c:v>
                </c:pt>
                <c:pt idx="8">
                  <c:v>USA</c:v>
                </c:pt>
                <c:pt idx="9">
                  <c:v>Nizozemsko</c:v>
                </c:pt>
                <c:pt idx="10">
                  <c:v>Italská republika</c:v>
                </c:pt>
                <c:pt idx="11">
                  <c:v>Maďarsko</c:v>
                </c:pt>
              </c:strCache>
            </c:strRef>
          </c:xVal>
          <c:yVal>
            <c:numRef>
              <c:f>'Kraje země pův.'!$J$4:$J$15</c:f>
              <c:numCache>
                <c:formatCode>0</c:formatCode>
                <c:ptCount val="12"/>
                <c:pt idx="0">
                  <c:v>110.15269003071633</c:v>
                </c:pt>
                <c:pt idx="1">
                  <c:v>174.02320119564442</c:v>
                </c:pt>
                <c:pt idx="2">
                  <c:v>1885.5949895615859</c:v>
                </c:pt>
                <c:pt idx="3">
                  <c:v>144.26877470355649</c:v>
                </c:pt>
                <c:pt idx="4">
                  <c:v>203.00522648083665</c:v>
                </c:pt>
                <c:pt idx="5">
                  <c:v>153.15009816169947</c:v>
                </c:pt>
                <c:pt idx="6">
                  <c:v>4642.6229508196866</c:v>
                </c:pt>
                <c:pt idx="7">
                  <c:v>238.16637375512596</c:v>
                </c:pt>
                <c:pt idx="8">
                  <c:v>99.395438307226854</c:v>
                </c:pt>
                <c:pt idx="9">
                  <c:v>37.866978435957392</c:v>
                </c:pt>
                <c:pt idx="10">
                  <c:v>104.95023572551079</c:v>
                </c:pt>
                <c:pt idx="11">
                  <c:v>91.830161054172763</c:v>
                </c:pt>
              </c:numCache>
            </c:numRef>
          </c:yVal>
          <c:smooth val="0"/>
          <c:extLst>
            <c:ext xmlns:c16="http://schemas.microsoft.com/office/drawing/2014/chart" uri="{C3380CC4-5D6E-409C-BE32-E72D297353CC}">
              <c16:uniqueId val="{00000004-7558-4C0F-8C60-634230971B6C}"/>
            </c:ext>
          </c:extLst>
        </c:ser>
        <c:dLbls>
          <c:showLegendKey val="0"/>
          <c:showVal val="0"/>
          <c:showCatName val="0"/>
          <c:showSerName val="0"/>
          <c:showPercent val="0"/>
          <c:showBubbleSize val="0"/>
        </c:dLbls>
        <c:axId val="132311296"/>
        <c:axId val="132309376"/>
      </c:scatterChart>
      <c:catAx>
        <c:axId val="132305280"/>
        <c:scaling>
          <c:orientation val="minMax"/>
        </c:scaling>
        <c:delete val="0"/>
        <c:axPos val="b"/>
        <c:numFmt formatCode="General" sourceLinked="0"/>
        <c:majorTickMark val="out"/>
        <c:minorTickMark val="none"/>
        <c:tickLblPos val="nextTo"/>
        <c:txPr>
          <a:bodyPr/>
          <a:lstStyle/>
          <a:p>
            <a:pPr>
              <a:defRPr b="1"/>
            </a:pPr>
            <a:endParaRPr lang="cs-CZ"/>
          </a:p>
        </c:txPr>
        <c:crossAx val="132306816"/>
        <c:crosses val="autoZero"/>
        <c:auto val="1"/>
        <c:lblAlgn val="ctr"/>
        <c:lblOffset val="100"/>
        <c:noMultiLvlLbl val="0"/>
      </c:catAx>
      <c:valAx>
        <c:axId val="132306816"/>
        <c:scaling>
          <c:orientation val="minMax"/>
        </c:scaling>
        <c:delete val="0"/>
        <c:axPos val="l"/>
        <c:majorGridlines/>
        <c:title>
          <c:tx>
            <c:rich>
              <a:bodyPr rot="-5400000" vert="horz"/>
              <a:lstStyle/>
              <a:p>
                <a:pPr>
                  <a:defRPr/>
                </a:pPr>
                <a:r>
                  <a:rPr lang="en-US"/>
                  <a:t>Počet hostů (v tis.)</a:t>
                </a:r>
              </a:p>
            </c:rich>
          </c:tx>
          <c:overlay val="0"/>
        </c:title>
        <c:numFmt formatCode="General" sourceLinked="1"/>
        <c:majorTickMark val="out"/>
        <c:minorTickMark val="none"/>
        <c:tickLblPos val="nextTo"/>
        <c:txPr>
          <a:bodyPr/>
          <a:lstStyle/>
          <a:p>
            <a:pPr>
              <a:defRPr b="1"/>
            </a:pPr>
            <a:endParaRPr lang="cs-CZ"/>
          </a:p>
        </c:txPr>
        <c:crossAx val="132305280"/>
        <c:crosses val="autoZero"/>
        <c:crossBetween val="between"/>
        <c:dispUnits>
          <c:builtInUnit val="thousands"/>
        </c:dispUnits>
      </c:valAx>
      <c:valAx>
        <c:axId val="132309376"/>
        <c:scaling>
          <c:orientation val="minMax"/>
          <c:max val="4700"/>
          <c:min val="0"/>
        </c:scaling>
        <c:delete val="0"/>
        <c:axPos val="r"/>
        <c:title>
          <c:tx>
            <c:rich>
              <a:bodyPr rot="-5400000" vert="horz"/>
              <a:lstStyle/>
              <a:p>
                <a:pPr>
                  <a:defRPr/>
                </a:pPr>
                <a:r>
                  <a:rPr lang="cs-CZ"/>
                  <a:t>Index změny (v %)</a:t>
                </a:r>
              </a:p>
            </c:rich>
          </c:tx>
          <c:overlay val="0"/>
        </c:title>
        <c:numFmt formatCode="#,##0" sourceLinked="0"/>
        <c:majorTickMark val="out"/>
        <c:minorTickMark val="none"/>
        <c:tickLblPos val="nextTo"/>
        <c:txPr>
          <a:bodyPr/>
          <a:lstStyle/>
          <a:p>
            <a:pPr>
              <a:defRPr b="1"/>
            </a:pPr>
            <a:endParaRPr lang="cs-CZ"/>
          </a:p>
        </c:txPr>
        <c:crossAx val="132311296"/>
        <c:crosses val="max"/>
        <c:crossBetween val="midCat"/>
      </c:valAx>
      <c:valAx>
        <c:axId val="132311296"/>
        <c:scaling>
          <c:orientation val="minMax"/>
        </c:scaling>
        <c:delete val="1"/>
        <c:axPos val="b"/>
        <c:majorTickMark val="out"/>
        <c:minorTickMark val="none"/>
        <c:tickLblPos val="none"/>
        <c:crossAx val="132309376"/>
        <c:crosses val="autoZero"/>
        <c:crossBetween val="midCat"/>
      </c:valAx>
    </c:plotArea>
    <c:legend>
      <c:legendPos val="b"/>
      <c:overlay val="0"/>
      <c:txPr>
        <a:bodyPr/>
        <a:lstStyle/>
        <a:p>
          <a:pPr>
            <a:defRPr b="1"/>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List2!$B$22</c:f>
              <c:strCache>
                <c:ptCount val="1"/>
                <c:pt idx="0">
                  <c:v>1995</c:v>
                </c:pt>
              </c:strCache>
            </c:strRef>
          </c:tx>
          <c:spPr>
            <a:solidFill>
              <a:schemeClr val="accent1"/>
            </a:solidFill>
            <a:ln>
              <a:noFill/>
            </a:ln>
            <a:effectLst/>
          </c:spPr>
          <c:invertIfNegative val="0"/>
          <c:cat>
            <c:strRef>
              <c:f>List2!$A$23:$A$37</c:f>
              <c:strCache>
                <c:ptCount val="15"/>
                <c:pt idx="0">
                  <c:v>Ústecký kraj</c:v>
                </c:pt>
                <c:pt idx="1">
                  <c:v>Karlovarský kraj</c:v>
                </c:pt>
                <c:pt idx="2">
                  <c:v>Olomoucký kraj</c:v>
                </c:pt>
                <c:pt idx="3">
                  <c:v>Moravskoslezský kraj</c:v>
                </c:pt>
                <c:pt idx="4">
                  <c:v>Liberecký kraj</c:v>
                </c:pt>
                <c:pt idx="5">
                  <c:v>Zlínský kraj</c:v>
                </c:pt>
                <c:pt idx="6">
                  <c:v>Jihočeský kraj</c:v>
                </c:pt>
                <c:pt idx="7">
                  <c:v>Pardubický kraj</c:v>
                </c:pt>
                <c:pt idx="8">
                  <c:v>Kraj Vysočina</c:v>
                </c:pt>
                <c:pt idx="9">
                  <c:v>Královéhradecký kraj</c:v>
                </c:pt>
                <c:pt idx="10">
                  <c:v>Jihomoravský kraj</c:v>
                </c:pt>
                <c:pt idx="11">
                  <c:v>Plzeňský kraj</c:v>
                </c:pt>
                <c:pt idx="12">
                  <c:v>Středočeský kraj</c:v>
                </c:pt>
                <c:pt idx="13">
                  <c:v>Hlavní město Praha</c:v>
                </c:pt>
                <c:pt idx="14">
                  <c:v>Česká republika</c:v>
                </c:pt>
              </c:strCache>
            </c:strRef>
          </c:cat>
          <c:val>
            <c:numRef>
              <c:f>List2!$B$23:$B$37</c:f>
              <c:numCache>
                <c:formatCode>General</c:formatCode>
                <c:ptCount val="15"/>
                <c:pt idx="0">
                  <c:v>78919</c:v>
                </c:pt>
                <c:pt idx="1">
                  <c:v>77140</c:v>
                </c:pt>
                <c:pt idx="2">
                  <c:v>74027</c:v>
                </c:pt>
                <c:pt idx="3">
                  <c:v>75706</c:v>
                </c:pt>
                <c:pt idx="4">
                  <c:v>76578</c:v>
                </c:pt>
                <c:pt idx="5">
                  <c:v>72611</c:v>
                </c:pt>
                <c:pt idx="6">
                  <c:v>80044</c:v>
                </c:pt>
                <c:pt idx="7">
                  <c:v>73211</c:v>
                </c:pt>
                <c:pt idx="8">
                  <c:v>69834</c:v>
                </c:pt>
                <c:pt idx="9">
                  <c:v>78536</c:v>
                </c:pt>
                <c:pt idx="10">
                  <c:v>76681</c:v>
                </c:pt>
                <c:pt idx="11">
                  <c:v>80000</c:v>
                </c:pt>
                <c:pt idx="12">
                  <c:v>82260</c:v>
                </c:pt>
                <c:pt idx="13">
                  <c:v>96645</c:v>
                </c:pt>
                <c:pt idx="14">
                  <c:v>79251</c:v>
                </c:pt>
              </c:numCache>
            </c:numRef>
          </c:val>
          <c:extLst>
            <c:ext xmlns:c16="http://schemas.microsoft.com/office/drawing/2014/chart" uri="{C3380CC4-5D6E-409C-BE32-E72D297353CC}">
              <c16:uniqueId val="{00000000-FD22-40FB-B467-01325624A15C}"/>
            </c:ext>
          </c:extLst>
        </c:ser>
        <c:ser>
          <c:idx val="1"/>
          <c:order val="1"/>
          <c:tx>
            <c:strRef>
              <c:f>List2!$C$22</c:f>
              <c:strCache>
                <c:ptCount val="1"/>
                <c:pt idx="0">
                  <c:v>2014</c:v>
                </c:pt>
              </c:strCache>
            </c:strRef>
          </c:tx>
          <c:spPr>
            <a:solidFill>
              <a:schemeClr val="accent2"/>
            </a:solidFill>
            <a:ln>
              <a:noFill/>
            </a:ln>
            <a:effectLst/>
          </c:spPr>
          <c:invertIfNegative val="0"/>
          <c:cat>
            <c:strRef>
              <c:f>List2!$A$23:$A$37</c:f>
              <c:strCache>
                <c:ptCount val="15"/>
                <c:pt idx="0">
                  <c:v>Ústecký kraj</c:v>
                </c:pt>
                <c:pt idx="1">
                  <c:v>Karlovarský kraj</c:v>
                </c:pt>
                <c:pt idx="2">
                  <c:v>Olomoucký kraj</c:v>
                </c:pt>
                <c:pt idx="3">
                  <c:v>Moravskoslezský kraj</c:v>
                </c:pt>
                <c:pt idx="4">
                  <c:v>Liberecký kraj</c:v>
                </c:pt>
                <c:pt idx="5">
                  <c:v>Zlínský kraj</c:v>
                </c:pt>
                <c:pt idx="6">
                  <c:v>Jihočeský kraj</c:v>
                </c:pt>
                <c:pt idx="7">
                  <c:v>Pardubický kraj</c:v>
                </c:pt>
                <c:pt idx="8">
                  <c:v>Kraj Vysočina</c:v>
                </c:pt>
                <c:pt idx="9">
                  <c:v>Královéhradecký kraj</c:v>
                </c:pt>
                <c:pt idx="10">
                  <c:v>Jihomoravský kraj</c:v>
                </c:pt>
                <c:pt idx="11">
                  <c:v>Plzeňský kraj</c:v>
                </c:pt>
                <c:pt idx="12">
                  <c:v>Středočeský kraj</c:v>
                </c:pt>
                <c:pt idx="13">
                  <c:v>Hlavní město Praha</c:v>
                </c:pt>
                <c:pt idx="14">
                  <c:v>Česká republika</c:v>
                </c:pt>
              </c:strCache>
            </c:strRef>
          </c:cat>
          <c:val>
            <c:numRef>
              <c:f>List2!$C$23:$C$37</c:f>
              <c:numCache>
                <c:formatCode>General</c:formatCode>
                <c:ptCount val="15"/>
                <c:pt idx="0">
                  <c:v>174662</c:v>
                </c:pt>
                <c:pt idx="1">
                  <c:v>181819</c:v>
                </c:pt>
                <c:pt idx="2">
                  <c:v>183173</c:v>
                </c:pt>
                <c:pt idx="3">
                  <c:v>184014</c:v>
                </c:pt>
                <c:pt idx="4">
                  <c:v>189176</c:v>
                </c:pt>
                <c:pt idx="5">
                  <c:v>189825</c:v>
                </c:pt>
                <c:pt idx="6">
                  <c:v>193653</c:v>
                </c:pt>
                <c:pt idx="7">
                  <c:v>193820</c:v>
                </c:pt>
                <c:pt idx="8">
                  <c:v>195304</c:v>
                </c:pt>
                <c:pt idx="9">
                  <c:v>198052</c:v>
                </c:pt>
                <c:pt idx="10">
                  <c:v>203208</c:v>
                </c:pt>
                <c:pt idx="11">
                  <c:v>205083</c:v>
                </c:pt>
                <c:pt idx="12">
                  <c:v>216633</c:v>
                </c:pt>
                <c:pt idx="13">
                  <c:v>264100</c:v>
                </c:pt>
                <c:pt idx="14">
                  <c:v>202915</c:v>
                </c:pt>
              </c:numCache>
            </c:numRef>
          </c:val>
          <c:extLst>
            <c:ext xmlns:c16="http://schemas.microsoft.com/office/drawing/2014/chart" uri="{C3380CC4-5D6E-409C-BE32-E72D297353CC}">
              <c16:uniqueId val="{00000001-FD22-40FB-B467-01325624A15C}"/>
            </c:ext>
          </c:extLst>
        </c:ser>
        <c:dLbls>
          <c:showLegendKey val="0"/>
          <c:showVal val="0"/>
          <c:showCatName val="0"/>
          <c:showSerName val="0"/>
          <c:showPercent val="0"/>
          <c:showBubbleSize val="0"/>
        </c:dLbls>
        <c:gapWidth val="182"/>
        <c:axId val="126662144"/>
        <c:axId val="126663680"/>
      </c:barChart>
      <c:catAx>
        <c:axId val="12666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663680"/>
        <c:crosses val="autoZero"/>
        <c:auto val="1"/>
        <c:lblAlgn val="ctr"/>
        <c:lblOffset val="100"/>
        <c:noMultiLvlLbl val="0"/>
      </c:catAx>
      <c:valAx>
        <c:axId val="126663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66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List5!$B$18</c:f>
              <c:strCache>
                <c:ptCount val="1"/>
                <c:pt idx="0">
                  <c:v>2009</c:v>
                </c:pt>
              </c:strCache>
            </c:strRef>
          </c:tx>
          <c:spPr>
            <a:solidFill>
              <a:schemeClr val="accent1"/>
            </a:solidFill>
            <a:ln>
              <a:noFill/>
            </a:ln>
            <a:effectLst/>
          </c:spPr>
          <c:invertIfNegative val="0"/>
          <c:dPt>
            <c:idx val="4"/>
            <c:invertIfNegative val="0"/>
            <c:bubble3D val="0"/>
            <c:spPr>
              <a:solidFill>
                <a:srgbClr val="0070C0"/>
              </a:solidFill>
              <a:ln>
                <a:noFill/>
              </a:ln>
              <a:effectLst/>
            </c:spPr>
            <c:extLst>
              <c:ext xmlns:c16="http://schemas.microsoft.com/office/drawing/2014/chart" uri="{C3380CC4-5D6E-409C-BE32-E72D297353CC}">
                <c16:uniqueId val="{00000000-1107-45B8-8702-02EF8EC314B1}"/>
              </c:ext>
            </c:extLst>
          </c:dPt>
          <c:dLbls>
            <c:dLbl>
              <c:idx val="4"/>
              <c:layout>
                <c:manualLayout>
                  <c:x val="-1.32013201320132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07-45B8-8702-02EF8EC314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List5!$A$19:$A$33</c:f>
              <c:strCache>
                <c:ptCount val="15"/>
                <c:pt idx="0">
                  <c:v>Moravskoslezský</c:v>
                </c:pt>
                <c:pt idx="1">
                  <c:v>Středočeský </c:v>
                </c:pt>
                <c:pt idx="2">
                  <c:v>Jihočeský </c:v>
                </c:pt>
                <c:pt idx="3">
                  <c:v>Plzeňský</c:v>
                </c:pt>
                <c:pt idx="4">
                  <c:v>Karlovarský </c:v>
                </c:pt>
                <c:pt idx="5">
                  <c:v>Ústecký </c:v>
                </c:pt>
                <c:pt idx="6">
                  <c:v>Liberecký</c:v>
                </c:pt>
                <c:pt idx="7">
                  <c:v>Královéhradecký</c:v>
                </c:pt>
                <c:pt idx="8">
                  <c:v>Pardubický </c:v>
                </c:pt>
                <c:pt idx="9">
                  <c:v>Vysočina</c:v>
                </c:pt>
                <c:pt idx="10">
                  <c:v>Jihomoravský </c:v>
                </c:pt>
                <c:pt idx="11">
                  <c:v>Olomoucký</c:v>
                </c:pt>
                <c:pt idx="12">
                  <c:v>Zlínský </c:v>
                </c:pt>
                <c:pt idx="13">
                  <c:v>Hl.m. Praha</c:v>
                </c:pt>
                <c:pt idx="14">
                  <c:v>ČR</c:v>
                </c:pt>
              </c:strCache>
            </c:strRef>
          </c:cat>
          <c:val>
            <c:numRef>
              <c:f>List5!$B$19:$B$33</c:f>
              <c:numCache>
                <c:formatCode>0.0</c:formatCode>
                <c:ptCount val="15"/>
                <c:pt idx="0">
                  <c:v>12.795207339214894</c:v>
                </c:pt>
                <c:pt idx="1">
                  <c:v>18.256775799598095</c:v>
                </c:pt>
                <c:pt idx="2">
                  <c:v>13.658164532242354</c:v>
                </c:pt>
                <c:pt idx="3">
                  <c:v>14.923432554414125</c:v>
                </c:pt>
                <c:pt idx="4">
                  <c:v>13.910140943756453</c:v>
                </c:pt>
                <c:pt idx="5">
                  <c:v>12.953533576162449</c:v>
                </c:pt>
                <c:pt idx="6">
                  <c:v>16.562085188784899</c:v>
                </c:pt>
                <c:pt idx="7">
                  <c:v>17.667124294399727</c:v>
                </c:pt>
                <c:pt idx="8">
                  <c:v>13.649698651096131</c:v>
                </c:pt>
                <c:pt idx="9">
                  <c:v>13.73882787996628</c:v>
                </c:pt>
                <c:pt idx="10">
                  <c:v>16.536774070719229</c:v>
                </c:pt>
                <c:pt idx="11">
                  <c:v>16.373805517848197</c:v>
                </c:pt>
                <c:pt idx="12">
                  <c:v>16.009459960043273</c:v>
                </c:pt>
                <c:pt idx="13">
                  <c:v>21.860611880239265</c:v>
                </c:pt>
                <c:pt idx="14">
                  <c:v>16.169024182796633</c:v>
                </c:pt>
              </c:numCache>
            </c:numRef>
          </c:val>
          <c:extLst>
            <c:ext xmlns:c16="http://schemas.microsoft.com/office/drawing/2014/chart" uri="{C3380CC4-5D6E-409C-BE32-E72D297353CC}">
              <c16:uniqueId val="{00000001-1107-45B8-8702-02EF8EC314B1}"/>
            </c:ext>
          </c:extLst>
        </c:ser>
        <c:ser>
          <c:idx val="1"/>
          <c:order val="1"/>
          <c:tx>
            <c:strRef>
              <c:f>List5!$C$18</c:f>
              <c:strCache>
                <c:ptCount val="1"/>
                <c:pt idx="0">
                  <c:v>2012</c:v>
                </c:pt>
              </c:strCache>
            </c:strRef>
          </c:tx>
          <c:spPr>
            <a:solidFill>
              <a:schemeClr val="accent2"/>
            </a:solidFill>
            <a:ln>
              <a:noFill/>
            </a:ln>
            <a:effectLst/>
          </c:spPr>
          <c:invertIfNegative val="0"/>
          <c:dPt>
            <c:idx val="4"/>
            <c:invertIfNegative val="0"/>
            <c:bubble3D val="0"/>
            <c:spPr>
              <a:solidFill>
                <a:schemeClr val="accent2">
                  <a:lumMod val="75000"/>
                </a:schemeClr>
              </a:solidFill>
              <a:ln>
                <a:noFill/>
              </a:ln>
              <a:effectLst/>
            </c:spPr>
            <c:extLst>
              <c:ext xmlns:c16="http://schemas.microsoft.com/office/drawing/2014/chart" uri="{C3380CC4-5D6E-409C-BE32-E72D297353CC}">
                <c16:uniqueId val="{00000002-1107-45B8-8702-02EF8EC314B1}"/>
              </c:ext>
            </c:extLst>
          </c:dPt>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07-45B8-8702-02EF8EC314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List5!$A$19:$A$33</c:f>
              <c:strCache>
                <c:ptCount val="15"/>
                <c:pt idx="0">
                  <c:v>Moravskoslezský</c:v>
                </c:pt>
                <c:pt idx="1">
                  <c:v>Středočeský </c:v>
                </c:pt>
                <c:pt idx="2">
                  <c:v>Jihočeský </c:v>
                </c:pt>
                <c:pt idx="3">
                  <c:v>Plzeňský</c:v>
                </c:pt>
                <c:pt idx="4">
                  <c:v>Karlovarský </c:v>
                </c:pt>
                <c:pt idx="5">
                  <c:v>Ústecký </c:v>
                </c:pt>
                <c:pt idx="6">
                  <c:v>Liberecký</c:v>
                </c:pt>
                <c:pt idx="7">
                  <c:v>Královéhradecký</c:v>
                </c:pt>
                <c:pt idx="8">
                  <c:v>Pardubický </c:v>
                </c:pt>
                <c:pt idx="9">
                  <c:v>Vysočina</c:v>
                </c:pt>
                <c:pt idx="10">
                  <c:v>Jihomoravský </c:v>
                </c:pt>
                <c:pt idx="11">
                  <c:v>Olomoucký</c:v>
                </c:pt>
                <c:pt idx="12">
                  <c:v>Zlínský </c:v>
                </c:pt>
                <c:pt idx="13">
                  <c:v>Hl.m. Praha</c:v>
                </c:pt>
                <c:pt idx="14">
                  <c:v>ČR</c:v>
                </c:pt>
              </c:strCache>
            </c:strRef>
          </c:cat>
          <c:val>
            <c:numRef>
              <c:f>List5!$C$19:$C$33</c:f>
              <c:numCache>
                <c:formatCode>0.0</c:formatCode>
                <c:ptCount val="15"/>
                <c:pt idx="0">
                  <c:v>13.656540193830569</c:v>
                </c:pt>
                <c:pt idx="1">
                  <c:v>19.581184824117809</c:v>
                </c:pt>
                <c:pt idx="2">
                  <c:v>17.089095875428889</c:v>
                </c:pt>
                <c:pt idx="3">
                  <c:v>16.919144281039923</c:v>
                </c:pt>
                <c:pt idx="4">
                  <c:v>17.422719190210529</c:v>
                </c:pt>
                <c:pt idx="5">
                  <c:v>15.870880473358882</c:v>
                </c:pt>
                <c:pt idx="6">
                  <c:v>17.989683726500889</c:v>
                </c:pt>
                <c:pt idx="7">
                  <c:v>19.649637878947125</c:v>
                </c:pt>
                <c:pt idx="8">
                  <c:v>13.982221913876932</c:v>
                </c:pt>
                <c:pt idx="9">
                  <c:v>15.118902768244148</c:v>
                </c:pt>
                <c:pt idx="10">
                  <c:v>16.957435546853286</c:v>
                </c:pt>
                <c:pt idx="11">
                  <c:v>16.105664268000233</c:v>
                </c:pt>
                <c:pt idx="12">
                  <c:v>15.200244452305952</c:v>
                </c:pt>
                <c:pt idx="13">
                  <c:v>25.810837283330986</c:v>
                </c:pt>
                <c:pt idx="14">
                  <c:v>17.840365030201127</c:v>
                </c:pt>
              </c:numCache>
            </c:numRef>
          </c:val>
          <c:extLst>
            <c:ext xmlns:c16="http://schemas.microsoft.com/office/drawing/2014/chart" uri="{C3380CC4-5D6E-409C-BE32-E72D297353CC}">
              <c16:uniqueId val="{00000003-1107-45B8-8702-02EF8EC314B1}"/>
            </c:ext>
          </c:extLst>
        </c:ser>
        <c:ser>
          <c:idx val="2"/>
          <c:order val="2"/>
          <c:tx>
            <c:strRef>
              <c:f>List5!$D$18</c:f>
              <c:strCache>
                <c:ptCount val="1"/>
                <c:pt idx="0">
                  <c:v>2015</c:v>
                </c:pt>
              </c:strCache>
            </c:strRef>
          </c:tx>
          <c:spPr>
            <a:solidFill>
              <a:schemeClr val="accent3"/>
            </a:solidFill>
            <a:ln>
              <a:noFill/>
            </a:ln>
            <a:effectLst/>
          </c:spPr>
          <c:invertIfNegative val="0"/>
          <c:dPt>
            <c:idx val="4"/>
            <c:invertIfNegative val="0"/>
            <c:bubble3D val="0"/>
            <c:spPr>
              <a:solidFill>
                <a:schemeClr val="accent3">
                  <a:lumMod val="75000"/>
                </a:schemeClr>
              </a:solidFill>
              <a:ln>
                <a:noFill/>
              </a:ln>
              <a:effectLst/>
            </c:spPr>
            <c:extLst>
              <c:ext xmlns:c16="http://schemas.microsoft.com/office/drawing/2014/chart" uri="{C3380CC4-5D6E-409C-BE32-E72D297353CC}">
                <c16:uniqueId val="{00000004-1107-45B8-8702-02EF8EC314B1}"/>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07-45B8-8702-02EF8EC314B1}"/>
                </c:ext>
              </c:extLst>
            </c:dLbl>
            <c:dLbl>
              <c:idx val="4"/>
              <c:layout>
                <c:manualLayout>
                  <c:x val="1.54015401540154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07-45B8-8702-02EF8EC314B1}"/>
                </c:ext>
              </c:extLst>
            </c:dLbl>
            <c:dLbl>
              <c:idx val="13"/>
              <c:layout>
                <c:manualLayout>
                  <c:x val="2.20022002200221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07-45B8-8702-02EF8EC314B1}"/>
                </c:ext>
              </c:extLst>
            </c:dLbl>
            <c:dLbl>
              <c:idx val="14"/>
              <c:layout>
                <c:manualLayout>
                  <c:x val="1.5401626776850913E-2"/>
                  <c:y val="1.38888888888889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5.0439957381564919E-2"/>
                      <c:h val="7.4004811898512685E-2"/>
                    </c:manualLayout>
                  </c15:layout>
                </c:ext>
                <c:ext xmlns:c16="http://schemas.microsoft.com/office/drawing/2014/chart" uri="{C3380CC4-5D6E-409C-BE32-E72D297353CC}">
                  <c16:uniqueId val="{00000007-1107-45B8-8702-02EF8EC314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List5!$A$19:$A$33</c:f>
              <c:strCache>
                <c:ptCount val="15"/>
                <c:pt idx="0">
                  <c:v>Moravskoslezský</c:v>
                </c:pt>
                <c:pt idx="1">
                  <c:v>Středočeský </c:v>
                </c:pt>
                <c:pt idx="2">
                  <c:v>Jihočeský </c:v>
                </c:pt>
                <c:pt idx="3">
                  <c:v>Plzeňský</c:v>
                </c:pt>
                <c:pt idx="4">
                  <c:v>Karlovarský </c:v>
                </c:pt>
                <c:pt idx="5">
                  <c:v>Ústecký </c:v>
                </c:pt>
                <c:pt idx="6">
                  <c:v>Liberecký</c:v>
                </c:pt>
                <c:pt idx="7">
                  <c:v>Královéhradecký</c:v>
                </c:pt>
                <c:pt idx="8">
                  <c:v>Pardubický </c:v>
                </c:pt>
                <c:pt idx="9">
                  <c:v>Vysočina</c:v>
                </c:pt>
                <c:pt idx="10">
                  <c:v>Jihomoravský </c:v>
                </c:pt>
                <c:pt idx="11">
                  <c:v>Olomoucký</c:v>
                </c:pt>
                <c:pt idx="12">
                  <c:v>Zlínský </c:v>
                </c:pt>
                <c:pt idx="13">
                  <c:v>Hl.m. Praha</c:v>
                </c:pt>
                <c:pt idx="14">
                  <c:v>ČR</c:v>
                </c:pt>
              </c:strCache>
            </c:strRef>
          </c:cat>
          <c:val>
            <c:numRef>
              <c:f>List5!$D$19:$D$33</c:f>
              <c:numCache>
                <c:formatCode>0.0</c:formatCode>
                <c:ptCount val="15"/>
                <c:pt idx="0">
                  <c:v>13.739886066436744</c:v>
                </c:pt>
                <c:pt idx="1">
                  <c:v>22.507748985289588</c:v>
                </c:pt>
                <c:pt idx="2">
                  <c:v>17.031475216710668</c:v>
                </c:pt>
                <c:pt idx="3">
                  <c:v>13.393710948695652</c:v>
                </c:pt>
                <c:pt idx="4">
                  <c:v>14.200169086805548</c:v>
                </c:pt>
                <c:pt idx="5">
                  <c:v>17.48354436202175</c:v>
                </c:pt>
                <c:pt idx="6">
                  <c:v>16.524448079268289</c:v>
                </c:pt>
                <c:pt idx="7">
                  <c:v>15.722882451756078</c:v>
                </c:pt>
                <c:pt idx="8">
                  <c:v>15.230676824890303</c:v>
                </c:pt>
                <c:pt idx="9">
                  <c:v>13.810216977407126</c:v>
                </c:pt>
                <c:pt idx="10">
                  <c:v>15.380394413108426</c:v>
                </c:pt>
                <c:pt idx="11">
                  <c:v>13.077836983770716</c:v>
                </c:pt>
                <c:pt idx="12">
                  <c:v>13.617413961154668</c:v>
                </c:pt>
                <c:pt idx="13">
                  <c:v>21.288489684805956</c:v>
                </c:pt>
                <c:pt idx="14">
                  <c:v>16.736438843739407</c:v>
                </c:pt>
              </c:numCache>
            </c:numRef>
          </c:val>
          <c:extLst>
            <c:ext xmlns:c16="http://schemas.microsoft.com/office/drawing/2014/chart" uri="{C3380CC4-5D6E-409C-BE32-E72D297353CC}">
              <c16:uniqueId val="{00000008-1107-45B8-8702-02EF8EC314B1}"/>
            </c:ext>
          </c:extLst>
        </c:ser>
        <c:dLbls>
          <c:showLegendKey val="0"/>
          <c:showVal val="0"/>
          <c:showCatName val="0"/>
          <c:showSerName val="0"/>
          <c:showPercent val="0"/>
          <c:showBubbleSize val="0"/>
        </c:dLbls>
        <c:gapWidth val="219"/>
        <c:overlap val="-27"/>
        <c:axId val="127654144"/>
        <c:axId val="130895872"/>
      </c:barChart>
      <c:catAx>
        <c:axId val="12765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0895872"/>
        <c:crosses val="autoZero"/>
        <c:auto val="1"/>
        <c:lblAlgn val="ctr"/>
        <c:lblOffset val="100"/>
        <c:noMultiLvlLbl val="0"/>
      </c:catAx>
      <c:valAx>
        <c:axId val="130895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65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List7!$A$2</c:f>
              <c:strCache>
                <c:ptCount val="1"/>
                <c:pt idx="0">
                  <c:v>Karlovarský kraj</c:v>
                </c:pt>
              </c:strCache>
            </c:strRef>
          </c:tx>
          <c:spPr>
            <a:ln w="28575" cap="rnd">
              <a:solidFill>
                <a:srgbClr val="00206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29-4671-9454-7C1EA82A4C6D}"/>
                </c:ext>
              </c:extLst>
            </c:dLbl>
            <c:dLbl>
              <c:idx val="6"/>
              <c:layout>
                <c:manualLayout>
                  <c:x val="-5.9612518628913728E-3"/>
                  <c:y val="1.5521926615753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29-4671-9454-7C1EA82A4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List7!$B$1:$H$1</c:f>
              <c:numCache>
                <c:formatCode>General</c:formatCode>
                <c:ptCount val="7"/>
                <c:pt idx="0">
                  <c:v>2008</c:v>
                </c:pt>
                <c:pt idx="1">
                  <c:v>2009</c:v>
                </c:pt>
                <c:pt idx="2">
                  <c:v>2010</c:v>
                </c:pt>
                <c:pt idx="3">
                  <c:v>2011</c:v>
                </c:pt>
                <c:pt idx="4">
                  <c:v>2012</c:v>
                </c:pt>
                <c:pt idx="5">
                  <c:v>2013</c:v>
                </c:pt>
                <c:pt idx="6">
                  <c:v>2014</c:v>
                </c:pt>
              </c:numCache>
            </c:numRef>
          </c:cat>
          <c:val>
            <c:numRef>
              <c:f>List7!$B$2:$H$2</c:f>
              <c:numCache>
                <c:formatCode>0.0</c:formatCode>
                <c:ptCount val="7"/>
                <c:pt idx="0">
                  <c:v>7.6199999999999966</c:v>
                </c:pt>
                <c:pt idx="1">
                  <c:v>11.074163585010043</c:v>
                </c:pt>
                <c:pt idx="2">
                  <c:v>11.394955039121802</c:v>
                </c:pt>
                <c:pt idx="3">
                  <c:v>9.83</c:v>
                </c:pt>
                <c:pt idx="4">
                  <c:v>8.4959494452759365</c:v>
                </c:pt>
                <c:pt idx="5">
                  <c:v>9.3285051158043206</c:v>
                </c:pt>
                <c:pt idx="6">
                  <c:v>8.2081632451589659</c:v>
                </c:pt>
              </c:numCache>
            </c:numRef>
          </c:val>
          <c:smooth val="0"/>
          <c:extLst>
            <c:ext xmlns:c16="http://schemas.microsoft.com/office/drawing/2014/chart" uri="{C3380CC4-5D6E-409C-BE32-E72D297353CC}">
              <c16:uniqueId val="{00000002-5029-4671-9454-7C1EA82A4C6D}"/>
            </c:ext>
          </c:extLst>
        </c:ser>
        <c:ser>
          <c:idx val="1"/>
          <c:order val="1"/>
          <c:tx>
            <c:strRef>
              <c:f>List7!$A$3</c:f>
              <c:strCache>
                <c:ptCount val="1"/>
                <c:pt idx="0">
                  <c:v>Cheb</c:v>
                </c:pt>
              </c:strCache>
            </c:strRef>
          </c:tx>
          <c:spPr>
            <a:ln w="28575" cap="rnd">
              <a:solidFill>
                <a:schemeClr val="accent3">
                  <a:lumMod val="60000"/>
                  <a:lumOff val="40000"/>
                </a:schemeClr>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29-4671-9454-7C1EA82A4C6D}"/>
                </c:ext>
              </c:extLst>
            </c:dLbl>
            <c:dLbl>
              <c:idx val="6"/>
              <c:layout>
                <c:manualLayout>
                  <c:x val="-5.9612518628913728E-3"/>
                  <c:y val="2.7939467908355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29-4671-9454-7C1EA82A4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List7!$B$1:$H$1</c:f>
              <c:numCache>
                <c:formatCode>General</c:formatCode>
                <c:ptCount val="7"/>
                <c:pt idx="0">
                  <c:v>2008</c:v>
                </c:pt>
                <c:pt idx="1">
                  <c:v>2009</c:v>
                </c:pt>
                <c:pt idx="2">
                  <c:v>2010</c:v>
                </c:pt>
                <c:pt idx="3">
                  <c:v>2011</c:v>
                </c:pt>
                <c:pt idx="4">
                  <c:v>2012</c:v>
                </c:pt>
                <c:pt idx="5">
                  <c:v>2013</c:v>
                </c:pt>
                <c:pt idx="6">
                  <c:v>2014</c:v>
                </c:pt>
              </c:numCache>
            </c:numRef>
          </c:cat>
          <c:val>
            <c:numRef>
              <c:f>List7!$B$3:$H$3</c:f>
              <c:numCache>
                <c:formatCode>0.0</c:formatCode>
                <c:ptCount val="7"/>
                <c:pt idx="0">
                  <c:v>6.89</c:v>
                </c:pt>
                <c:pt idx="1">
                  <c:v>9.8907523110088267</c:v>
                </c:pt>
                <c:pt idx="2">
                  <c:v>9.7216526096182303</c:v>
                </c:pt>
                <c:pt idx="3">
                  <c:v>7.9700000000000024</c:v>
                </c:pt>
                <c:pt idx="4">
                  <c:v>7.2672030259343847</c:v>
                </c:pt>
                <c:pt idx="5">
                  <c:v>7.6892600751176845</c:v>
                </c:pt>
                <c:pt idx="6">
                  <c:v>6.4108962697019845</c:v>
                </c:pt>
              </c:numCache>
            </c:numRef>
          </c:val>
          <c:smooth val="0"/>
          <c:extLst>
            <c:ext xmlns:c16="http://schemas.microsoft.com/office/drawing/2014/chart" uri="{C3380CC4-5D6E-409C-BE32-E72D297353CC}">
              <c16:uniqueId val="{00000005-5029-4671-9454-7C1EA82A4C6D}"/>
            </c:ext>
          </c:extLst>
        </c:ser>
        <c:ser>
          <c:idx val="2"/>
          <c:order val="2"/>
          <c:tx>
            <c:strRef>
              <c:f>List7!$A$4</c:f>
              <c:strCache>
                <c:ptCount val="1"/>
                <c:pt idx="0">
                  <c:v>Karlovy Vary</c:v>
                </c:pt>
              </c:strCache>
            </c:strRef>
          </c:tx>
          <c:spPr>
            <a:ln w="28575" cap="rnd">
              <a:solidFill>
                <a:schemeClr val="accent5"/>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29-4671-9454-7C1EA82A4C6D}"/>
                </c:ext>
              </c:extLst>
            </c:dLbl>
            <c:dLbl>
              <c:idx val="6"/>
              <c:layout>
                <c:manualLayout>
                  <c:x val="-3.9741679085941416E-3"/>
                  <c:y val="-2.7939467908355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29-4671-9454-7C1EA82A4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List7!$B$1:$H$1</c:f>
              <c:numCache>
                <c:formatCode>General</c:formatCode>
                <c:ptCount val="7"/>
                <c:pt idx="0">
                  <c:v>2008</c:v>
                </c:pt>
                <c:pt idx="1">
                  <c:v>2009</c:v>
                </c:pt>
                <c:pt idx="2">
                  <c:v>2010</c:v>
                </c:pt>
                <c:pt idx="3">
                  <c:v>2011</c:v>
                </c:pt>
                <c:pt idx="4">
                  <c:v>2012</c:v>
                </c:pt>
                <c:pt idx="5">
                  <c:v>2013</c:v>
                </c:pt>
                <c:pt idx="6">
                  <c:v>2014</c:v>
                </c:pt>
              </c:numCache>
            </c:numRef>
          </c:cat>
          <c:val>
            <c:numRef>
              <c:f>List7!$B$4:$H$4</c:f>
              <c:numCache>
                <c:formatCode>0.0</c:formatCode>
                <c:ptCount val="7"/>
                <c:pt idx="0">
                  <c:v>7.38</c:v>
                </c:pt>
                <c:pt idx="1">
                  <c:v>10.480031448830131</c:v>
                </c:pt>
                <c:pt idx="2">
                  <c:v>10.896947682933975</c:v>
                </c:pt>
                <c:pt idx="3">
                  <c:v>9.57</c:v>
                </c:pt>
                <c:pt idx="4">
                  <c:v>8.2090374050191492</c:v>
                </c:pt>
                <c:pt idx="5">
                  <c:v>9.2099503483122174</c:v>
                </c:pt>
                <c:pt idx="6">
                  <c:v>8.3061372207901076</c:v>
                </c:pt>
              </c:numCache>
            </c:numRef>
          </c:val>
          <c:smooth val="0"/>
          <c:extLst>
            <c:ext xmlns:c16="http://schemas.microsoft.com/office/drawing/2014/chart" uri="{C3380CC4-5D6E-409C-BE32-E72D297353CC}">
              <c16:uniqueId val="{00000008-5029-4671-9454-7C1EA82A4C6D}"/>
            </c:ext>
          </c:extLst>
        </c:ser>
        <c:ser>
          <c:idx val="3"/>
          <c:order val="3"/>
          <c:tx>
            <c:strRef>
              <c:f>List7!$A$5</c:f>
              <c:strCache>
                <c:ptCount val="1"/>
                <c:pt idx="0">
                  <c:v>Sokolov</c:v>
                </c:pt>
              </c:strCache>
            </c:strRef>
          </c:tx>
          <c:spPr>
            <a:ln w="28575" cap="rnd">
              <a:solidFill>
                <a:schemeClr val="accent4">
                  <a:lumMod val="60000"/>
                  <a:lumOff val="40000"/>
                </a:schemeClr>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29-4671-9454-7C1EA82A4C6D}"/>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29-4671-9454-7C1EA82A4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List7!$B$1:$H$1</c:f>
              <c:numCache>
                <c:formatCode>General</c:formatCode>
                <c:ptCount val="7"/>
                <c:pt idx="0">
                  <c:v>2008</c:v>
                </c:pt>
                <c:pt idx="1">
                  <c:v>2009</c:v>
                </c:pt>
                <c:pt idx="2">
                  <c:v>2010</c:v>
                </c:pt>
                <c:pt idx="3">
                  <c:v>2011</c:v>
                </c:pt>
                <c:pt idx="4">
                  <c:v>2012</c:v>
                </c:pt>
                <c:pt idx="5">
                  <c:v>2013</c:v>
                </c:pt>
                <c:pt idx="6">
                  <c:v>2014</c:v>
                </c:pt>
              </c:numCache>
            </c:numRef>
          </c:cat>
          <c:val>
            <c:numRef>
              <c:f>List7!$B$5:$H$5</c:f>
              <c:numCache>
                <c:formatCode>0.0</c:formatCode>
                <c:ptCount val="7"/>
                <c:pt idx="0">
                  <c:v>8.7100000000000009</c:v>
                </c:pt>
                <c:pt idx="1">
                  <c:v>13.260446432269065</c:v>
                </c:pt>
                <c:pt idx="2">
                  <c:v>14.120631942519669</c:v>
                </c:pt>
                <c:pt idx="3">
                  <c:v>12.29</c:v>
                </c:pt>
                <c:pt idx="4">
                  <c:v>10.095128368805369</c:v>
                </c:pt>
                <c:pt idx="5">
                  <c:v>11.130079614531645</c:v>
                </c:pt>
                <c:pt idx="6">
                  <c:v>9.8916230620939913</c:v>
                </c:pt>
              </c:numCache>
            </c:numRef>
          </c:val>
          <c:smooth val="0"/>
          <c:extLst>
            <c:ext xmlns:c16="http://schemas.microsoft.com/office/drawing/2014/chart" uri="{C3380CC4-5D6E-409C-BE32-E72D297353CC}">
              <c16:uniqueId val="{0000000B-5029-4671-9454-7C1EA82A4C6D}"/>
            </c:ext>
          </c:extLst>
        </c:ser>
        <c:ser>
          <c:idx val="4"/>
          <c:order val="4"/>
          <c:tx>
            <c:strRef>
              <c:f>List7!$A$6</c:f>
              <c:strCache>
                <c:ptCount val="1"/>
                <c:pt idx="0">
                  <c:v>ČR</c:v>
                </c:pt>
              </c:strCache>
            </c:strRef>
          </c:tx>
          <c:spPr>
            <a:ln w="28575" cap="rnd">
              <a:solidFill>
                <a:srgbClr val="C00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29-4671-9454-7C1EA82A4C6D}"/>
                </c:ext>
              </c:extLst>
            </c:dLbl>
            <c:dLbl>
              <c:idx val="6"/>
              <c:layout>
                <c:manualLayout>
                  <c:x val="-5.9612518628913728E-3"/>
                  <c:y val="2.1730697262054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29-4671-9454-7C1EA82A4C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List7!$B$1:$H$1</c:f>
              <c:numCache>
                <c:formatCode>General</c:formatCode>
                <c:ptCount val="7"/>
                <c:pt idx="0">
                  <c:v>2008</c:v>
                </c:pt>
                <c:pt idx="1">
                  <c:v>2009</c:v>
                </c:pt>
                <c:pt idx="2">
                  <c:v>2010</c:v>
                </c:pt>
                <c:pt idx="3">
                  <c:v>2011</c:v>
                </c:pt>
                <c:pt idx="4">
                  <c:v>2012</c:v>
                </c:pt>
                <c:pt idx="5">
                  <c:v>2013</c:v>
                </c:pt>
                <c:pt idx="6">
                  <c:v>2014</c:v>
                </c:pt>
              </c:numCache>
            </c:numRef>
          </c:cat>
          <c:val>
            <c:numRef>
              <c:f>List7!$B$6:$H$6</c:f>
              <c:numCache>
                <c:formatCode>0.0</c:formatCode>
                <c:ptCount val="7"/>
                <c:pt idx="0">
                  <c:v>4.51</c:v>
                </c:pt>
                <c:pt idx="1">
                  <c:v>7.1199999999999966</c:v>
                </c:pt>
                <c:pt idx="2">
                  <c:v>7.4</c:v>
                </c:pt>
                <c:pt idx="3">
                  <c:v>6.7700000000000014</c:v>
                </c:pt>
                <c:pt idx="4">
                  <c:v>7.37</c:v>
                </c:pt>
                <c:pt idx="5">
                  <c:v>8.17</c:v>
                </c:pt>
                <c:pt idx="6">
                  <c:v>7.46</c:v>
                </c:pt>
              </c:numCache>
            </c:numRef>
          </c:val>
          <c:smooth val="0"/>
          <c:extLst>
            <c:ext xmlns:c16="http://schemas.microsoft.com/office/drawing/2014/chart" uri="{C3380CC4-5D6E-409C-BE32-E72D297353CC}">
              <c16:uniqueId val="{0000000E-5029-4671-9454-7C1EA82A4C6D}"/>
            </c:ext>
          </c:extLst>
        </c:ser>
        <c:dLbls>
          <c:showLegendKey val="0"/>
          <c:showVal val="0"/>
          <c:showCatName val="0"/>
          <c:showSerName val="0"/>
          <c:showPercent val="0"/>
          <c:showBubbleSize val="0"/>
        </c:dLbls>
        <c:smooth val="0"/>
        <c:axId val="34283904"/>
        <c:axId val="34285440"/>
      </c:lineChart>
      <c:catAx>
        <c:axId val="342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285440"/>
        <c:crosses val="autoZero"/>
        <c:auto val="1"/>
        <c:lblAlgn val="ctr"/>
        <c:lblOffset val="100"/>
        <c:noMultiLvlLbl val="0"/>
      </c:catAx>
      <c:valAx>
        <c:axId val="34285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28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List4!$A$24</c:f>
              <c:strCache>
                <c:ptCount val="1"/>
                <c:pt idx="0">
                  <c:v>do 3 měsíců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List4!$B$22:$K$23</c:f>
              <c:multiLvlStrCache>
                <c:ptCount val="10"/>
                <c:lvl>
                  <c:pt idx="0">
                    <c:v>2011</c:v>
                  </c:pt>
                  <c:pt idx="1">
                    <c:v>2012</c:v>
                  </c:pt>
                  <c:pt idx="2">
                    <c:v>2013</c:v>
                  </c:pt>
                  <c:pt idx="3">
                    <c:v>2014</c:v>
                  </c:pt>
                  <c:pt idx="4">
                    <c:v>2015</c:v>
                  </c:pt>
                  <c:pt idx="5">
                    <c:v>2011</c:v>
                  </c:pt>
                  <c:pt idx="6">
                    <c:v>2012</c:v>
                  </c:pt>
                  <c:pt idx="7">
                    <c:v>2013</c:v>
                  </c:pt>
                  <c:pt idx="8">
                    <c:v>2014</c:v>
                  </c:pt>
                  <c:pt idx="9">
                    <c:v>2015</c:v>
                  </c:pt>
                </c:lvl>
                <c:lvl>
                  <c:pt idx="0">
                    <c:v>Karlovarský kraj</c:v>
                  </c:pt>
                  <c:pt idx="5">
                    <c:v>ČR</c:v>
                  </c:pt>
                </c:lvl>
              </c:multiLvlStrCache>
            </c:multiLvlStrRef>
          </c:cat>
          <c:val>
            <c:numRef>
              <c:f>List4!$B$24:$K$24</c:f>
              <c:numCache>
                <c:formatCode>#,##0.0</c:formatCode>
                <c:ptCount val="10"/>
                <c:pt idx="0">
                  <c:v>15.226366897876375</c:v>
                </c:pt>
                <c:pt idx="1">
                  <c:v>17.672189877544689</c:v>
                </c:pt>
                <c:pt idx="2">
                  <c:v>14.977999907141376</c:v>
                </c:pt>
                <c:pt idx="3">
                  <c:v>12.161736141553723</c:v>
                </c:pt>
                <c:pt idx="4">
                  <c:v>17.873770592379021</c:v>
                </c:pt>
                <c:pt idx="5">
                  <c:v>19.887642136641599</c:v>
                </c:pt>
                <c:pt idx="6">
                  <c:v>19.085256686174215</c:v>
                </c:pt>
                <c:pt idx="7">
                  <c:v>18.129565555629544</c:v>
                </c:pt>
                <c:pt idx="8">
                  <c:v>20.157153057908598</c:v>
                </c:pt>
                <c:pt idx="9">
                  <c:v>18.046627829934174</c:v>
                </c:pt>
              </c:numCache>
            </c:numRef>
          </c:val>
          <c:extLst>
            <c:ext xmlns:c16="http://schemas.microsoft.com/office/drawing/2014/chart" uri="{C3380CC4-5D6E-409C-BE32-E72D297353CC}">
              <c16:uniqueId val="{00000000-3C93-4F8B-9264-F027FCBE219C}"/>
            </c:ext>
          </c:extLst>
        </c:ser>
        <c:ser>
          <c:idx val="1"/>
          <c:order val="1"/>
          <c:tx>
            <c:strRef>
              <c:f>List4!$A$25</c:f>
              <c:strCache>
                <c:ptCount val="1"/>
                <c:pt idx="0">
                  <c:v>3 až 6 měsíců</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List4!$B$22:$K$23</c:f>
              <c:multiLvlStrCache>
                <c:ptCount val="10"/>
                <c:lvl>
                  <c:pt idx="0">
                    <c:v>2011</c:v>
                  </c:pt>
                  <c:pt idx="1">
                    <c:v>2012</c:v>
                  </c:pt>
                  <c:pt idx="2">
                    <c:v>2013</c:v>
                  </c:pt>
                  <c:pt idx="3">
                    <c:v>2014</c:v>
                  </c:pt>
                  <c:pt idx="4">
                    <c:v>2015</c:v>
                  </c:pt>
                  <c:pt idx="5">
                    <c:v>2011</c:v>
                  </c:pt>
                  <c:pt idx="6">
                    <c:v>2012</c:v>
                  </c:pt>
                  <c:pt idx="7">
                    <c:v>2013</c:v>
                  </c:pt>
                  <c:pt idx="8">
                    <c:v>2014</c:v>
                  </c:pt>
                  <c:pt idx="9">
                    <c:v>2015</c:v>
                  </c:pt>
                </c:lvl>
                <c:lvl>
                  <c:pt idx="0">
                    <c:v>Karlovarský kraj</c:v>
                  </c:pt>
                  <c:pt idx="5">
                    <c:v>ČR</c:v>
                  </c:pt>
                </c:lvl>
              </c:multiLvlStrCache>
            </c:multiLvlStrRef>
          </c:cat>
          <c:val>
            <c:numRef>
              <c:f>List4!$B$25:$K$25</c:f>
              <c:numCache>
                <c:formatCode>#,##0.0</c:formatCode>
                <c:ptCount val="10"/>
                <c:pt idx="0">
                  <c:v>11.626260112752313</c:v>
                </c:pt>
                <c:pt idx="1">
                  <c:v>11.769017886107974</c:v>
                </c:pt>
                <c:pt idx="2">
                  <c:v>12.441893296401934</c:v>
                </c:pt>
                <c:pt idx="3">
                  <c:v>14.171125411994968</c:v>
                </c:pt>
                <c:pt idx="4">
                  <c:v>10.198311185594742</c:v>
                </c:pt>
                <c:pt idx="5">
                  <c:v>16.12025237709743</c:v>
                </c:pt>
                <c:pt idx="6">
                  <c:v>15.790198865742358</c:v>
                </c:pt>
                <c:pt idx="7">
                  <c:v>15.332041906289756</c:v>
                </c:pt>
                <c:pt idx="8">
                  <c:v>14.808171831412448</c:v>
                </c:pt>
                <c:pt idx="9">
                  <c:v>14.004842746287515</c:v>
                </c:pt>
              </c:numCache>
            </c:numRef>
          </c:val>
          <c:extLst>
            <c:ext xmlns:c16="http://schemas.microsoft.com/office/drawing/2014/chart" uri="{C3380CC4-5D6E-409C-BE32-E72D297353CC}">
              <c16:uniqueId val="{00000001-3C93-4F8B-9264-F027FCBE219C}"/>
            </c:ext>
          </c:extLst>
        </c:ser>
        <c:ser>
          <c:idx val="2"/>
          <c:order val="2"/>
          <c:tx>
            <c:strRef>
              <c:f>List4!$A$26</c:f>
              <c:strCache>
                <c:ptCount val="1"/>
                <c:pt idx="0">
                  <c:v>6 měsíců až 1 rok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List4!$B$22:$K$23</c:f>
              <c:multiLvlStrCache>
                <c:ptCount val="10"/>
                <c:lvl>
                  <c:pt idx="0">
                    <c:v>2011</c:v>
                  </c:pt>
                  <c:pt idx="1">
                    <c:v>2012</c:v>
                  </c:pt>
                  <c:pt idx="2">
                    <c:v>2013</c:v>
                  </c:pt>
                  <c:pt idx="3">
                    <c:v>2014</c:v>
                  </c:pt>
                  <c:pt idx="4">
                    <c:v>2015</c:v>
                  </c:pt>
                  <c:pt idx="5">
                    <c:v>2011</c:v>
                  </c:pt>
                  <c:pt idx="6">
                    <c:v>2012</c:v>
                  </c:pt>
                  <c:pt idx="7">
                    <c:v>2013</c:v>
                  </c:pt>
                  <c:pt idx="8">
                    <c:v>2014</c:v>
                  </c:pt>
                  <c:pt idx="9">
                    <c:v>2015</c:v>
                  </c:pt>
                </c:lvl>
                <c:lvl>
                  <c:pt idx="0">
                    <c:v>Karlovarský kraj</c:v>
                  </c:pt>
                  <c:pt idx="5">
                    <c:v>ČR</c:v>
                  </c:pt>
                </c:lvl>
              </c:multiLvlStrCache>
            </c:multiLvlStrRef>
          </c:cat>
          <c:val>
            <c:numRef>
              <c:f>List4!$B$26:$K$26</c:f>
              <c:numCache>
                <c:formatCode>#,##0.0</c:formatCode>
                <c:ptCount val="10"/>
                <c:pt idx="0">
                  <c:v>18.766233124346716</c:v>
                </c:pt>
                <c:pt idx="1">
                  <c:v>18.201374071559929</c:v>
                </c:pt>
                <c:pt idx="2">
                  <c:v>17.889642031243607</c:v>
                </c:pt>
                <c:pt idx="3">
                  <c:v>15.995052258998246</c:v>
                </c:pt>
                <c:pt idx="4">
                  <c:v>15.50201019030937</c:v>
                </c:pt>
                <c:pt idx="5">
                  <c:v>21.670799262884728</c:v>
                </c:pt>
                <c:pt idx="6">
                  <c:v>19.792410654534951</c:v>
                </c:pt>
                <c:pt idx="7">
                  <c:v>20.766556858516427</c:v>
                </c:pt>
                <c:pt idx="8">
                  <c:v>19.452084001460872</c:v>
                </c:pt>
                <c:pt idx="9">
                  <c:v>18.182530286002965</c:v>
                </c:pt>
              </c:numCache>
            </c:numRef>
          </c:val>
          <c:extLst>
            <c:ext xmlns:c16="http://schemas.microsoft.com/office/drawing/2014/chart" uri="{C3380CC4-5D6E-409C-BE32-E72D297353CC}">
              <c16:uniqueId val="{00000002-3C93-4F8B-9264-F027FCBE219C}"/>
            </c:ext>
          </c:extLst>
        </c:ser>
        <c:ser>
          <c:idx val="3"/>
          <c:order val="3"/>
          <c:tx>
            <c:strRef>
              <c:f>List4!$A$27</c:f>
              <c:strCache>
                <c:ptCount val="1"/>
                <c:pt idx="0">
                  <c:v>1 rok až 2 roky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List4!$B$22:$K$23</c:f>
              <c:multiLvlStrCache>
                <c:ptCount val="10"/>
                <c:lvl>
                  <c:pt idx="0">
                    <c:v>2011</c:v>
                  </c:pt>
                  <c:pt idx="1">
                    <c:v>2012</c:v>
                  </c:pt>
                  <c:pt idx="2">
                    <c:v>2013</c:v>
                  </c:pt>
                  <c:pt idx="3">
                    <c:v>2014</c:v>
                  </c:pt>
                  <c:pt idx="4">
                    <c:v>2015</c:v>
                  </c:pt>
                  <c:pt idx="5">
                    <c:v>2011</c:v>
                  </c:pt>
                  <c:pt idx="6">
                    <c:v>2012</c:v>
                  </c:pt>
                  <c:pt idx="7">
                    <c:v>2013</c:v>
                  </c:pt>
                  <c:pt idx="8">
                    <c:v>2014</c:v>
                  </c:pt>
                  <c:pt idx="9">
                    <c:v>2015</c:v>
                  </c:pt>
                </c:lvl>
                <c:lvl>
                  <c:pt idx="0">
                    <c:v>Karlovarský kraj</c:v>
                  </c:pt>
                  <c:pt idx="5">
                    <c:v>ČR</c:v>
                  </c:pt>
                </c:lvl>
              </c:multiLvlStrCache>
            </c:multiLvlStrRef>
          </c:cat>
          <c:val>
            <c:numRef>
              <c:f>List4!$B$27:$K$27</c:f>
              <c:numCache>
                <c:formatCode>#,##0.0</c:formatCode>
                <c:ptCount val="10"/>
                <c:pt idx="0">
                  <c:v>25.162510445462914</c:v>
                </c:pt>
                <c:pt idx="1">
                  <c:v>19.752659254691835</c:v>
                </c:pt>
                <c:pt idx="2">
                  <c:v>17.772424801655273</c:v>
                </c:pt>
                <c:pt idx="3">
                  <c:v>17.80725194195999</c:v>
                </c:pt>
                <c:pt idx="4">
                  <c:v>19.244973218317785</c:v>
                </c:pt>
                <c:pt idx="5">
                  <c:v>21.358534584991077</c:v>
                </c:pt>
                <c:pt idx="6">
                  <c:v>19.731504819024771</c:v>
                </c:pt>
                <c:pt idx="7">
                  <c:v>20.668856046262892</c:v>
                </c:pt>
                <c:pt idx="8">
                  <c:v>19.439662948925303</c:v>
                </c:pt>
                <c:pt idx="9">
                  <c:v>19.976739173241796</c:v>
                </c:pt>
              </c:numCache>
            </c:numRef>
          </c:val>
          <c:extLst>
            <c:ext xmlns:c16="http://schemas.microsoft.com/office/drawing/2014/chart" uri="{C3380CC4-5D6E-409C-BE32-E72D297353CC}">
              <c16:uniqueId val="{00000003-3C93-4F8B-9264-F027FCBE219C}"/>
            </c:ext>
          </c:extLst>
        </c:ser>
        <c:ser>
          <c:idx val="4"/>
          <c:order val="4"/>
          <c:tx>
            <c:strRef>
              <c:f>List4!$A$28</c:f>
              <c:strCache>
                <c:ptCount val="1"/>
                <c:pt idx="0">
                  <c:v>více než 2 roky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List4!$B$22:$K$23</c:f>
              <c:multiLvlStrCache>
                <c:ptCount val="10"/>
                <c:lvl>
                  <c:pt idx="0">
                    <c:v>2011</c:v>
                  </c:pt>
                  <c:pt idx="1">
                    <c:v>2012</c:v>
                  </c:pt>
                  <c:pt idx="2">
                    <c:v>2013</c:v>
                  </c:pt>
                  <c:pt idx="3">
                    <c:v>2014</c:v>
                  </c:pt>
                  <c:pt idx="4">
                    <c:v>2015</c:v>
                  </c:pt>
                  <c:pt idx="5">
                    <c:v>2011</c:v>
                  </c:pt>
                  <c:pt idx="6">
                    <c:v>2012</c:v>
                  </c:pt>
                  <c:pt idx="7">
                    <c:v>2013</c:v>
                  </c:pt>
                  <c:pt idx="8">
                    <c:v>2014</c:v>
                  </c:pt>
                  <c:pt idx="9">
                    <c:v>2015</c:v>
                  </c:pt>
                </c:lvl>
                <c:lvl>
                  <c:pt idx="0">
                    <c:v>Karlovarský kraj</c:v>
                  </c:pt>
                  <c:pt idx="5">
                    <c:v>ČR</c:v>
                  </c:pt>
                </c:lvl>
              </c:multiLvlStrCache>
            </c:multiLvlStrRef>
          </c:cat>
          <c:val>
            <c:numRef>
              <c:f>List4!$B$28:$K$28</c:f>
              <c:numCache>
                <c:formatCode>#,##0.0</c:formatCode>
                <c:ptCount val="10"/>
                <c:pt idx="0">
                  <c:v>29.218629419562529</c:v>
                </c:pt>
                <c:pt idx="1">
                  <c:v>32.60475891009628</c:v>
                </c:pt>
                <c:pt idx="2">
                  <c:v>36.9180399635584</c:v>
                </c:pt>
                <c:pt idx="3">
                  <c:v>39.864834245494045</c:v>
                </c:pt>
                <c:pt idx="4">
                  <c:v>37.180934813400206</c:v>
                </c:pt>
                <c:pt idx="5">
                  <c:v>20.919739621176191</c:v>
                </c:pt>
                <c:pt idx="6">
                  <c:v>25.586696804564813</c:v>
                </c:pt>
                <c:pt idx="7">
                  <c:v>25.102979633301427</c:v>
                </c:pt>
                <c:pt idx="8">
                  <c:v>26.142928160292872</c:v>
                </c:pt>
                <c:pt idx="9">
                  <c:v>29.789259964533265</c:v>
                </c:pt>
              </c:numCache>
            </c:numRef>
          </c:val>
          <c:extLst>
            <c:ext xmlns:c16="http://schemas.microsoft.com/office/drawing/2014/chart" uri="{C3380CC4-5D6E-409C-BE32-E72D297353CC}">
              <c16:uniqueId val="{00000004-3C93-4F8B-9264-F027FCBE219C}"/>
            </c:ext>
          </c:extLst>
        </c:ser>
        <c:dLbls>
          <c:showLegendKey val="0"/>
          <c:showVal val="0"/>
          <c:showCatName val="0"/>
          <c:showSerName val="0"/>
          <c:showPercent val="0"/>
          <c:showBubbleSize val="0"/>
        </c:dLbls>
        <c:gapWidth val="150"/>
        <c:overlap val="100"/>
        <c:axId val="34355456"/>
        <c:axId val="34369536"/>
      </c:barChart>
      <c:catAx>
        <c:axId val="343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369536"/>
        <c:crosses val="autoZero"/>
        <c:auto val="1"/>
        <c:lblAlgn val="ctr"/>
        <c:lblOffset val="100"/>
        <c:noMultiLvlLbl val="0"/>
      </c:catAx>
      <c:valAx>
        <c:axId val="3436953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355456"/>
        <c:crosses val="autoZero"/>
        <c:crossBetween val="between"/>
      </c:valAx>
      <c:spPr>
        <a:noFill/>
        <a:ln>
          <a:noFill/>
        </a:ln>
        <a:effectLst/>
      </c:spPr>
    </c:plotArea>
    <c:legend>
      <c:legendPos val="r"/>
      <c:layout>
        <c:manualLayout>
          <c:xMode val="edge"/>
          <c:yMode val="edge"/>
          <c:x val="0.82106511206976063"/>
          <c:y val="3.7563368834576415E-2"/>
          <c:w val="0.15114958225569394"/>
          <c:h val="0.83313718354812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List3!$A$2</c:f>
              <c:strCache>
                <c:ptCount val="1"/>
                <c:pt idx="0">
                  <c:v>Aš</c:v>
                </c:pt>
              </c:strCache>
            </c:strRef>
          </c:tx>
          <c:spPr>
            <a:solidFill>
              <a:schemeClr val="accent1"/>
            </a:solidFill>
            <a:ln>
              <a:noFill/>
            </a:ln>
            <a:effectLst/>
          </c:spPr>
          <c:invertIfNegative val="0"/>
          <c:cat>
            <c:numRef>
              <c:f>List3!$B$1:$P$1</c:f>
              <c:numCache>
                <c:formatCode>General</c:formatCode>
                <c:ptCount val="7"/>
                <c:pt idx="0">
                  <c:v>2005</c:v>
                </c:pt>
                <c:pt idx="1">
                  <c:v>2007</c:v>
                </c:pt>
                <c:pt idx="2">
                  <c:v>2009</c:v>
                </c:pt>
                <c:pt idx="3">
                  <c:v>2010</c:v>
                </c:pt>
                <c:pt idx="4">
                  <c:v>2011</c:v>
                </c:pt>
                <c:pt idx="5">
                  <c:v>2013</c:v>
                </c:pt>
                <c:pt idx="6">
                  <c:v>2015</c:v>
                </c:pt>
              </c:numCache>
            </c:numRef>
          </c:cat>
          <c:val>
            <c:numRef>
              <c:f>List3!$B$2:$P$2</c:f>
              <c:numCache>
                <c:formatCode>#\ ##0.0_ ;\-#\ ##0.0\ </c:formatCode>
                <c:ptCount val="7"/>
                <c:pt idx="0">
                  <c:v>3.2947368421052703</c:v>
                </c:pt>
                <c:pt idx="1">
                  <c:v>0.87012987012987486</c:v>
                </c:pt>
                <c:pt idx="2">
                  <c:v>27.472222222222126</c:v>
                </c:pt>
                <c:pt idx="3">
                  <c:v>14.278688524590148</c:v>
                </c:pt>
                <c:pt idx="4">
                  <c:v>6.1186440677966045</c:v>
                </c:pt>
                <c:pt idx="5">
                  <c:v>4.4944444444444454</c:v>
                </c:pt>
                <c:pt idx="6">
                  <c:v>1.6126984126984119</c:v>
                </c:pt>
              </c:numCache>
            </c:numRef>
          </c:val>
          <c:extLst>
            <c:ext xmlns:c16="http://schemas.microsoft.com/office/drawing/2014/chart" uri="{C3380CC4-5D6E-409C-BE32-E72D297353CC}">
              <c16:uniqueId val="{00000000-86B1-45E3-A942-592F879AB0A5}"/>
            </c:ext>
          </c:extLst>
        </c:ser>
        <c:ser>
          <c:idx val="1"/>
          <c:order val="1"/>
          <c:tx>
            <c:strRef>
              <c:f>List3!$A$3</c:f>
              <c:strCache>
                <c:ptCount val="1"/>
                <c:pt idx="0">
                  <c:v>Cheb</c:v>
                </c:pt>
              </c:strCache>
            </c:strRef>
          </c:tx>
          <c:spPr>
            <a:solidFill>
              <a:schemeClr val="accent2"/>
            </a:solidFill>
            <a:ln>
              <a:noFill/>
            </a:ln>
            <a:effectLst/>
          </c:spPr>
          <c:invertIfNegative val="0"/>
          <c:cat>
            <c:numRef>
              <c:f>List3!$B$1:$P$1</c:f>
              <c:numCache>
                <c:formatCode>General</c:formatCode>
                <c:ptCount val="7"/>
                <c:pt idx="0">
                  <c:v>2005</c:v>
                </c:pt>
                <c:pt idx="1">
                  <c:v>2007</c:v>
                </c:pt>
                <c:pt idx="2">
                  <c:v>2009</c:v>
                </c:pt>
                <c:pt idx="3">
                  <c:v>2010</c:v>
                </c:pt>
                <c:pt idx="4">
                  <c:v>2011</c:v>
                </c:pt>
                <c:pt idx="5">
                  <c:v>2013</c:v>
                </c:pt>
                <c:pt idx="6">
                  <c:v>2015</c:v>
                </c:pt>
              </c:numCache>
            </c:numRef>
          </c:cat>
          <c:val>
            <c:numRef>
              <c:f>List3!$B$3:$P$3</c:f>
              <c:numCache>
                <c:formatCode>#\ ##0.0_ ;\-#\ ##0.0\ </c:formatCode>
                <c:ptCount val="7"/>
                <c:pt idx="0">
                  <c:v>16.52</c:v>
                </c:pt>
                <c:pt idx="1">
                  <c:v>4.0055045871559365</c:v>
                </c:pt>
                <c:pt idx="2">
                  <c:v>20.949685534591108</c:v>
                </c:pt>
                <c:pt idx="3">
                  <c:v>29.44915254237279</c:v>
                </c:pt>
                <c:pt idx="4">
                  <c:v>13.852040816326591</c:v>
                </c:pt>
                <c:pt idx="5">
                  <c:v>7.3823529411764675</c:v>
                </c:pt>
                <c:pt idx="6">
                  <c:v>2.9856957087126212</c:v>
                </c:pt>
              </c:numCache>
            </c:numRef>
          </c:val>
          <c:extLst>
            <c:ext xmlns:c16="http://schemas.microsoft.com/office/drawing/2014/chart" uri="{C3380CC4-5D6E-409C-BE32-E72D297353CC}">
              <c16:uniqueId val="{00000001-86B1-45E3-A942-592F879AB0A5}"/>
            </c:ext>
          </c:extLst>
        </c:ser>
        <c:ser>
          <c:idx val="2"/>
          <c:order val="2"/>
          <c:tx>
            <c:strRef>
              <c:f>List3!$A$4</c:f>
              <c:strCache>
                <c:ptCount val="1"/>
                <c:pt idx="0">
                  <c:v>Karlovy Vary</c:v>
                </c:pt>
              </c:strCache>
            </c:strRef>
          </c:tx>
          <c:spPr>
            <a:solidFill>
              <a:schemeClr val="accent3"/>
            </a:solidFill>
            <a:ln>
              <a:noFill/>
            </a:ln>
            <a:effectLst/>
          </c:spPr>
          <c:invertIfNegative val="0"/>
          <c:cat>
            <c:numRef>
              <c:f>List3!$B$1:$P$1</c:f>
              <c:numCache>
                <c:formatCode>General</c:formatCode>
                <c:ptCount val="7"/>
                <c:pt idx="0">
                  <c:v>2005</c:v>
                </c:pt>
                <c:pt idx="1">
                  <c:v>2007</c:v>
                </c:pt>
                <c:pt idx="2">
                  <c:v>2009</c:v>
                </c:pt>
                <c:pt idx="3">
                  <c:v>2010</c:v>
                </c:pt>
                <c:pt idx="4">
                  <c:v>2011</c:v>
                </c:pt>
                <c:pt idx="5">
                  <c:v>2013</c:v>
                </c:pt>
                <c:pt idx="6">
                  <c:v>2015</c:v>
                </c:pt>
              </c:numCache>
            </c:numRef>
          </c:cat>
          <c:val>
            <c:numRef>
              <c:f>List3!$B$4:$P$4</c:f>
              <c:numCache>
                <c:formatCode>#\ ##0.0_ ;\-#\ ##0.0\ </c:formatCode>
                <c:ptCount val="7"/>
                <c:pt idx="0">
                  <c:v>15.432024169184302</c:v>
                </c:pt>
                <c:pt idx="1">
                  <c:v>3.7919191919191921</c:v>
                </c:pt>
                <c:pt idx="2">
                  <c:v>19.677777777777777</c:v>
                </c:pt>
                <c:pt idx="3">
                  <c:v>24.540178571428573</c:v>
                </c:pt>
                <c:pt idx="4">
                  <c:v>12.081885856079404</c:v>
                </c:pt>
                <c:pt idx="5">
                  <c:v>18.816949152542374</c:v>
                </c:pt>
                <c:pt idx="6">
                  <c:v>3.8010610079575602</c:v>
                </c:pt>
              </c:numCache>
            </c:numRef>
          </c:val>
          <c:extLst>
            <c:ext xmlns:c16="http://schemas.microsoft.com/office/drawing/2014/chart" uri="{C3380CC4-5D6E-409C-BE32-E72D297353CC}">
              <c16:uniqueId val="{00000002-86B1-45E3-A942-592F879AB0A5}"/>
            </c:ext>
          </c:extLst>
        </c:ser>
        <c:ser>
          <c:idx val="3"/>
          <c:order val="3"/>
          <c:tx>
            <c:strRef>
              <c:f>List3!$A$5</c:f>
              <c:strCache>
                <c:ptCount val="1"/>
                <c:pt idx="0">
                  <c:v>Kraslice</c:v>
                </c:pt>
              </c:strCache>
            </c:strRef>
          </c:tx>
          <c:spPr>
            <a:solidFill>
              <a:schemeClr val="accent4"/>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B1-45E3-A942-592F879AB0A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B1-45E3-A942-592F879AB0A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B1-45E3-A942-592F879AB0A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B1-45E3-A942-592F879AB0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List3!$B$1:$P$1</c:f>
              <c:numCache>
                <c:formatCode>General</c:formatCode>
                <c:ptCount val="7"/>
                <c:pt idx="0">
                  <c:v>2005</c:v>
                </c:pt>
                <c:pt idx="1">
                  <c:v>2007</c:v>
                </c:pt>
                <c:pt idx="2">
                  <c:v>2009</c:v>
                </c:pt>
                <c:pt idx="3">
                  <c:v>2010</c:v>
                </c:pt>
                <c:pt idx="4">
                  <c:v>2011</c:v>
                </c:pt>
                <c:pt idx="5">
                  <c:v>2013</c:v>
                </c:pt>
                <c:pt idx="6">
                  <c:v>2015</c:v>
                </c:pt>
              </c:numCache>
            </c:numRef>
          </c:cat>
          <c:val>
            <c:numRef>
              <c:f>List3!$B$5:$P$5</c:f>
              <c:numCache>
                <c:formatCode>#\ ##0.0_ ;\-#\ ##0.0\ </c:formatCode>
                <c:ptCount val="7"/>
                <c:pt idx="0">
                  <c:v>15.462686567164255</c:v>
                </c:pt>
                <c:pt idx="1">
                  <c:v>7.4134615384615383</c:v>
                </c:pt>
                <c:pt idx="2">
                  <c:v>88.07692307692308</c:v>
                </c:pt>
                <c:pt idx="3">
                  <c:v>208.33333333333377</c:v>
                </c:pt>
                <c:pt idx="4">
                  <c:v>64.058823529411768</c:v>
                </c:pt>
                <c:pt idx="5">
                  <c:v>13.639999999999999</c:v>
                </c:pt>
                <c:pt idx="6">
                  <c:v>9.0117647058823529</c:v>
                </c:pt>
              </c:numCache>
            </c:numRef>
          </c:val>
          <c:extLst>
            <c:ext xmlns:c16="http://schemas.microsoft.com/office/drawing/2014/chart" uri="{C3380CC4-5D6E-409C-BE32-E72D297353CC}">
              <c16:uniqueId val="{00000007-86B1-45E3-A942-592F879AB0A5}"/>
            </c:ext>
          </c:extLst>
        </c:ser>
        <c:ser>
          <c:idx val="4"/>
          <c:order val="4"/>
          <c:tx>
            <c:strRef>
              <c:f>List3!$A$6</c:f>
              <c:strCache>
                <c:ptCount val="1"/>
                <c:pt idx="0">
                  <c:v>Mariánské Lázně</c:v>
                </c:pt>
              </c:strCache>
            </c:strRef>
          </c:tx>
          <c:spPr>
            <a:solidFill>
              <a:schemeClr val="accent5"/>
            </a:solidFill>
            <a:ln>
              <a:noFill/>
            </a:ln>
            <a:effectLst/>
          </c:spPr>
          <c:invertIfNegative val="0"/>
          <c:cat>
            <c:numRef>
              <c:f>List3!$B$1:$P$1</c:f>
              <c:numCache>
                <c:formatCode>General</c:formatCode>
                <c:ptCount val="7"/>
                <c:pt idx="0">
                  <c:v>2005</c:v>
                </c:pt>
                <c:pt idx="1">
                  <c:v>2007</c:v>
                </c:pt>
                <c:pt idx="2">
                  <c:v>2009</c:v>
                </c:pt>
                <c:pt idx="3">
                  <c:v>2010</c:v>
                </c:pt>
                <c:pt idx="4">
                  <c:v>2011</c:v>
                </c:pt>
                <c:pt idx="5">
                  <c:v>2013</c:v>
                </c:pt>
                <c:pt idx="6">
                  <c:v>2015</c:v>
                </c:pt>
              </c:numCache>
            </c:numRef>
          </c:cat>
          <c:val>
            <c:numRef>
              <c:f>List3!$B$6:$P$6</c:f>
              <c:numCache>
                <c:formatCode>#\ ##0.0_ ;\-#\ ##0.0\ </c:formatCode>
                <c:ptCount val="7"/>
                <c:pt idx="0">
                  <c:v>19.277777777777779</c:v>
                </c:pt>
                <c:pt idx="1">
                  <c:v>3.9306358381502822</c:v>
                </c:pt>
                <c:pt idx="2">
                  <c:v>20.140350877192983</c:v>
                </c:pt>
                <c:pt idx="3">
                  <c:v>31.487179487179482</c:v>
                </c:pt>
                <c:pt idx="4">
                  <c:v>16.242424242424136</c:v>
                </c:pt>
                <c:pt idx="5">
                  <c:v>6.1387283236994223</c:v>
                </c:pt>
                <c:pt idx="6">
                  <c:v>2.368932038834958</c:v>
                </c:pt>
              </c:numCache>
            </c:numRef>
          </c:val>
          <c:extLst>
            <c:ext xmlns:c16="http://schemas.microsoft.com/office/drawing/2014/chart" uri="{C3380CC4-5D6E-409C-BE32-E72D297353CC}">
              <c16:uniqueId val="{00000008-86B1-45E3-A942-592F879AB0A5}"/>
            </c:ext>
          </c:extLst>
        </c:ser>
        <c:ser>
          <c:idx val="5"/>
          <c:order val="5"/>
          <c:tx>
            <c:strRef>
              <c:f>List3!$A$7</c:f>
              <c:strCache>
                <c:ptCount val="1"/>
                <c:pt idx="0">
                  <c:v>Ostrov</c:v>
                </c:pt>
              </c:strCache>
            </c:strRef>
          </c:tx>
          <c:spPr>
            <a:solidFill>
              <a:schemeClr val="accent6"/>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B1-45E3-A942-592F879AB0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List3!$B$1:$P$1</c:f>
              <c:numCache>
                <c:formatCode>General</c:formatCode>
                <c:ptCount val="7"/>
                <c:pt idx="0">
                  <c:v>2005</c:v>
                </c:pt>
                <c:pt idx="1">
                  <c:v>2007</c:v>
                </c:pt>
                <c:pt idx="2">
                  <c:v>2009</c:v>
                </c:pt>
                <c:pt idx="3">
                  <c:v>2010</c:v>
                </c:pt>
                <c:pt idx="4">
                  <c:v>2011</c:v>
                </c:pt>
                <c:pt idx="5">
                  <c:v>2013</c:v>
                </c:pt>
                <c:pt idx="6">
                  <c:v>2015</c:v>
                </c:pt>
              </c:numCache>
            </c:numRef>
          </c:cat>
          <c:val>
            <c:numRef>
              <c:f>List3!$B$7:$P$7</c:f>
              <c:numCache>
                <c:formatCode>#\ ##0.0_ ;\-#\ ##0.0\ </c:formatCode>
                <c:ptCount val="7"/>
                <c:pt idx="0">
                  <c:v>15.058333333333334</c:v>
                </c:pt>
                <c:pt idx="1">
                  <c:v>6.5829383886255846</c:v>
                </c:pt>
                <c:pt idx="2">
                  <c:v>27.013157894736842</c:v>
                </c:pt>
                <c:pt idx="3">
                  <c:v>28.297297297297288</c:v>
                </c:pt>
                <c:pt idx="4">
                  <c:v>18.443298969072163</c:v>
                </c:pt>
                <c:pt idx="5">
                  <c:v>53.971428571428419</c:v>
                </c:pt>
                <c:pt idx="6">
                  <c:v>6.2</c:v>
                </c:pt>
              </c:numCache>
            </c:numRef>
          </c:val>
          <c:extLst>
            <c:ext xmlns:c16="http://schemas.microsoft.com/office/drawing/2014/chart" uri="{C3380CC4-5D6E-409C-BE32-E72D297353CC}">
              <c16:uniqueId val="{0000000A-86B1-45E3-A942-592F879AB0A5}"/>
            </c:ext>
          </c:extLst>
        </c:ser>
        <c:ser>
          <c:idx val="6"/>
          <c:order val="6"/>
          <c:tx>
            <c:strRef>
              <c:f>List3!$A$8</c:f>
              <c:strCache>
                <c:ptCount val="1"/>
                <c:pt idx="0">
                  <c:v>Sokolov</c:v>
                </c:pt>
              </c:strCache>
            </c:strRef>
          </c:tx>
          <c:spPr>
            <a:solidFill>
              <a:schemeClr val="accent1">
                <a:lumMod val="6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B1-45E3-A942-592F879AB0A5}"/>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B1-45E3-A942-592F879AB0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List3!$B$1:$P$1</c:f>
              <c:numCache>
                <c:formatCode>General</c:formatCode>
                <c:ptCount val="7"/>
                <c:pt idx="0">
                  <c:v>2005</c:v>
                </c:pt>
                <c:pt idx="1">
                  <c:v>2007</c:v>
                </c:pt>
                <c:pt idx="2">
                  <c:v>2009</c:v>
                </c:pt>
                <c:pt idx="3">
                  <c:v>2010</c:v>
                </c:pt>
                <c:pt idx="4">
                  <c:v>2011</c:v>
                </c:pt>
                <c:pt idx="5">
                  <c:v>2013</c:v>
                </c:pt>
                <c:pt idx="6">
                  <c:v>2015</c:v>
                </c:pt>
              </c:numCache>
            </c:numRef>
          </c:cat>
          <c:val>
            <c:numRef>
              <c:f>List3!$B$8:$P$8</c:f>
              <c:numCache>
                <c:formatCode>#\ ##0.0_ ;\-#\ ##0.0\ </c:formatCode>
                <c:ptCount val="7"/>
                <c:pt idx="0">
                  <c:v>20.47583643122671</c:v>
                </c:pt>
                <c:pt idx="1">
                  <c:v>6.163636363636364</c:v>
                </c:pt>
                <c:pt idx="2">
                  <c:v>24.465753424657532</c:v>
                </c:pt>
                <c:pt idx="3">
                  <c:v>24.367256637168129</c:v>
                </c:pt>
                <c:pt idx="4">
                  <c:v>27.178010471204193</c:v>
                </c:pt>
                <c:pt idx="5">
                  <c:v>26.473214285714228</c:v>
                </c:pt>
                <c:pt idx="6">
                  <c:v>10.858447488584474</c:v>
                </c:pt>
              </c:numCache>
            </c:numRef>
          </c:val>
          <c:extLst>
            <c:ext xmlns:c16="http://schemas.microsoft.com/office/drawing/2014/chart" uri="{C3380CC4-5D6E-409C-BE32-E72D297353CC}">
              <c16:uniqueId val="{0000000D-86B1-45E3-A942-592F879AB0A5}"/>
            </c:ext>
          </c:extLst>
        </c:ser>
        <c:dLbls>
          <c:showLegendKey val="0"/>
          <c:showVal val="0"/>
          <c:showCatName val="0"/>
          <c:showSerName val="0"/>
          <c:showPercent val="0"/>
          <c:showBubbleSize val="0"/>
        </c:dLbls>
        <c:gapWidth val="219"/>
        <c:overlap val="-27"/>
        <c:axId val="34706560"/>
        <c:axId val="34708096"/>
      </c:barChart>
      <c:catAx>
        <c:axId val="347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08096"/>
        <c:crosses val="autoZero"/>
        <c:auto val="1"/>
        <c:lblAlgn val="ctr"/>
        <c:lblOffset val="100"/>
        <c:noMultiLvlLbl val="0"/>
      </c:catAx>
      <c:valAx>
        <c:axId val="34708096"/>
        <c:scaling>
          <c:orientation val="minMax"/>
        </c:scaling>
        <c:delete val="0"/>
        <c:axPos val="l"/>
        <c:majorGridlines>
          <c:spPr>
            <a:ln w="9525" cap="flat" cmpd="sng" algn="ctr">
              <a:solidFill>
                <a:schemeClr val="tx1">
                  <a:lumMod val="15000"/>
                  <a:lumOff val="85000"/>
                </a:schemeClr>
              </a:solidFill>
              <a:round/>
            </a:ln>
            <a:effectLst/>
          </c:spPr>
        </c:majorGridlines>
        <c:numFmt formatCode="#\ ##0.0_ ;\-#\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List3!$A$34</c:f>
              <c:strCache>
                <c:ptCount val="1"/>
                <c:pt idx="0">
                  <c:v>15  až  24  let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List3!$B$32:$G$33</c:f>
              <c:multiLvlStrCache>
                <c:ptCount val="6"/>
                <c:lvl>
                  <c:pt idx="0">
                    <c:v>2010</c:v>
                  </c:pt>
                  <c:pt idx="1">
                    <c:v>2013</c:v>
                  </c:pt>
                  <c:pt idx="2">
                    <c:v>2015</c:v>
                  </c:pt>
                  <c:pt idx="3">
                    <c:v>2010</c:v>
                  </c:pt>
                  <c:pt idx="4">
                    <c:v>2013</c:v>
                  </c:pt>
                  <c:pt idx="5">
                    <c:v>2015</c:v>
                  </c:pt>
                </c:lvl>
                <c:lvl>
                  <c:pt idx="0">
                    <c:v>ČR</c:v>
                  </c:pt>
                  <c:pt idx="3">
                    <c:v>KVK</c:v>
                  </c:pt>
                </c:lvl>
              </c:multiLvlStrCache>
            </c:multiLvlStrRef>
          </c:cat>
          <c:val>
            <c:numRef>
              <c:f>List3!$B$34:$G$34</c:f>
              <c:numCache>
                <c:formatCode>0.0</c:formatCode>
                <c:ptCount val="6"/>
                <c:pt idx="0">
                  <c:v>19.36413187500181</c:v>
                </c:pt>
                <c:pt idx="1">
                  <c:v>19.753436265846226</c:v>
                </c:pt>
                <c:pt idx="2">
                  <c:v>16.604733743680093</c:v>
                </c:pt>
                <c:pt idx="3">
                  <c:v>24.670838021607501</c:v>
                </c:pt>
                <c:pt idx="4">
                  <c:v>20.026404345880273</c:v>
                </c:pt>
                <c:pt idx="5">
                  <c:v>23.477728247958922</c:v>
                </c:pt>
              </c:numCache>
            </c:numRef>
          </c:val>
          <c:extLst>
            <c:ext xmlns:c16="http://schemas.microsoft.com/office/drawing/2014/chart" uri="{C3380CC4-5D6E-409C-BE32-E72D297353CC}">
              <c16:uniqueId val="{00000000-69D6-4A0E-8AB4-64AF937A3F09}"/>
            </c:ext>
          </c:extLst>
        </c:ser>
        <c:ser>
          <c:idx val="1"/>
          <c:order val="1"/>
          <c:tx>
            <c:strRef>
              <c:f>List3!$A$35</c:f>
              <c:strCache>
                <c:ptCount val="1"/>
                <c:pt idx="0">
                  <c:v>25  až  29  let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List3!$B$32:$G$33</c:f>
              <c:multiLvlStrCache>
                <c:ptCount val="6"/>
                <c:lvl>
                  <c:pt idx="0">
                    <c:v>2010</c:v>
                  </c:pt>
                  <c:pt idx="1">
                    <c:v>2013</c:v>
                  </c:pt>
                  <c:pt idx="2">
                    <c:v>2015</c:v>
                  </c:pt>
                  <c:pt idx="3">
                    <c:v>2010</c:v>
                  </c:pt>
                  <c:pt idx="4">
                    <c:v>2013</c:v>
                  </c:pt>
                  <c:pt idx="5">
                    <c:v>2015</c:v>
                  </c:pt>
                </c:lvl>
                <c:lvl>
                  <c:pt idx="0">
                    <c:v>ČR</c:v>
                  </c:pt>
                  <c:pt idx="3">
                    <c:v>KVK</c:v>
                  </c:pt>
                </c:lvl>
              </c:multiLvlStrCache>
            </c:multiLvlStrRef>
          </c:cat>
          <c:val>
            <c:numRef>
              <c:f>List3!$B$35:$G$35</c:f>
              <c:numCache>
                <c:formatCode>0.0</c:formatCode>
                <c:ptCount val="6"/>
                <c:pt idx="0">
                  <c:v>14.740992118143284</c:v>
                </c:pt>
                <c:pt idx="1">
                  <c:v>12.644443539957306</c:v>
                </c:pt>
                <c:pt idx="2">
                  <c:v>15.350186133108711</c:v>
                </c:pt>
                <c:pt idx="3">
                  <c:v>14.436556625024354</c:v>
                </c:pt>
                <c:pt idx="4">
                  <c:v>16.177232341647752</c:v>
                </c:pt>
                <c:pt idx="5">
                  <c:v>9.4519550256061731</c:v>
                </c:pt>
              </c:numCache>
            </c:numRef>
          </c:val>
          <c:extLst>
            <c:ext xmlns:c16="http://schemas.microsoft.com/office/drawing/2014/chart" uri="{C3380CC4-5D6E-409C-BE32-E72D297353CC}">
              <c16:uniqueId val="{00000001-69D6-4A0E-8AB4-64AF937A3F09}"/>
            </c:ext>
          </c:extLst>
        </c:ser>
        <c:ser>
          <c:idx val="2"/>
          <c:order val="2"/>
          <c:tx>
            <c:strRef>
              <c:f>List3!$A$36</c:f>
              <c:strCache>
                <c:ptCount val="1"/>
                <c:pt idx="0">
                  <c:v>30  až  34  let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List3!$B$32:$G$33</c:f>
              <c:multiLvlStrCache>
                <c:ptCount val="6"/>
                <c:lvl>
                  <c:pt idx="0">
                    <c:v>2010</c:v>
                  </c:pt>
                  <c:pt idx="1">
                    <c:v>2013</c:v>
                  </c:pt>
                  <c:pt idx="2">
                    <c:v>2015</c:v>
                  </c:pt>
                  <c:pt idx="3">
                    <c:v>2010</c:v>
                  </c:pt>
                  <c:pt idx="4">
                    <c:v>2013</c:v>
                  </c:pt>
                  <c:pt idx="5">
                    <c:v>2015</c:v>
                  </c:pt>
                </c:lvl>
                <c:lvl>
                  <c:pt idx="0">
                    <c:v>ČR</c:v>
                  </c:pt>
                  <c:pt idx="3">
                    <c:v>KVK</c:v>
                  </c:pt>
                </c:lvl>
              </c:multiLvlStrCache>
            </c:multiLvlStrRef>
          </c:cat>
          <c:val>
            <c:numRef>
              <c:f>List3!$B$36:$G$36</c:f>
              <c:numCache>
                <c:formatCode>0.0</c:formatCode>
                <c:ptCount val="6"/>
                <c:pt idx="0">
                  <c:v>11.138166883516318</c:v>
                </c:pt>
                <c:pt idx="1">
                  <c:v>11.730088589260133</c:v>
                </c:pt>
                <c:pt idx="2">
                  <c:v>14.44329262161704</c:v>
                </c:pt>
                <c:pt idx="3">
                  <c:v>13.87794560209165</c:v>
                </c:pt>
                <c:pt idx="4">
                  <c:v>9.2182115975914112</c:v>
                </c:pt>
                <c:pt idx="5">
                  <c:v>11.389834572969541</c:v>
                </c:pt>
              </c:numCache>
            </c:numRef>
          </c:val>
          <c:extLst>
            <c:ext xmlns:c16="http://schemas.microsoft.com/office/drawing/2014/chart" uri="{C3380CC4-5D6E-409C-BE32-E72D297353CC}">
              <c16:uniqueId val="{00000002-69D6-4A0E-8AB4-64AF937A3F09}"/>
            </c:ext>
          </c:extLst>
        </c:ser>
        <c:ser>
          <c:idx val="3"/>
          <c:order val="3"/>
          <c:tx>
            <c:strRef>
              <c:f>List3!$A$37</c:f>
              <c:strCache>
                <c:ptCount val="1"/>
                <c:pt idx="0">
                  <c:v>35  až  44  let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List3!$B$32:$G$33</c:f>
              <c:multiLvlStrCache>
                <c:ptCount val="6"/>
                <c:lvl>
                  <c:pt idx="0">
                    <c:v>2010</c:v>
                  </c:pt>
                  <c:pt idx="1">
                    <c:v>2013</c:v>
                  </c:pt>
                  <c:pt idx="2">
                    <c:v>2015</c:v>
                  </c:pt>
                  <c:pt idx="3">
                    <c:v>2010</c:v>
                  </c:pt>
                  <c:pt idx="4">
                    <c:v>2013</c:v>
                  </c:pt>
                  <c:pt idx="5">
                    <c:v>2015</c:v>
                  </c:pt>
                </c:lvl>
                <c:lvl>
                  <c:pt idx="0">
                    <c:v>ČR</c:v>
                  </c:pt>
                  <c:pt idx="3">
                    <c:v>KVK</c:v>
                  </c:pt>
                </c:lvl>
              </c:multiLvlStrCache>
            </c:multiLvlStrRef>
          </c:cat>
          <c:val>
            <c:numRef>
              <c:f>List3!$B$37:$G$37</c:f>
              <c:numCache>
                <c:formatCode>0.0</c:formatCode>
                <c:ptCount val="6"/>
                <c:pt idx="0">
                  <c:v>20.199228807772982</c:v>
                </c:pt>
                <c:pt idx="1">
                  <c:v>24.343625654563155</c:v>
                </c:pt>
                <c:pt idx="2">
                  <c:v>21.761509930998589</c:v>
                </c:pt>
                <c:pt idx="3">
                  <c:v>13.533186706246235</c:v>
                </c:pt>
                <c:pt idx="4">
                  <c:v>26.874124194207539</c:v>
                </c:pt>
                <c:pt idx="5">
                  <c:v>20.644102803422989</c:v>
                </c:pt>
              </c:numCache>
            </c:numRef>
          </c:val>
          <c:extLst>
            <c:ext xmlns:c16="http://schemas.microsoft.com/office/drawing/2014/chart" uri="{C3380CC4-5D6E-409C-BE32-E72D297353CC}">
              <c16:uniqueId val="{00000003-69D6-4A0E-8AB4-64AF937A3F09}"/>
            </c:ext>
          </c:extLst>
        </c:ser>
        <c:ser>
          <c:idx val="4"/>
          <c:order val="4"/>
          <c:tx>
            <c:strRef>
              <c:f>List3!$A$38</c:f>
              <c:strCache>
                <c:ptCount val="1"/>
                <c:pt idx="0">
                  <c:v>45  až  54  let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List3!$B$32:$G$33</c:f>
              <c:multiLvlStrCache>
                <c:ptCount val="6"/>
                <c:lvl>
                  <c:pt idx="0">
                    <c:v>2010</c:v>
                  </c:pt>
                  <c:pt idx="1">
                    <c:v>2013</c:v>
                  </c:pt>
                  <c:pt idx="2">
                    <c:v>2015</c:v>
                  </c:pt>
                  <c:pt idx="3">
                    <c:v>2010</c:v>
                  </c:pt>
                  <c:pt idx="4">
                    <c:v>2013</c:v>
                  </c:pt>
                  <c:pt idx="5">
                    <c:v>2015</c:v>
                  </c:pt>
                </c:lvl>
                <c:lvl>
                  <c:pt idx="0">
                    <c:v>ČR</c:v>
                  </c:pt>
                  <c:pt idx="3">
                    <c:v>KVK</c:v>
                  </c:pt>
                </c:lvl>
              </c:multiLvlStrCache>
            </c:multiLvlStrRef>
          </c:cat>
          <c:val>
            <c:numRef>
              <c:f>List3!$B$38:$G$38</c:f>
              <c:numCache>
                <c:formatCode>0.0</c:formatCode>
                <c:ptCount val="6"/>
                <c:pt idx="0">
                  <c:v>21.877269125249931</c:v>
                </c:pt>
                <c:pt idx="1">
                  <c:v>19.081058033202254</c:v>
                </c:pt>
                <c:pt idx="2">
                  <c:v>17.599557121221316</c:v>
                </c:pt>
                <c:pt idx="3">
                  <c:v>21.880091962393553</c:v>
                </c:pt>
                <c:pt idx="4">
                  <c:v>16.999225459111887</c:v>
                </c:pt>
                <c:pt idx="5">
                  <c:v>25.074579494301272</c:v>
                </c:pt>
              </c:numCache>
            </c:numRef>
          </c:val>
          <c:extLst>
            <c:ext xmlns:c16="http://schemas.microsoft.com/office/drawing/2014/chart" uri="{C3380CC4-5D6E-409C-BE32-E72D297353CC}">
              <c16:uniqueId val="{00000004-69D6-4A0E-8AB4-64AF937A3F09}"/>
            </c:ext>
          </c:extLst>
        </c:ser>
        <c:ser>
          <c:idx val="5"/>
          <c:order val="5"/>
          <c:tx>
            <c:strRef>
              <c:f>List3!$A$39</c:f>
              <c:strCache>
                <c:ptCount val="1"/>
                <c:pt idx="0">
                  <c:v>55  a  více  let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List3!$B$32:$G$33</c:f>
              <c:multiLvlStrCache>
                <c:ptCount val="6"/>
                <c:lvl>
                  <c:pt idx="0">
                    <c:v>2010</c:v>
                  </c:pt>
                  <c:pt idx="1">
                    <c:v>2013</c:v>
                  </c:pt>
                  <c:pt idx="2">
                    <c:v>2015</c:v>
                  </c:pt>
                  <c:pt idx="3">
                    <c:v>2010</c:v>
                  </c:pt>
                  <c:pt idx="4">
                    <c:v>2013</c:v>
                  </c:pt>
                  <c:pt idx="5">
                    <c:v>2015</c:v>
                  </c:pt>
                </c:lvl>
                <c:lvl>
                  <c:pt idx="0">
                    <c:v>ČR</c:v>
                  </c:pt>
                  <c:pt idx="3">
                    <c:v>KVK</c:v>
                  </c:pt>
                </c:lvl>
              </c:multiLvlStrCache>
            </c:multiLvlStrRef>
          </c:cat>
          <c:val>
            <c:numRef>
              <c:f>List3!$B$39:$G$39</c:f>
              <c:numCache>
                <c:formatCode>0.0</c:formatCode>
                <c:ptCount val="6"/>
                <c:pt idx="0">
                  <c:v>12.680211190315719</c:v>
                </c:pt>
                <c:pt idx="1">
                  <c:v>12.447347917171017</c:v>
                </c:pt>
                <c:pt idx="2">
                  <c:v>14.240720449374502</c:v>
                </c:pt>
                <c:pt idx="3">
                  <c:v>11.635620976774934</c:v>
                </c:pt>
                <c:pt idx="4">
                  <c:v>10.65854832561574</c:v>
                </c:pt>
                <c:pt idx="5">
                  <c:v>10.011055019332904</c:v>
                </c:pt>
              </c:numCache>
            </c:numRef>
          </c:val>
          <c:extLst>
            <c:ext xmlns:c16="http://schemas.microsoft.com/office/drawing/2014/chart" uri="{C3380CC4-5D6E-409C-BE32-E72D297353CC}">
              <c16:uniqueId val="{00000005-69D6-4A0E-8AB4-64AF937A3F09}"/>
            </c:ext>
          </c:extLst>
        </c:ser>
        <c:dLbls>
          <c:showLegendKey val="0"/>
          <c:showVal val="0"/>
          <c:showCatName val="0"/>
          <c:showSerName val="0"/>
          <c:showPercent val="0"/>
          <c:showBubbleSize val="0"/>
        </c:dLbls>
        <c:gapWidth val="150"/>
        <c:overlap val="100"/>
        <c:axId val="34922880"/>
        <c:axId val="34924416"/>
        <c:extLst>
          <c:ext xmlns:c15="http://schemas.microsoft.com/office/drawing/2012/chart" uri="{02D57815-91ED-43cb-92C2-25804820EDAC}">
            <c15:filteredBarSeries>
              <c15:ser>
                <c:idx val="6"/>
                <c:order val="6"/>
                <c:tx>
                  <c:strRef>
                    <c:extLst>
                      <c:ext uri="{02D57815-91ED-43cb-92C2-25804820EDAC}">
                        <c15:formulaRef>
                          <c15:sqref>List3!$A$40</c15:sqref>
                        </c15:formulaRef>
                      </c:ext>
                    </c:extLst>
                    <c:strCache>
                      <c:ptCount val="1"/>
                    </c:strCache>
                  </c:strRef>
                </c:tx>
                <c:spPr>
                  <a:solidFill>
                    <a:schemeClr val="accent1">
                      <a:lumMod val="60000"/>
                    </a:schemeClr>
                  </a:solidFill>
                  <a:ln>
                    <a:noFill/>
                  </a:ln>
                  <a:effectLst/>
                </c:spPr>
                <c:invertIfNegative val="0"/>
                <c:cat>
                  <c:multiLvlStrRef>
                    <c:extLst>
                      <c:ext uri="{02D57815-91ED-43cb-92C2-25804820EDAC}">
                        <c15:formulaRef>
                          <c15:sqref>List3!$B$32:$G$33</c15:sqref>
                        </c15:formulaRef>
                      </c:ext>
                    </c:extLst>
                    <c:multiLvlStrCache>
                      <c:ptCount val="6"/>
                      <c:lvl>
                        <c:pt idx="0">
                          <c:v>2010</c:v>
                        </c:pt>
                        <c:pt idx="1">
                          <c:v>2013</c:v>
                        </c:pt>
                        <c:pt idx="2">
                          <c:v>2015</c:v>
                        </c:pt>
                        <c:pt idx="3">
                          <c:v>2010</c:v>
                        </c:pt>
                        <c:pt idx="4">
                          <c:v>2013</c:v>
                        </c:pt>
                        <c:pt idx="5">
                          <c:v>2015</c:v>
                        </c:pt>
                      </c:lvl>
                      <c:lvl>
                        <c:pt idx="0">
                          <c:v>ČR</c:v>
                        </c:pt>
                        <c:pt idx="3">
                          <c:v>KVK</c:v>
                        </c:pt>
                      </c:lvl>
                    </c:multiLvlStrCache>
                  </c:multiLvlStrRef>
                </c:cat>
                <c:val>
                  <c:numRef>
                    <c:extLst>
                      <c:ext uri="{02D57815-91ED-43cb-92C2-25804820EDAC}">
                        <c15:formulaRef>
                          <c15:sqref>List3!$B$40:$G$40</c15:sqref>
                        </c15:formulaRef>
                      </c:ext>
                    </c:extLst>
                    <c:numCache>
                      <c:formatCode>General</c:formatCode>
                      <c:ptCount val="6"/>
                    </c:numCache>
                  </c:numRef>
                </c:val>
                <c:extLst>
                  <c:ext xmlns:c16="http://schemas.microsoft.com/office/drawing/2014/chart" uri="{C3380CC4-5D6E-409C-BE32-E72D297353CC}">
                    <c16:uniqueId val="{00000006-69D6-4A0E-8AB4-64AF937A3F09}"/>
                  </c:ext>
                </c:extLst>
              </c15:ser>
            </c15:filteredBarSeries>
          </c:ext>
        </c:extLst>
      </c:barChart>
      <c:catAx>
        <c:axId val="349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924416"/>
        <c:crosses val="autoZero"/>
        <c:auto val="1"/>
        <c:lblAlgn val="ctr"/>
        <c:lblOffset val="100"/>
        <c:noMultiLvlLbl val="0"/>
      </c:catAx>
      <c:valAx>
        <c:axId val="34924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92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'nezam dle vzdel'!$B$37</c:f>
              <c:strCache>
                <c:ptCount val="1"/>
                <c:pt idx="0">
                  <c:v>bez vzdělání , neúplné, základní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'nezam dle vzdel'!$A$38:$A$43</c:f>
              <c:strCache>
                <c:ptCount val="6"/>
                <c:pt idx="0">
                  <c:v>ČR 2010</c:v>
                </c:pt>
                <c:pt idx="1">
                  <c:v>ČR 2012</c:v>
                </c:pt>
                <c:pt idx="2">
                  <c:v>ČR 2014</c:v>
                </c:pt>
                <c:pt idx="3">
                  <c:v>KVK 2010</c:v>
                </c:pt>
                <c:pt idx="4">
                  <c:v>KVK 2012</c:v>
                </c:pt>
                <c:pt idx="5">
                  <c:v>KVK 2014</c:v>
                </c:pt>
              </c:strCache>
            </c:strRef>
          </c:cat>
          <c:val>
            <c:numRef>
              <c:f>'nezam dle vzdel'!$B$38:$B$43</c:f>
              <c:numCache>
                <c:formatCode>0.0</c:formatCode>
                <c:ptCount val="6"/>
                <c:pt idx="0">
                  <c:v>19.334646925881074</c:v>
                </c:pt>
                <c:pt idx="1">
                  <c:v>21.856057998581441</c:v>
                </c:pt>
                <c:pt idx="2">
                  <c:v>18.41830093726081</c:v>
                </c:pt>
                <c:pt idx="3">
                  <c:v>42.917377773315813</c:v>
                </c:pt>
                <c:pt idx="4">
                  <c:v>45.35332138395524</c:v>
                </c:pt>
                <c:pt idx="5">
                  <c:v>45.124349334875866</c:v>
                </c:pt>
              </c:numCache>
            </c:numRef>
          </c:val>
          <c:extLst>
            <c:ext xmlns:c16="http://schemas.microsoft.com/office/drawing/2014/chart" uri="{C3380CC4-5D6E-409C-BE32-E72D297353CC}">
              <c16:uniqueId val="{00000000-3C11-4EE2-B65B-19A788404848}"/>
            </c:ext>
          </c:extLst>
        </c:ser>
        <c:ser>
          <c:idx val="1"/>
          <c:order val="1"/>
          <c:tx>
            <c:strRef>
              <c:f>'nezam dle vzdel'!$C$37</c:f>
              <c:strCache>
                <c:ptCount val="1"/>
                <c:pt idx="0">
                  <c:v>vyučení, střední bez maturity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'nezam dle vzdel'!$A$38:$A$43</c:f>
              <c:strCache>
                <c:ptCount val="6"/>
                <c:pt idx="0">
                  <c:v>ČR 2010</c:v>
                </c:pt>
                <c:pt idx="1">
                  <c:v>ČR 2012</c:v>
                </c:pt>
                <c:pt idx="2">
                  <c:v>ČR 2014</c:v>
                </c:pt>
                <c:pt idx="3">
                  <c:v>KVK 2010</c:v>
                </c:pt>
                <c:pt idx="4">
                  <c:v>KVK 2012</c:v>
                </c:pt>
                <c:pt idx="5">
                  <c:v>KVK 2014</c:v>
                </c:pt>
              </c:strCache>
            </c:strRef>
          </c:cat>
          <c:val>
            <c:numRef>
              <c:f>'nezam dle vzdel'!$C$38:$C$43</c:f>
              <c:numCache>
                <c:formatCode>0.0</c:formatCode>
                <c:ptCount val="6"/>
                <c:pt idx="0">
                  <c:v>45.363625797375498</c:v>
                </c:pt>
                <c:pt idx="1">
                  <c:v>44.090051511160972</c:v>
                </c:pt>
                <c:pt idx="2">
                  <c:v>41.922957961222714</c:v>
                </c:pt>
                <c:pt idx="3">
                  <c:v>38.675835759461911</c:v>
                </c:pt>
                <c:pt idx="4">
                  <c:v>36.912715224594137</c:v>
                </c:pt>
                <c:pt idx="5">
                  <c:v>36.026604973973399</c:v>
                </c:pt>
              </c:numCache>
            </c:numRef>
          </c:val>
          <c:extLst>
            <c:ext xmlns:c16="http://schemas.microsoft.com/office/drawing/2014/chart" uri="{C3380CC4-5D6E-409C-BE32-E72D297353CC}">
              <c16:uniqueId val="{00000001-3C11-4EE2-B65B-19A788404848}"/>
            </c:ext>
          </c:extLst>
        </c:ser>
        <c:ser>
          <c:idx val="2"/>
          <c:order val="2"/>
          <c:tx>
            <c:strRef>
              <c:f>'nezam dle vzdel'!$D$37</c:f>
              <c:strCache>
                <c:ptCount val="1"/>
                <c:pt idx="0">
                  <c:v>vyučení a střední s maturitou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'nezam dle vzdel'!$A$38:$A$43</c:f>
              <c:strCache>
                <c:ptCount val="6"/>
                <c:pt idx="0">
                  <c:v>ČR 2010</c:v>
                </c:pt>
                <c:pt idx="1">
                  <c:v>ČR 2012</c:v>
                </c:pt>
                <c:pt idx="2">
                  <c:v>ČR 2014</c:v>
                </c:pt>
                <c:pt idx="3">
                  <c:v>KVK 2010</c:v>
                </c:pt>
                <c:pt idx="4">
                  <c:v>KVK 2012</c:v>
                </c:pt>
                <c:pt idx="5">
                  <c:v>KVK 2014</c:v>
                </c:pt>
              </c:strCache>
            </c:strRef>
          </c:cat>
          <c:val>
            <c:numRef>
              <c:f>'nezam dle vzdel'!$D$38:$D$43</c:f>
              <c:numCache>
                <c:formatCode>0.0</c:formatCode>
                <c:ptCount val="6"/>
                <c:pt idx="0">
                  <c:v>28.073305279883222</c:v>
                </c:pt>
                <c:pt idx="1">
                  <c:v>25.659700395380163</c:v>
                </c:pt>
                <c:pt idx="2">
                  <c:v>29.627390444344538</c:v>
                </c:pt>
                <c:pt idx="3">
                  <c:v>16.183114145166126</c:v>
                </c:pt>
                <c:pt idx="4">
                  <c:v>15.219162457226659</c:v>
                </c:pt>
                <c:pt idx="5">
                  <c:v>15.922498554077524</c:v>
                </c:pt>
              </c:numCache>
            </c:numRef>
          </c:val>
          <c:extLst>
            <c:ext xmlns:c16="http://schemas.microsoft.com/office/drawing/2014/chart" uri="{C3380CC4-5D6E-409C-BE32-E72D297353CC}">
              <c16:uniqueId val="{00000002-3C11-4EE2-B65B-19A788404848}"/>
            </c:ext>
          </c:extLst>
        </c:ser>
        <c:ser>
          <c:idx val="3"/>
          <c:order val="3"/>
          <c:tx>
            <c:strRef>
              <c:f>'nezam dle vzdel'!$E$37</c:f>
              <c:strCache>
                <c:ptCount val="1"/>
                <c:pt idx="0">
                  <c:v>VOŠ a VŠ</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'nezam dle vzdel'!$A$38:$A$43</c:f>
              <c:strCache>
                <c:ptCount val="6"/>
                <c:pt idx="0">
                  <c:v>ČR 2010</c:v>
                </c:pt>
                <c:pt idx="1">
                  <c:v>ČR 2012</c:v>
                </c:pt>
                <c:pt idx="2">
                  <c:v>ČR 2014</c:v>
                </c:pt>
                <c:pt idx="3">
                  <c:v>KVK 2010</c:v>
                </c:pt>
                <c:pt idx="4">
                  <c:v>KVK 2012</c:v>
                </c:pt>
                <c:pt idx="5">
                  <c:v>KVK 2014</c:v>
                </c:pt>
              </c:strCache>
            </c:strRef>
          </c:cat>
          <c:val>
            <c:numRef>
              <c:f>'nezam dle vzdel'!$E$38:$E$43</c:f>
              <c:numCache>
                <c:formatCode>0.0</c:formatCode>
                <c:ptCount val="6"/>
                <c:pt idx="0">
                  <c:v>7.2284219968602965</c:v>
                </c:pt>
                <c:pt idx="1">
                  <c:v>8.3243519354931959</c:v>
                </c:pt>
                <c:pt idx="2">
                  <c:v>10.031350657171968</c:v>
                </c:pt>
                <c:pt idx="3">
                  <c:v>2.2236723220560202</c:v>
                </c:pt>
                <c:pt idx="4">
                  <c:v>2.5148009342240942</c:v>
                </c:pt>
                <c:pt idx="5">
                  <c:v>2.9265471370734528</c:v>
                </c:pt>
              </c:numCache>
            </c:numRef>
          </c:val>
          <c:extLst>
            <c:ext xmlns:c16="http://schemas.microsoft.com/office/drawing/2014/chart" uri="{C3380CC4-5D6E-409C-BE32-E72D297353CC}">
              <c16:uniqueId val="{00000003-3C11-4EE2-B65B-19A788404848}"/>
            </c:ext>
          </c:extLst>
        </c:ser>
        <c:dLbls>
          <c:showLegendKey val="0"/>
          <c:showVal val="0"/>
          <c:showCatName val="0"/>
          <c:showSerName val="0"/>
          <c:showPercent val="0"/>
          <c:showBubbleSize val="0"/>
        </c:dLbls>
        <c:gapWidth val="150"/>
        <c:overlap val="100"/>
        <c:axId val="34862208"/>
        <c:axId val="34863744"/>
      </c:barChart>
      <c:catAx>
        <c:axId val="3486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63744"/>
        <c:crosses val="autoZero"/>
        <c:auto val="1"/>
        <c:lblAlgn val="ctr"/>
        <c:lblOffset val="100"/>
        <c:noMultiLvlLbl val="0"/>
      </c:catAx>
      <c:valAx>
        <c:axId val="348637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86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'mezi kraji'!$B$25</c:f>
              <c:strCache>
                <c:ptCount val="1"/>
                <c:pt idx="0">
                  <c:v>Karlovarský kraj</c:v>
                </c:pt>
              </c:strCache>
            </c:strRef>
          </c:tx>
          <c:marker>
            <c:symbol val="circle"/>
            <c:size val="5"/>
            <c:spPr>
              <a:solidFill>
                <a:schemeClr val="bg1"/>
              </a:solidFill>
            </c:spPr>
          </c:marker>
          <c:dLbls>
            <c:dLbl>
              <c:idx val="0"/>
              <c:layout>
                <c:manualLayout>
                  <c:x val="7.2992700729928002E-3"/>
                  <c:y val="-9.1324200913242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F-4EC4-86C2-AE9A700DABBD}"/>
                </c:ext>
              </c:extLst>
            </c:dLbl>
            <c:dLbl>
              <c:idx val="11"/>
              <c:layout>
                <c:manualLayout>
                  <c:x val="-2.4330900243309011E-2"/>
                  <c:y val="5.4794520547946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F-4EC4-86C2-AE9A700DAB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'mezi kraji'!$A$26:$A$37</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'mezi kraji'!$B$26:$B$37</c:f>
              <c:numCache>
                <c:formatCode>#,##0_ ;\-#,##0\ </c:formatCode>
                <c:ptCount val="12"/>
                <c:pt idx="0">
                  <c:v>15102.541800000006</c:v>
                </c:pt>
                <c:pt idx="1">
                  <c:v>15741.41659999991</c:v>
                </c:pt>
                <c:pt idx="2">
                  <c:v>16164.2773</c:v>
                </c:pt>
                <c:pt idx="3">
                  <c:v>17637.25</c:v>
                </c:pt>
                <c:pt idx="4">
                  <c:v>18596.3855</c:v>
                </c:pt>
                <c:pt idx="5">
                  <c:v>19417.088400000121</c:v>
                </c:pt>
                <c:pt idx="6">
                  <c:v>18628.6738</c:v>
                </c:pt>
                <c:pt idx="7">
                  <c:v>19183.6666</c:v>
                </c:pt>
                <c:pt idx="8" formatCode="#,##0">
                  <c:v>18263.0802</c:v>
                </c:pt>
                <c:pt idx="9" formatCode="#,##0">
                  <c:v>18919.4342</c:v>
                </c:pt>
                <c:pt idx="10" formatCode="#,##0">
                  <c:v>19325.251499999998</c:v>
                </c:pt>
                <c:pt idx="11" formatCode="#,##0">
                  <c:v>19512.174800000001</c:v>
                </c:pt>
              </c:numCache>
            </c:numRef>
          </c:val>
          <c:smooth val="0"/>
          <c:extLst>
            <c:ext xmlns:c16="http://schemas.microsoft.com/office/drawing/2014/chart" uri="{C3380CC4-5D6E-409C-BE32-E72D297353CC}">
              <c16:uniqueId val="{00000002-40AF-4EC4-86C2-AE9A700DABBD}"/>
            </c:ext>
          </c:extLst>
        </c:ser>
        <c:ser>
          <c:idx val="3"/>
          <c:order val="1"/>
          <c:tx>
            <c:strRef>
              <c:f>'mezi kraji'!$E$25</c:f>
              <c:strCache>
                <c:ptCount val="1"/>
                <c:pt idx="0">
                  <c:v>ČR</c:v>
                </c:pt>
              </c:strCache>
            </c:strRef>
          </c:tx>
          <c:spPr>
            <a:ln>
              <a:solidFill>
                <a:schemeClr val="tx1"/>
              </a:solidFill>
            </a:ln>
          </c:spPr>
          <c:marker>
            <c:symbol val="none"/>
          </c:marker>
          <c:dLbls>
            <c:dLbl>
              <c:idx val="0"/>
              <c:layout>
                <c:manualLayout>
                  <c:x val="-2.1897810218978499E-2"/>
                  <c:y val="-7.3059360730593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F-4EC4-86C2-AE9A700DABBD}"/>
                </c:ext>
              </c:extLst>
            </c:dLbl>
            <c:dLbl>
              <c:idx val="11"/>
              <c:layout>
                <c:manualLayout>
                  <c:x val="-3.6496350364963612E-2"/>
                  <c:y val="-2.7397260273972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F-4EC4-86C2-AE9A700DABB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'mezi kraji'!$A$26:$A$37</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'mezi kraji'!$E$26:$E$37</c:f>
              <c:numCache>
                <c:formatCode>#,##0</c:formatCode>
                <c:ptCount val="12"/>
                <c:pt idx="0">
                  <c:v>16458.083299999998</c:v>
                </c:pt>
                <c:pt idx="1">
                  <c:v>17333.247299999999</c:v>
                </c:pt>
                <c:pt idx="2">
                  <c:v>18140.333299999897</c:v>
                </c:pt>
                <c:pt idx="3">
                  <c:v>18967</c:v>
                </c:pt>
                <c:pt idx="4">
                  <c:v>20401.739899999997</c:v>
                </c:pt>
                <c:pt idx="5">
                  <c:v>21880.815399999996</c:v>
                </c:pt>
                <c:pt idx="6">
                  <c:v>21700</c:v>
                </c:pt>
                <c:pt idx="7">
                  <c:v>22207.414000000001</c:v>
                </c:pt>
                <c:pt idx="8">
                  <c:v>22711.902900000001</c:v>
                </c:pt>
                <c:pt idx="9">
                  <c:v>23236.029899999998</c:v>
                </c:pt>
                <c:pt idx="10">
                  <c:v>23253.1453</c:v>
                </c:pt>
                <c:pt idx="11">
                  <c:v>23992.208400000021</c:v>
                </c:pt>
              </c:numCache>
            </c:numRef>
          </c:val>
          <c:smooth val="0"/>
          <c:extLst>
            <c:ext xmlns:c16="http://schemas.microsoft.com/office/drawing/2014/chart" uri="{C3380CC4-5D6E-409C-BE32-E72D297353CC}">
              <c16:uniqueId val="{00000005-40AF-4EC4-86C2-AE9A700DABBD}"/>
            </c:ext>
          </c:extLst>
        </c:ser>
        <c:dLbls>
          <c:showLegendKey val="0"/>
          <c:showVal val="0"/>
          <c:showCatName val="0"/>
          <c:showSerName val="0"/>
          <c:showPercent val="0"/>
          <c:showBubbleSize val="0"/>
        </c:dLbls>
        <c:marker val="1"/>
        <c:smooth val="0"/>
        <c:axId val="34964608"/>
        <c:axId val="34966144"/>
      </c:lineChart>
      <c:catAx>
        <c:axId val="34964608"/>
        <c:scaling>
          <c:orientation val="minMax"/>
        </c:scaling>
        <c:delete val="0"/>
        <c:axPos val="b"/>
        <c:numFmt formatCode="General" sourceLinked="0"/>
        <c:majorTickMark val="out"/>
        <c:minorTickMark val="none"/>
        <c:tickLblPos val="nextTo"/>
        <c:crossAx val="34966144"/>
        <c:crosses val="autoZero"/>
        <c:auto val="1"/>
        <c:lblAlgn val="ctr"/>
        <c:lblOffset val="100"/>
        <c:noMultiLvlLbl val="0"/>
      </c:catAx>
      <c:valAx>
        <c:axId val="34966144"/>
        <c:scaling>
          <c:orientation val="minMax"/>
          <c:max val="25000"/>
          <c:min val="15000"/>
        </c:scaling>
        <c:delete val="0"/>
        <c:axPos val="l"/>
        <c:majorGridlines/>
        <c:numFmt formatCode="#,##0_ ;\-#,##0\ " sourceLinked="1"/>
        <c:majorTickMark val="out"/>
        <c:minorTickMark val="none"/>
        <c:tickLblPos val="nextTo"/>
        <c:crossAx val="34964608"/>
        <c:crosses val="autoZero"/>
        <c:crossBetween val="midCat"/>
        <c:majorUnit val="2000"/>
      </c:valAx>
    </c:plotArea>
    <c:legend>
      <c:legendPos val="t"/>
      <c:overlay val="0"/>
    </c:legend>
    <c:plotVisOnly val="1"/>
    <c:dispBlanksAs val="gap"/>
    <c:showDLblsOverMax val="0"/>
  </c:chart>
  <c:spPr>
    <a:ln>
      <a:solidFill>
        <a:schemeClr val="bg1">
          <a:lumMod val="50000"/>
        </a:schemeClr>
      </a:solidFill>
    </a:ln>
  </c:spPr>
  <c:txPr>
    <a:bodyPr/>
    <a:lstStyle/>
    <a:p>
      <a:pPr>
        <a:defRPr sz="900"/>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'přírůstek obyv.'!$A$3:$B$3</c:f>
              <c:strCache>
                <c:ptCount val="2"/>
                <c:pt idx="0">
                  <c:v>KK</c:v>
                </c:pt>
                <c:pt idx="1">
                  <c:v>celkový přírůstek/úbytek</c:v>
                </c:pt>
              </c:strCache>
            </c:strRef>
          </c:tx>
          <c:spPr>
            <a:solidFill>
              <a:schemeClr val="accent2"/>
            </a:solidFill>
            <a:ln>
              <a:noFill/>
            </a:ln>
            <a:effectLst/>
          </c:spPr>
          <c:invertIfNegative val="0"/>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ED-4D4A-A5BD-810179C01E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'přírůstek obyv.'!$C$2:$L$2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'přírůstek obyv.'!$C$3:$L$3</c:f>
              <c:numCache>
                <c:formatCode>#,##0.0_ ;\-#,##0.0\ </c:formatCode>
                <c:ptCount val="10"/>
                <c:pt idx="0">
                  <c:v>1.0769175205944093</c:v>
                </c:pt>
                <c:pt idx="1">
                  <c:v>9.3154898239644552</c:v>
                </c:pt>
                <c:pt idx="2">
                  <c:v>3.091610845915282</c:v>
                </c:pt>
                <c:pt idx="3">
                  <c:v>-2.4905670180087154</c:v>
                </c:pt>
                <c:pt idx="4">
                  <c:v>-0.6241487034285963</c:v>
                </c:pt>
                <c:pt idx="5">
                  <c:v>-2.1053047749893841</c:v>
                </c:pt>
                <c:pt idx="6">
                  <c:v>-4.7572764179262377</c:v>
                </c:pt>
                <c:pt idx="7">
                  <c:v>-4.7076568360692059</c:v>
                </c:pt>
                <c:pt idx="8">
                  <c:v>-3.3880218754168352</c:v>
                </c:pt>
                <c:pt idx="9">
                  <c:v>-4.9077740480928354</c:v>
                </c:pt>
              </c:numCache>
            </c:numRef>
          </c:val>
          <c:extLst>
            <c:ext xmlns:c16="http://schemas.microsoft.com/office/drawing/2014/chart" uri="{C3380CC4-5D6E-409C-BE32-E72D297353CC}">
              <c16:uniqueId val="{00000001-0DED-4D4A-A5BD-810179C01E12}"/>
            </c:ext>
          </c:extLst>
        </c:ser>
        <c:ser>
          <c:idx val="1"/>
          <c:order val="1"/>
          <c:tx>
            <c:strRef>
              <c:f>'přírůstek obyv.'!$A$4:$B$4</c:f>
              <c:strCache>
                <c:ptCount val="2"/>
                <c:pt idx="0">
                  <c:v>KK</c:v>
                </c:pt>
                <c:pt idx="1">
                  <c:v>přirozený přírůstek/úbytek</c:v>
                </c:pt>
              </c:strCache>
            </c:strRef>
          </c:tx>
          <c:spPr>
            <a:solidFill>
              <a:schemeClr val="accent4"/>
            </a:solidFill>
            <a:ln>
              <a:noFill/>
            </a:ln>
            <a:effectLst/>
          </c:spPr>
          <c:invertIfNegative val="0"/>
          <c:cat>
            <c:numRef>
              <c:f>'přírůstek obyv.'!$C$2:$L$2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'přírůstek obyv.'!$C$4:$L$4</c:f>
              <c:numCache>
                <c:formatCode>#,##0.0_ ;\-#,##0.0\ </c:formatCode>
                <c:ptCount val="10"/>
                <c:pt idx="0">
                  <c:v>0.7387391528467746</c:v>
                </c:pt>
                <c:pt idx="1">
                  <c:v>1.6949152542372881</c:v>
                </c:pt>
                <c:pt idx="2">
                  <c:v>1.7467277211198502</c:v>
                </c:pt>
                <c:pt idx="3">
                  <c:v>0.89296731414914832</c:v>
                </c:pt>
                <c:pt idx="4">
                  <c:v>0.70216729135716549</c:v>
                </c:pt>
                <c:pt idx="5">
                  <c:v>-0.21744931948247201</c:v>
                </c:pt>
                <c:pt idx="6">
                  <c:v>-0.8331019161344102</c:v>
                </c:pt>
                <c:pt idx="7">
                  <c:v>-1.196017262515827</c:v>
                </c:pt>
                <c:pt idx="8">
                  <c:v>-1.290516206482593</c:v>
                </c:pt>
                <c:pt idx="9">
                  <c:v>-1.7989588148981941</c:v>
                </c:pt>
              </c:numCache>
            </c:numRef>
          </c:val>
          <c:extLst>
            <c:ext xmlns:c16="http://schemas.microsoft.com/office/drawing/2014/chart" uri="{C3380CC4-5D6E-409C-BE32-E72D297353CC}">
              <c16:uniqueId val="{00000002-0DED-4D4A-A5BD-810179C01E12}"/>
            </c:ext>
          </c:extLst>
        </c:ser>
        <c:ser>
          <c:idx val="2"/>
          <c:order val="2"/>
          <c:tx>
            <c:strRef>
              <c:f>'přírůstek obyv.'!$A$5:$B$5</c:f>
              <c:strCache>
                <c:ptCount val="2"/>
                <c:pt idx="0">
                  <c:v>KK</c:v>
                </c:pt>
                <c:pt idx="1">
                  <c:v>migrační saldo</c:v>
                </c:pt>
              </c:strCache>
            </c:strRef>
          </c:tx>
          <c:spPr>
            <a:solidFill>
              <a:schemeClr val="accent6"/>
            </a:solidFill>
            <a:ln>
              <a:noFill/>
            </a:ln>
            <a:effectLst/>
          </c:spPr>
          <c:invertIfNegative val="0"/>
          <c:cat>
            <c:numRef>
              <c:f>'přírůstek obyv.'!$C$2:$L$2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'přírůstek obyv.'!$C$5:$L$5</c:f>
              <c:numCache>
                <c:formatCode>#,##0.0_ ;\-#,##0.0\ </c:formatCode>
                <c:ptCount val="10"/>
                <c:pt idx="0">
                  <c:v>0.33817836774763593</c:v>
                </c:pt>
                <c:pt idx="1">
                  <c:v>7.6205745697270757</c:v>
                </c:pt>
                <c:pt idx="2">
                  <c:v>1.3448831247954363</c:v>
                </c:pt>
                <c:pt idx="3">
                  <c:v>-3.3835343321578701</c:v>
                </c:pt>
                <c:pt idx="4">
                  <c:v>-1.3263159947857635</c:v>
                </c:pt>
                <c:pt idx="5">
                  <c:v>-1.887855455506904</c:v>
                </c:pt>
                <c:pt idx="6">
                  <c:v>-3.9241745017918386</c:v>
                </c:pt>
                <c:pt idx="7">
                  <c:v>-3.5116395735533987</c:v>
                </c:pt>
                <c:pt idx="8">
                  <c:v>-2.0975056689342404</c:v>
                </c:pt>
                <c:pt idx="9">
                  <c:v>-3.1088152331946377</c:v>
                </c:pt>
              </c:numCache>
            </c:numRef>
          </c:val>
          <c:extLst>
            <c:ext xmlns:c16="http://schemas.microsoft.com/office/drawing/2014/chart" uri="{C3380CC4-5D6E-409C-BE32-E72D297353CC}">
              <c16:uniqueId val="{00000003-0DED-4D4A-A5BD-810179C01E12}"/>
            </c:ext>
          </c:extLst>
        </c:ser>
        <c:dLbls>
          <c:showLegendKey val="0"/>
          <c:showVal val="0"/>
          <c:showCatName val="0"/>
          <c:showSerName val="0"/>
          <c:showPercent val="0"/>
          <c:showBubbleSize val="0"/>
        </c:dLbls>
        <c:gapWidth val="219"/>
        <c:overlap val="-27"/>
        <c:axId val="35157888"/>
        <c:axId val="35159424"/>
      </c:barChart>
      <c:lineChart>
        <c:grouping val="standard"/>
        <c:varyColors val="0"/>
        <c:ser>
          <c:idx val="3"/>
          <c:order val="3"/>
          <c:tx>
            <c:strRef>
              <c:f>'přírůstek obyv.'!$A$6:$B$6</c:f>
              <c:strCache>
                <c:ptCount val="2"/>
                <c:pt idx="0">
                  <c:v>ČR</c:v>
                </c:pt>
                <c:pt idx="1">
                  <c:v>celkový přírůstek/úbytek</c:v>
                </c:pt>
              </c:strCache>
            </c:strRef>
          </c:tx>
          <c:spPr>
            <a:ln w="28575" cap="rnd">
              <a:solidFill>
                <a:schemeClr val="accent2">
                  <a:lumMod val="60000"/>
                </a:schemeClr>
              </a:solidFill>
              <a:round/>
            </a:ln>
            <a:effectLst/>
          </c:spPr>
          <c:marker>
            <c:symbol val="none"/>
          </c:marker>
          <c:cat>
            <c:numRef>
              <c:f>'přírůstek obyv.'!$C$2:$L$2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'přírůstek obyv.'!$C$6:$L$6</c:f>
              <c:numCache>
                <c:formatCode>#,##0.0_ ;\-#,##0.0\ </c:formatCode>
                <c:ptCount val="10"/>
                <c:pt idx="0">
                  <c:v>3.5172148723156598</c:v>
                </c:pt>
                <c:pt idx="1">
                  <c:v>9.1004388488309598</c:v>
                </c:pt>
                <c:pt idx="2">
                  <c:v>8.2851919308834816</c:v>
                </c:pt>
                <c:pt idx="3">
                  <c:v>3.743128241436029</c:v>
                </c:pt>
                <c:pt idx="4">
                  <c:v>2.4680413039648048</c:v>
                </c:pt>
                <c:pt idx="5">
                  <c:v>1.782850793089463</c:v>
                </c:pt>
                <c:pt idx="6">
                  <c:v>1.0162441102088191</c:v>
                </c:pt>
                <c:pt idx="7">
                  <c:v>-0.35259243444715821</c:v>
                </c:pt>
                <c:pt idx="8">
                  <c:v>2.4566777291275268</c:v>
                </c:pt>
                <c:pt idx="9">
                  <c:v>1.4766276813435946</c:v>
                </c:pt>
              </c:numCache>
            </c:numRef>
          </c:val>
          <c:smooth val="0"/>
          <c:extLst>
            <c:ext xmlns:c16="http://schemas.microsoft.com/office/drawing/2014/chart" uri="{C3380CC4-5D6E-409C-BE32-E72D297353CC}">
              <c16:uniqueId val="{00000004-0DED-4D4A-A5BD-810179C01E12}"/>
            </c:ext>
          </c:extLst>
        </c:ser>
        <c:ser>
          <c:idx val="4"/>
          <c:order val="4"/>
          <c:tx>
            <c:strRef>
              <c:f>'přírůstek obyv.'!$A$7:$B$7</c:f>
              <c:strCache>
                <c:ptCount val="2"/>
                <c:pt idx="0">
                  <c:v>ČR</c:v>
                </c:pt>
                <c:pt idx="1">
                  <c:v>přirozený přírůstek/úbytek</c:v>
                </c:pt>
              </c:strCache>
            </c:strRef>
          </c:tx>
          <c:spPr>
            <a:ln w="28575" cap="rnd">
              <a:solidFill>
                <a:schemeClr val="accent4">
                  <a:lumMod val="60000"/>
                </a:schemeClr>
              </a:solidFill>
              <a:round/>
            </a:ln>
            <a:effectLst/>
          </c:spPr>
          <c:marker>
            <c:symbol val="none"/>
          </c:marker>
          <c:cat>
            <c:numRef>
              <c:f>'přírůstek obyv.'!$C$2:$L$2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'přírůstek obyv.'!$C$7:$L$7</c:f>
              <c:numCache>
                <c:formatCode>#,##0.0_ ;\-#,##0.0\ </c:formatCode>
                <c:ptCount val="10"/>
                <c:pt idx="0">
                  <c:v>0.13538988292768642</c:v>
                </c:pt>
                <c:pt idx="1">
                  <c:v>0.9683523353265806</c:v>
                </c:pt>
                <c:pt idx="2">
                  <c:v>1.4019589456716459</c:v>
                </c:pt>
                <c:pt idx="3">
                  <c:v>1.0415105878172524</c:v>
                </c:pt>
                <c:pt idx="4">
                  <c:v>0.98019947615569192</c:v>
                </c:pt>
                <c:pt idx="5">
                  <c:v>0.17386463061816171</c:v>
                </c:pt>
                <c:pt idx="6">
                  <c:v>3.68245759036342E-2</c:v>
                </c:pt>
                <c:pt idx="7">
                  <c:v>-0.22919459648764276</c:v>
                </c:pt>
                <c:pt idx="8">
                  <c:v>0.39858303966932251</c:v>
                </c:pt>
                <c:pt idx="9">
                  <c:v>-3.8793725698196953E-2</c:v>
                </c:pt>
              </c:numCache>
            </c:numRef>
          </c:val>
          <c:smooth val="0"/>
          <c:extLst>
            <c:ext xmlns:c16="http://schemas.microsoft.com/office/drawing/2014/chart" uri="{C3380CC4-5D6E-409C-BE32-E72D297353CC}">
              <c16:uniqueId val="{00000005-0DED-4D4A-A5BD-810179C01E12}"/>
            </c:ext>
          </c:extLst>
        </c:ser>
        <c:ser>
          <c:idx val="5"/>
          <c:order val="5"/>
          <c:tx>
            <c:strRef>
              <c:f>'přírůstek obyv.'!$A$8:$B$8</c:f>
              <c:strCache>
                <c:ptCount val="2"/>
                <c:pt idx="0">
                  <c:v>ČR</c:v>
                </c:pt>
                <c:pt idx="1">
                  <c:v>migrační saldo</c:v>
                </c:pt>
              </c:strCache>
            </c:strRef>
          </c:tx>
          <c:spPr>
            <a:ln w="28575" cap="rnd">
              <a:solidFill>
                <a:schemeClr val="accent6">
                  <a:lumMod val="60000"/>
                </a:schemeClr>
              </a:solidFill>
              <a:round/>
            </a:ln>
            <a:effectLst/>
          </c:spPr>
          <c:marker>
            <c:symbol val="none"/>
          </c:marker>
          <c:cat>
            <c:numRef>
              <c:f>'přírůstek obyv.'!$C$2:$L$2</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'přírůstek obyv.'!$C$8:$L$8</c:f>
              <c:numCache>
                <c:formatCode>#,##0.0_ ;\-#,##0.0\ </c:formatCode>
                <c:ptCount val="10"/>
                <c:pt idx="0">
                  <c:v>3.3818249893879657</c:v>
                </c:pt>
                <c:pt idx="1">
                  <c:v>8.1320865135044222</c:v>
                </c:pt>
                <c:pt idx="2">
                  <c:v>6.8832329852118566</c:v>
                </c:pt>
                <c:pt idx="3">
                  <c:v>2.7016176536187597</c:v>
                </c:pt>
                <c:pt idx="4">
                  <c:v>1.4878418278091177</c:v>
                </c:pt>
                <c:pt idx="5">
                  <c:v>1.6089861624713089</c:v>
                </c:pt>
                <c:pt idx="6">
                  <c:v>0.97941953430518702</c:v>
                </c:pt>
                <c:pt idx="7">
                  <c:v>-0.12339783795951542</c:v>
                </c:pt>
                <c:pt idx="8">
                  <c:v>2.0580946894581986</c:v>
                </c:pt>
                <c:pt idx="9">
                  <c:v>1.5154214070417882</c:v>
                </c:pt>
              </c:numCache>
            </c:numRef>
          </c:val>
          <c:smooth val="0"/>
          <c:extLst>
            <c:ext xmlns:c16="http://schemas.microsoft.com/office/drawing/2014/chart" uri="{C3380CC4-5D6E-409C-BE32-E72D297353CC}">
              <c16:uniqueId val="{00000006-0DED-4D4A-A5BD-810179C01E12}"/>
            </c:ext>
          </c:extLst>
        </c:ser>
        <c:dLbls>
          <c:showLegendKey val="0"/>
          <c:showVal val="0"/>
          <c:showCatName val="0"/>
          <c:showSerName val="0"/>
          <c:showPercent val="0"/>
          <c:showBubbleSize val="0"/>
        </c:dLbls>
        <c:marker val="1"/>
        <c:smooth val="0"/>
        <c:axId val="35157888"/>
        <c:axId val="35159424"/>
      </c:lineChart>
      <c:catAx>
        <c:axId val="3515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159424"/>
        <c:crosses val="autoZero"/>
        <c:auto val="1"/>
        <c:lblAlgn val="ctr"/>
        <c:lblOffset val="100"/>
        <c:noMultiLvlLbl val="0"/>
      </c:catAx>
      <c:valAx>
        <c:axId val="35159424"/>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15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effectLst/>
              </a:rPr>
              <a:t>ka</a:t>
            </a:r>
            <a:r>
              <a:rPr lang="cs-CZ" sz="1200" b="0" i="0" baseline="0">
                <a:effectLst/>
              </a:rPr>
              <a:t>m se lidé z okresů karlovarského kraje nejčastěji stěhují</a:t>
            </a:r>
            <a:endParaRPr lang="cs-CZ" sz="1200">
              <a:effectLst/>
            </a:endParaRPr>
          </a:p>
        </c:rich>
      </c:tx>
      <c:overlay val="0"/>
      <c:spPr>
        <a:noFill/>
        <a:ln>
          <a:noFill/>
        </a:ln>
        <a:effectLst/>
      </c:spPr>
    </c:title>
    <c:autoTitleDeleted val="0"/>
    <c:plotArea>
      <c:layout/>
      <c:barChart>
        <c:barDir val="col"/>
        <c:grouping val="stacked"/>
        <c:varyColors val="0"/>
        <c:ser>
          <c:idx val="0"/>
          <c:order val="0"/>
          <c:tx>
            <c:strRef>
              <c:f>'gr. stěh. odkud kam'!$B$2:$B$3</c:f>
              <c:strCache>
                <c:ptCount val="2"/>
                <c:pt idx="1">
                  <c:v>Cheb</c:v>
                </c:pt>
              </c:strCache>
            </c:strRef>
          </c:tx>
          <c:spPr>
            <a:solidFill>
              <a:schemeClr val="accent1"/>
            </a:solidFill>
            <a:ln>
              <a:noFill/>
            </a:ln>
            <a:effectLst/>
          </c:spPr>
          <c:invertIfNegative val="0"/>
          <c:cat>
            <c:strRef>
              <c:f>'gr. stěh. odkud kam'!$A$4:$A$10</c:f>
              <c:strCache>
                <c:ptCount val="7"/>
                <c:pt idx="0">
                  <c:v>Praha hl.m.</c:v>
                </c:pt>
                <c:pt idx="1">
                  <c:v>KV</c:v>
                </c:pt>
                <c:pt idx="2">
                  <c:v>Sokolov</c:v>
                </c:pt>
                <c:pt idx="3">
                  <c:v>Cheb</c:v>
                </c:pt>
                <c:pt idx="4">
                  <c:v>Plzeň město</c:v>
                </c:pt>
                <c:pt idx="5">
                  <c:v>Chomutov</c:v>
                </c:pt>
                <c:pt idx="6">
                  <c:v>Tachov</c:v>
                </c:pt>
              </c:strCache>
            </c:strRef>
          </c:cat>
          <c:val>
            <c:numRef>
              <c:f>'gr. stěh. odkud kam'!$B$4:$B$10</c:f>
              <c:numCache>
                <c:formatCode>General</c:formatCode>
                <c:ptCount val="7"/>
                <c:pt idx="0">
                  <c:v>362</c:v>
                </c:pt>
                <c:pt idx="1">
                  <c:v>145</c:v>
                </c:pt>
                <c:pt idx="2">
                  <c:v>178</c:v>
                </c:pt>
                <c:pt idx="4">
                  <c:v>108</c:v>
                </c:pt>
                <c:pt idx="5">
                  <c:v>26</c:v>
                </c:pt>
                <c:pt idx="6">
                  <c:v>75</c:v>
                </c:pt>
              </c:numCache>
            </c:numRef>
          </c:val>
          <c:extLst>
            <c:ext xmlns:c16="http://schemas.microsoft.com/office/drawing/2014/chart" uri="{C3380CC4-5D6E-409C-BE32-E72D297353CC}">
              <c16:uniqueId val="{00000000-EC3A-4F8B-8BFE-0E2377986511}"/>
            </c:ext>
          </c:extLst>
        </c:ser>
        <c:ser>
          <c:idx val="1"/>
          <c:order val="1"/>
          <c:tx>
            <c:strRef>
              <c:f>'gr. stěh. odkud kam'!$C$2:$C$3</c:f>
              <c:strCache>
                <c:ptCount val="2"/>
                <c:pt idx="1">
                  <c:v>KV</c:v>
                </c:pt>
              </c:strCache>
            </c:strRef>
          </c:tx>
          <c:spPr>
            <a:solidFill>
              <a:schemeClr val="accent2"/>
            </a:solidFill>
            <a:ln>
              <a:noFill/>
            </a:ln>
            <a:effectLst/>
          </c:spPr>
          <c:invertIfNegative val="0"/>
          <c:cat>
            <c:strRef>
              <c:f>'gr. stěh. odkud kam'!$A$4:$A$10</c:f>
              <c:strCache>
                <c:ptCount val="7"/>
                <c:pt idx="0">
                  <c:v>Praha hl.m.</c:v>
                </c:pt>
                <c:pt idx="1">
                  <c:v>KV</c:v>
                </c:pt>
                <c:pt idx="2">
                  <c:v>Sokolov</c:v>
                </c:pt>
                <c:pt idx="3">
                  <c:v>Cheb</c:v>
                </c:pt>
                <c:pt idx="4">
                  <c:v>Plzeň město</c:v>
                </c:pt>
                <c:pt idx="5">
                  <c:v>Chomutov</c:v>
                </c:pt>
                <c:pt idx="6">
                  <c:v>Tachov</c:v>
                </c:pt>
              </c:strCache>
            </c:strRef>
          </c:cat>
          <c:val>
            <c:numRef>
              <c:f>'gr. stěh. odkud kam'!$C$4:$C$10</c:f>
              <c:numCache>
                <c:formatCode>General</c:formatCode>
                <c:ptCount val="7"/>
                <c:pt idx="0">
                  <c:v>332</c:v>
                </c:pt>
                <c:pt idx="2">
                  <c:v>382</c:v>
                </c:pt>
                <c:pt idx="3">
                  <c:v>129</c:v>
                </c:pt>
                <c:pt idx="4">
                  <c:v>106</c:v>
                </c:pt>
                <c:pt idx="5">
                  <c:v>70</c:v>
                </c:pt>
                <c:pt idx="6">
                  <c:v>16</c:v>
                </c:pt>
              </c:numCache>
            </c:numRef>
          </c:val>
          <c:extLst>
            <c:ext xmlns:c16="http://schemas.microsoft.com/office/drawing/2014/chart" uri="{C3380CC4-5D6E-409C-BE32-E72D297353CC}">
              <c16:uniqueId val="{00000001-EC3A-4F8B-8BFE-0E2377986511}"/>
            </c:ext>
          </c:extLst>
        </c:ser>
        <c:ser>
          <c:idx val="2"/>
          <c:order val="2"/>
          <c:tx>
            <c:strRef>
              <c:f>'gr. stěh. odkud kam'!$D$2:$D$3</c:f>
              <c:strCache>
                <c:ptCount val="2"/>
                <c:pt idx="1">
                  <c:v>Sokolov</c:v>
                </c:pt>
              </c:strCache>
            </c:strRef>
          </c:tx>
          <c:spPr>
            <a:solidFill>
              <a:schemeClr val="accent3"/>
            </a:solidFill>
            <a:ln>
              <a:noFill/>
            </a:ln>
            <a:effectLst/>
          </c:spPr>
          <c:invertIfNegative val="0"/>
          <c:cat>
            <c:strRef>
              <c:f>'gr. stěh. odkud kam'!$A$4:$A$10</c:f>
              <c:strCache>
                <c:ptCount val="7"/>
                <c:pt idx="0">
                  <c:v>Praha hl.m.</c:v>
                </c:pt>
                <c:pt idx="1">
                  <c:v>KV</c:v>
                </c:pt>
                <c:pt idx="2">
                  <c:v>Sokolov</c:v>
                </c:pt>
                <c:pt idx="3">
                  <c:v>Cheb</c:v>
                </c:pt>
                <c:pt idx="4">
                  <c:v>Plzeň město</c:v>
                </c:pt>
                <c:pt idx="5">
                  <c:v>Chomutov</c:v>
                </c:pt>
                <c:pt idx="6">
                  <c:v>Tachov</c:v>
                </c:pt>
              </c:strCache>
            </c:strRef>
          </c:cat>
          <c:val>
            <c:numRef>
              <c:f>'gr. stěh. odkud kam'!$D$4:$D$10</c:f>
              <c:numCache>
                <c:formatCode>General</c:formatCode>
                <c:ptCount val="7"/>
                <c:pt idx="0">
                  <c:v>150</c:v>
                </c:pt>
                <c:pt idx="1">
                  <c:v>488</c:v>
                </c:pt>
                <c:pt idx="3">
                  <c:v>216</c:v>
                </c:pt>
                <c:pt idx="4">
                  <c:v>80</c:v>
                </c:pt>
                <c:pt idx="5">
                  <c:v>34</c:v>
                </c:pt>
                <c:pt idx="6">
                  <c:v>26</c:v>
                </c:pt>
              </c:numCache>
            </c:numRef>
          </c:val>
          <c:extLst>
            <c:ext xmlns:c16="http://schemas.microsoft.com/office/drawing/2014/chart" uri="{C3380CC4-5D6E-409C-BE32-E72D297353CC}">
              <c16:uniqueId val="{00000002-EC3A-4F8B-8BFE-0E2377986511}"/>
            </c:ext>
          </c:extLst>
        </c:ser>
        <c:dLbls>
          <c:showLegendKey val="0"/>
          <c:showVal val="0"/>
          <c:showCatName val="0"/>
          <c:showSerName val="0"/>
          <c:showPercent val="0"/>
          <c:showBubbleSize val="0"/>
        </c:dLbls>
        <c:gapWidth val="150"/>
        <c:overlap val="100"/>
        <c:axId val="35279232"/>
        <c:axId val="35280768"/>
      </c:barChart>
      <c:catAx>
        <c:axId val="3527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280768"/>
        <c:crosses val="autoZero"/>
        <c:auto val="1"/>
        <c:lblAlgn val="ctr"/>
        <c:lblOffset val="100"/>
        <c:noMultiLvlLbl val="0"/>
      </c:catAx>
      <c:valAx>
        <c:axId val="352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27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cs-CZ" sz="1200"/>
              <a:t>odkud lidé nejčastěji přichází do jednotlivých okresních měst karlovarského kraje</a:t>
            </a:r>
          </a:p>
        </c:rich>
      </c:tx>
      <c:overlay val="0"/>
      <c:spPr>
        <a:noFill/>
        <a:ln>
          <a:noFill/>
        </a:ln>
        <a:effectLst/>
      </c:spPr>
    </c:title>
    <c:autoTitleDeleted val="0"/>
    <c:plotArea>
      <c:layout/>
      <c:barChart>
        <c:barDir val="col"/>
        <c:grouping val="stacked"/>
        <c:varyColors val="0"/>
        <c:ser>
          <c:idx val="0"/>
          <c:order val="0"/>
          <c:tx>
            <c:strRef>
              <c:f>'gr. stěh. odkud kam'!$B$35</c:f>
              <c:strCache>
                <c:ptCount val="1"/>
                <c:pt idx="0">
                  <c:v>Cheb</c:v>
                </c:pt>
              </c:strCache>
            </c:strRef>
          </c:tx>
          <c:spPr>
            <a:solidFill>
              <a:schemeClr val="accent1"/>
            </a:solidFill>
            <a:ln>
              <a:noFill/>
            </a:ln>
            <a:effectLst/>
          </c:spPr>
          <c:invertIfNegative val="0"/>
          <c:cat>
            <c:strRef>
              <c:f>'gr. stěh. odkud kam'!$A$36:$A$42</c:f>
              <c:strCache>
                <c:ptCount val="7"/>
                <c:pt idx="0">
                  <c:v>Sokolov</c:v>
                </c:pt>
                <c:pt idx="1">
                  <c:v>Karlovy Vary</c:v>
                </c:pt>
                <c:pt idx="2">
                  <c:v>Cheb</c:v>
                </c:pt>
                <c:pt idx="3">
                  <c:v>Praha hl. m.</c:v>
                </c:pt>
                <c:pt idx="4">
                  <c:v>Tachov</c:v>
                </c:pt>
                <c:pt idx="5">
                  <c:v>Chomutov</c:v>
                </c:pt>
                <c:pt idx="6">
                  <c:v>Plzeň město</c:v>
                </c:pt>
              </c:strCache>
            </c:strRef>
          </c:cat>
          <c:val>
            <c:numRef>
              <c:f>'gr. stěh. odkud kam'!$B$36:$B$42</c:f>
              <c:numCache>
                <c:formatCode>General</c:formatCode>
                <c:ptCount val="7"/>
                <c:pt idx="0">
                  <c:v>216</c:v>
                </c:pt>
                <c:pt idx="1">
                  <c:v>129</c:v>
                </c:pt>
                <c:pt idx="3">
                  <c:v>106</c:v>
                </c:pt>
                <c:pt idx="4">
                  <c:v>113</c:v>
                </c:pt>
                <c:pt idx="5">
                  <c:v>27</c:v>
                </c:pt>
                <c:pt idx="6">
                  <c:v>36</c:v>
                </c:pt>
              </c:numCache>
            </c:numRef>
          </c:val>
          <c:extLst>
            <c:ext xmlns:c16="http://schemas.microsoft.com/office/drawing/2014/chart" uri="{C3380CC4-5D6E-409C-BE32-E72D297353CC}">
              <c16:uniqueId val="{00000000-D6AF-4975-84E4-2D86B5DBB7DF}"/>
            </c:ext>
          </c:extLst>
        </c:ser>
        <c:ser>
          <c:idx val="1"/>
          <c:order val="1"/>
          <c:tx>
            <c:strRef>
              <c:f>'gr. stěh. odkud kam'!$C$35</c:f>
              <c:strCache>
                <c:ptCount val="1"/>
                <c:pt idx="0">
                  <c:v>Karlovy Vary</c:v>
                </c:pt>
              </c:strCache>
            </c:strRef>
          </c:tx>
          <c:spPr>
            <a:solidFill>
              <a:schemeClr val="accent2"/>
            </a:solidFill>
            <a:ln>
              <a:noFill/>
            </a:ln>
            <a:effectLst/>
          </c:spPr>
          <c:invertIfNegative val="0"/>
          <c:cat>
            <c:strRef>
              <c:f>'gr. stěh. odkud kam'!$A$36:$A$42</c:f>
              <c:strCache>
                <c:ptCount val="7"/>
                <c:pt idx="0">
                  <c:v>Sokolov</c:v>
                </c:pt>
                <c:pt idx="1">
                  <c:v>Karlovy Vary</c:v>
                </c:pt>
                <c:pt idx="2">
                  <c:v>Cheb</c:v>
                </c:pt>
                <c:pt idx="3">
                  <c:v>Praha hl. m.</c:v>
                </c:pt>
                <c:pt idx="4">
                  <c:v>Tachov</c:v>
                </c:pt>
                <c:pt idx="5">
                  <c:v>Chomutov</c:v>
                </c:pt>
                <c:pt idx="6">
                  <c:v>Plzeň město</c:v>
                </c:pt>
              </c:strCache>
            </c:strRef>
          </c:cat>
          <c:val>
            <c:numRef>
              <c:f>'gr. stěh. odkud kam'!$C$36:$C$42</c:f>
              <c:numCache>
                <c:formatCode>General</c:formatCode>
                <c:ptCount val="7"/>
                <c:pt idx="0">
                  <c:v>488</c:v>
                </c:pt>
                <c:pt idx="2">
                  <c:v>145</c:v>
                </c:pt>
                <c:pt idx="3">
                  <c:v>154</c:v>
                </c:pt>
                <c:pt idx="4">
                  <c:v>16</c:v>
                </c:pt>
                <c:pt idx="5">
                  <c:v>86</c:v>
                </c:pt>
                <c:pt idx="6">
                  <c:v>36</c:v>
                </c:pt>
              </c:numCache>
            </c:numRef>
          </c:val>
          <c:extLst>
            <c:ext xmlns:c16="http://schemas.microsoft.com/office/drawing/2014/chart" uri="{C3380CC4-5D6E-409C-BE32-E72D297353CC}">
              <c16:uniqueId val="{00000001-D6AF-4975-84E4-2D86B5DBB7DF}"/>
            </c:ext>
          </c:extLst>
        </c:ser>
        <c:ser>
          <c:idx val="2"/>
          <c:order val="2"/>
          <c:tx>
            <c:strRef>
              <c:f>'gr. stěh. odkud kam'!$D$35</c:f>
              <c:strCache>
                <c:ptCount val="1"/>
                <c:pt idx="0">
                  <c:v>Sokolov</c:v>
                </c:pt>
              </c:strCache>
            </c:strRef>
          </c:tx>
          <c:spPr>
            <a:solidFill>
              <a:schemeClr val="accent3"/>
            </a:solidFill>
            <a:ln>
              <a:noFill/>
            </a:ln>
            <a:effectLst/>
          </c:spPr>
          <c:invertIfNegative val="0"/>
          <c:cat>
            <c:strRef>
              <c:f>'gr. stěh. odkud kam'!$A$36:$A$42</c:f>
              <c:strCache>
                <c:ptCount val="7"/>
                <c:pt idx="0">
                  <c:v>Sokolov</c:v>
                </c:pt>
                <c:pt idx="1">
                  <c:v>Karlovy Vary</c:v>
                </c:pt>
                <c:pt idx="2">
                  <c:v>Cheb</c:v>
                </c:pt>
                <c:pt idx="3">
                  <c:v>Praha hl. m.</c:v>
                </c:pt>
                <c:pt idx="4">
                  <c:v>Tachov</c:v>
                </c:pt>
                <c:pt idx="5">
                  <c:v>Chomutov</c:v>
                </c:pt>
                <c:pt idx="6">
                  <c:v>Plzeň město</c:v>
                </c:pt>
              </c:strCache>
            </c:strRef>
          </c:cat>
          <c:val>
            <c:numRef>
              <c:f>'gr. stěh. odkud kam'!$D$36:$D$42</c:f>
              <c:numCache>
                <c:formatCode>General</c:formatCode>
                <c:ptCount val="7"/>
                <c:pt idx="1">
                  <c:v>382</c:v>
                </c:pt>
                <c:pt idx="2">
                  <c:v>178</c:v>
                </c:pt>
                <c:pt idx="3">
                  <c:v>54</c:v>
                </c:pt>
                <c:pt idx="4">
                  <c:v>25</c:v>
                </c:pt>
                <c:pt idx="5">
                  <c:v>39</c:v>
                </c:pt>
                <c:pt idx="6">
                  <c:v>26</c:v>
                </c:pt>
              </c:numCache>
            </c:numRef>
          </c:val>
          <c:extLst>
            <c:ext xmlns:c16="http://schemas.microsoft.com/office/drawing/2014/chart" uri="{C3380CC4-5D6E-409C-BE32-E72D297353CC}">
              <c16:uniqueId val="{00000002-D6AF-4975-84E4-2D86B5DBB7DF}"/>
            </c:ext>
          </c:extLst>
        </c:ser>
        <c:dLbls>
          <c:showLegendKey val="0"/>
          <c:showVal val="0"/>
          <c:showCatName val="0"/>
          <c:showSerName val="0"/>
          <c:showPercent val="0"/>
          <c:showBubbleSize val="0"/>
        </c:dLbls>
        <c:gapWidth val="150"/>
        <c:overlap val="100"/>
        <c:axId val="35064832"/>
        <c:axId val="35074816"/>
      </c:barChart>
      <c:catAx>
        <c:axId val="3506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074816"/>
        <c:crosses val="autoZero"/>
        <c:auto val="1"/>
        <c:lblAlgn val="ctr"/>
        <c:lblOffset val="100"/>
        <c:noMultiLvlLbl val="0"/>
      </c:catAx>
      <c:valAx>
        <c:axId val="3507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06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'akt.a._míra nezam.'!$A$5</c:f>
              <c:strCache>
                <c:ptCount val="1"/>
                <c:pt idx="0">
                  <c:v>Karlovarský kraj</c:v>
                </c:pt>
              </c:strCache>
            </c:strRef>
          </c:tx>
          <c:spPr>
            <a:ln w="28575" cap="rnd">
              <a:solidFill>
                <a:srgbClr val="FF0000"/>
              </a:solidFill>
              <a:round/>
            </a:ln>
            <a:effectLst/>
          </c:spPr>
          <c:marker>
            <c:symbol val="circle"/>
            <c:size val="5"/>
            <c:spPr>
              <a:solidFill>
                <a:schemeClr val="accent1"/>
              </a:solidFill>
              <a:ln w="9525">
                <a:solidFill>
                  <a:srgbClr val="FF0000"/>
                </a:solidFill>
              </a:ln>
              <a:effectLst/>
            </c:spPr>
          </c:marker>
          <c:dLbls>
            <c:dLbl>
              <c:idx val="0"/>
              <c:layout>
                <c:manualLayout>
                  <c:x val="-8.3333333333333343E-2"/>
                  <c:y val="-2.7777777777778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66-4BFC-985D-677F0745D5D8}"/>
                </c:ext>
              </c:extLst>
            </c:dLbl>
            <c:dLbl>
              <c:idx val="5"/>
              <c:layout>
                <c:manualLayout>
                  <c:x val="-5.7742782152231248E-2"/>
                  <c:y val="5.1863866199392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66-4BFC-985D-677F0745D5D8}"/>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66-4BFC-985D-677F0745D5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'akt.a._míra nezam.'!$B$4:$L$4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'akt.a._míra nezam.'!$B$5:$L$5</c:f>
              <c:numCache>
                <c:formatCode>#,##0.0</c:formatCode>
                <c:ptCount val="11"/>
                <c:pt idx="0">
                  <c:v>10.913680599476995</c:v>
                </c:pt>
                <c:pt idx="1">
                  <c:v>10.17128982307551</c:v>
                </c:pt>
                <c:pt idx="2">
                  <c:v>8.2417800623548398</c:v>
                </c:pt>
                <c:pt idx="3">
                  <c:v>7.5966372979715899</c:v>
                </c:pt>
                <c:pt idx="4" formatCode="#,##0.0_ ;\-#,##0.0\ ">
                  <c:v>10.911990249074305</c:v>
                </c:pt>
                <c:pt idx="5" formatCode="#,##0.0_ ;\-#,##0.0\ ">
                  <c:v>10.816245082209972</c:v>
                </c:pt>
                <c:pt idx="6" formatCode="General">
                  <c:v>8.5</c:v>
                </c:pt>
                <c:pt idx="7" formatCode="General">
                  <c:v>10.5</c:v>
                </c:pt>
                <c:pt idx="8" formatCode="General">
                  <c:v>10.200000000000001</c:v>
                </c:pt>
                <c:pt idx="9" formatCode="General">
                  <c:v>9</c:v>
                </c:pt>
                <c:pt idx="10" formatCode="General">
                  <c:v>6.7</c:v>
                </c:pt>
              </c:numCache>
            </c:numRef>
          </c:val>
          <c:smooth val="0"/>
          <c:extLst>
            <c:ext xmlns:c16="http://schemas.microsoft.com/office/drawing/2014/chart" uri="{C3380CC4-5D6E-409C-BE32-E72D297353CC}">
              <c16:uniqueId val="{00000003-D066-4BFC-985D-677F0745D5D8}"/>
            </c:ext>
          </c:extLst>
        </c:ser>
        <c:ser>
          <c:idx val="1"/>
          <c:order val="1"/>
          <c:tx>
            <c:strRef>
              <c:f>'akt.a._míra nezam.'!$A$6</c:f>
              <c:strCache>
                <c:ptCount val="1"/>
                <c:pt idx="0">
                  <c:v>Ústecký kraj</c:v>
                </c:pt>
              </c:strCache>
            </c:strRef>
          </c:tx>
          <c:spPr>
            <a:ln w="28575" cap="rnd">
              <a:solidFill>
                <a:srgbClr val="5B9BD5">
                  <a:lumMod val="40000"/>
                  <a:lumOff val="60000"/>
                </a:srgbClr>
              </a:solidFill>
              <a:round/>
            </a:ln>
            <a:effectLst/>
          </c:spPr>
          <c:marker>
            <c:symbol val="circle"/>
            <c:size val="5"/>
            <c:spPr>
              <a:solidFill>
                <a:srgbClr val="5B9BD5">
                  <a:lumMod val="40000"/>
                  <a:lumOff val="60000"/>
                </a:srgbClr>
              </a:solidFill>
              <a:ln w="9525">
                <a:solidFill>
                  <a:srgbClr val="5B9BD5">
                    <a:lumMod val="40000"/>
                    <a:lumOff val="60000"/>
                  </a:srgbClr>
                </a:solidFill>
              </a:ln>
              <a:effectLst/>
            </c:spPr>
          </c:marker>
          <c:dLbls>
            <c:dLbl>
              <c:idx val="0"/>
              <c:layout>
                <c:manualLayout>
                  <c:x val="-5.8333333333333584E-2"/>
                  <c:y val="-2.7777777777777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66-4BFC-985D-677F0745D5D8}"/>
                </c:ext>
              </c:extLst>
            </c:dLbl>
            <c:dLbl>
              <c:idx val="5"/>
              <c:layout>
                <c:manualLayout>
                  <c:x val="-5.5118110236220513E-2"/>
                  <c:y val="-6.4829832749240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66-4BFC-985D-677F0745D5D8}"/>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66-4BFC-985D-677F0745D5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'akt.a._míra nezam.'!$B$4:$L$4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'akt.a._míra nezam.'!$B$6:$L$6</c:f>
              <c:numCache>
                <c:formatCode>#,##0.0</c:formatCode>
                <c:ptCount val="11"/>
                <c:pt idx="0">
                  <c:v>14.53491159623314</c:v>
                </c:pt>
                <c:pt idx="1">
                  <c:v>13.712956153222034</c:v>
                </c:pt>
                <c:pt idx="2">
                  <c:v>9.9485322096423747</c:v>
                </c:pt>
                <c:pt idx="3">
                  <c:v>7.9483419390169496</c:v>
                </c:pt>
                <c:pt idx="4" formatCode="#,##0.0_ ;\-#,##0.0\ ">
                  <c:v>10.065299909844288</c:v>
                </c:pt>
                <c:pt idx="5" formatCode="#,##0.0_ ;\-#,##0.0\ ">
                  <c:v>11.155649561321106</c:v>
                </c:pt>
                <c:pt idx="6" formatCode="General">
                  <c:v>9.8000000000000007</c:v>
                </c:pt>
                <c:pt idx="7" formatCode="General">
                  <c:v>10.8</c:v>
                </c:pt>
                <c:pt idx="8" formatCode="General">
                  <c:v>9.4</c:v>
                </c:pt>
                <c:pt idx="9" formatCode="General">
                  <c:v>8.5</c:v>
                </c:pt>
                <c:pt idx="10" formatCode="General">
                  <c:v>7.6</c:v>
                </c:pt>
              </c:numCache>
            </c:numRef>
          </c:val>
          <c:smooth val="0"/>
          <c:extLst>
            <c:ext xmlns:c16="http://schemas.microsoft.com/office/drawing/2014/chart" uri="{C3380CC4-5D6E-409C-BE32-E72D297353CC}">
              <c16:uniqueId val="{00000007-D066-4BFC-985D-677F0745D5D8}"/>
            </c:ext>
          </c:extLst>
        </c:ser>
        <c:ser>
          <c:idx val="2"/>
          <c:order val="2"/>
          <c:tx>
            <c:strRef>
              <c:f>'akt.a._míra nezam.'!$A$7</c:f>
              <c:strCache>
                <c:ptCount val="1"/>
                <c:pt idx="0">
                  <c:v>Plzeňský kraj</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6.666666666666668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66-4BFC-985D-677F0745D5D8}"/>
                </c:ext>
              </c:extLst>
            </c:dLbl>
            <c:dLbl>
              <c:idx val="5"/>
              <c:layout>
                <c:manualLayout>
                  <c:x val="-3.937007874015748E-2"/>
                  <c:y val="6.0507843899291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66-4BFC-985D-677F0745D5D8}"/>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66-4BFC-985D-677F0745D5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'akt.a._míra nezam.'!$B$4:$L$4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'akt.a._míra nezam.'!$B$7:$L$7</c:f>
              <c:numCache>
                <c:formatCode>#,##0.0</c:formatCode>
                <c:ptCount val="11"/>
                <c:pt idx="0">
                  <c:v>5.0841932019493861</c:v>
                </c:pt>
                <c:pt idx="1">
                  <c:v>4.6191963000103069</c:v>
                </c:pt>
                <c:pt idx="2">
                  <c:v>3.6805799807634219</c:v>
                </c:pt>
                <c:pt idx="3">
                  <c:v>3.6006714753805098</c:v>
                </c:pt>
                <c:pt idx="4" formatCode="#,##0.0_ ;\-#,##0.0\ ">
                  <c:v>6.2918484403789714</c:v>
                </c:pt>
                <c:pt idx="5" formatCode="#,##0.0_ ;\-#,##0.0\ ">
                  <c:v>5.865362549356246</c:v>
                </c:pt>
                <c:pt idx="6" formatCode="General">
                  <c:v>5.0999999999999996</c:v>
                </c:pt>
                <c:pt idx="7" formatCode="General">
                  <c:v>4.8</c:v>
                </c:pt>
                <c:pt idx="8" formatCode="General">
                  <c:v>5.2</c:v>
                </c:pt>
                <c:pt idx="9" formatCode="General">
                  <c:v>5.0999999999999996</c:v>
                </c:pt>
                <c:pt idx="10" formatCode="General">
                  <c:v>3.8</c:v>
                </c:pt>
              </c:numCache>
            </c:numRef>
          </c:val>
          <c:smooth val="0"/>
          <c:extLst>
            <c:ext xmlns:c16="http://schemas.microsoft.com/office/drawing/2014/chart" uri="{C3380CC4-5D6E-409C-BE32-E72D297353CC}">
              <c16:uniqueId val="{0000000B-D066-4BFC-985D-677F0745D5D8}"/>
            </c:ext>
          </c:extLst>
        </c:ser>
        <c:ser>
          <c:idx val="3"/>
          <c:order val="3"/>
          <c:tx>
            <c:strRef>
              <c:f>'akt.a._míra nezam.'!$A$8</c:f>
              <c:strCache>
                <c:ptCount val="1"/>
                <c:pt idx="0">
                  <c:v>ČR</c:v>
                </c:pt>
              </c:strCache>
            </c:strRef>
          </c:tx>
          <c:spPr>
            <a:ln w="28575" cap="rnd">
              <a:solidFill>
                <a:sysClr val="windowText" lastClr="000000"/>
              </a:solidFill>
              <a:round/>
            </a:ln>
            <a:effectLst/>
          </c:spPr>
          <c:marker>
            <c:symbol val="circle"/>
            <c:size val="5"/>
            <c:spPr>
              <a:solidFill>
                <a:sysClr val="windowText" lastClr="000000"/>
              </a:solidFill>
              <a:ln w="9525">
                <a:solidFill>
                  <a:sysClr val="windowText" lastClr="000000"/>
                </a:solidFill>
              </a:ln>
              <a:effectLst/>
            </c:spPr>
          </c:marker>
          <c:dLbls>
            <c:dLbl>
              <c:idx val="0"/>
              <c:layout>
                <c:manualLayout>
                  <c:x val="-6.666666666666668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66-4BFC-985D-677F0745D5D8}"/>
                </c:ext>
              </c:extLst>
            </c:dLbl>
            <c:dLbl>
              <c:idx val="5"/>
              <c:layout>
                <c:manualLayout>
                  <c:x val="-2.6246719160105052E-2"/>
                  <c:y val="3.4575910799595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66-4BFC-985D-677F0745D5D8}"/>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66-4BFC-985D-677F0745D5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'akt.a._míra nezam.'!$B$4:$L$4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'akt.a._míra nezam.'!$B$8:$L$8</c:f>
              <c:numCache>
                <c:formatCode>#,##0.0</c:formatCode>
                <c:ptCount val="11"/>
                <c:pt idx="0">
                  <c:v>7.9269508692622814</c:v>
                </c:pt>
                <c:pt idx="1">
                  <c:v>7.1411393507109855</c:v>
                </c:pt>
                <c:pt idx="2">
                  <c:v>5.3158178729531755</c:v>
                </c:pt>
                <c:pt idx="3">
                  <c:v>4.3925398373336675</c:v>
                </c:pt>
                <c:pt idx="4">
                  <c:v>6.7</c:v>
                </c:pt>
                <c:pt idx="5">
                  <c:v>7.3</c:v>
                </c:pt>
                <c:pt idx="6" formatCode="General">
                  <c:v>6.7</c:v>
                </c:pt>
                <c:pt idx="7" formatCode="General">
                  <c:v>7</c:v>
                </c:pt>
                <c:pt idx="8" formatCode="General">
                  <c:v>7</c:v>
                </c:pt>
                <c:pt idx="9" formatCode="General">
                  <c:v>6.1</c:v>
                </c:pt>
              </c:numCache>
            </c:numRef>
          </c:val>
          <c:smooth val="0"/>
          <c:extLst>
            <c:ext xmlns:c16="http://schemas.microsoft.com/office/drawing/2014/chart" uri="{C3380CC4-5D6E-409C-BE32-E72D297353CC}">
              <c16:uniqueId val="{0000000F-D066-4BFC-985D-677F0745D5D8}"/>
            </c:ext>
          </c:extLst>
        </c:ser>
        <c:dLbls>
          <c:showLegendKey val="0"/>
          <c:showVal val="0"/>
          <c:showCatName val="0"/>
          <c:showSerName val="0"/>
          <c:showPercent val="0"/>
          <c:showBubbleSize val="0"/>
        </c:dLbls>
        <c:marker val="1"/>
        <c:smooth val="0"/>
        <c:axId val="126978304"/>
        <c:axId val="126996480"/>
      </c:lineChart>
      <c:catAx>
        <c:axId val="12697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996480"/>
        <c:crosses val="autoZero"/>
        <c:auto val="1"/>
        <c:lblAlgn val="ctr"/>
        <c:lblOffset val="100"/>
        <c:noMultiLvlLbl val="0"/>
      </c:catAx>
      <c:valAx>
        <c:axId val="126996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9783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94291338582732"/>
          <c:y val="0.19486111111111121"/>
          <c:w val="0.726445975503064"/>
          <c:h val="0.720887649460486"/>
        </c:manualLayout>
      </c:layout>
      <c:barChart>
        <c:barDir val="bar"/>
        <c:grouping val="stacked"/>
        <c:varyColors val="0"/>
        <c:ser>
          <c:idx val="0"/>
          <c:order val="0"/>
          <c:spPr>
            <a:solidFill>
              <a:schemeClr val="accent1"/>
            </a:solidFill>
            <a:ln>
              <a:noFill/>
            </a:ln>
            <a:effectLst/>
          </c:spPr>
          <c:invertIfNegative val="0"/>
          <c:dPt>
            <c:idx val="13"/>
            <c:invertIfNegative val="0"/>
            <c:bubble3D val="0"/>
            <c:spPr>
              <a:solidFill>
                <a:srgbClr val="FF0000"/>
              </a:solidFill>
              <a:ln>
                <a:noFill/>
              </a:ln>
              <a:effectLst/>
            </c:spPr>
            <c:extLst>
              <c:ext xmlns:c16="http://schemas.microsoft.com/office/drawing/2014/chart" uri="{C3380CC4-5D6E-409C-BE32-E72D297353CC}">
                <c16:uniqueId val="{00000000-D877-4A0D-871F-3F1972C02D8A}"/>
              </c:ext>
            </c:extLst>
          </c:dPt>
          <c:dLbls>
            <c:dLbl>
              <c:idx val="1"/>
              <c:layout>
                <c:manualLayout>
                  <c:x val="7.5000000000000011E-2"/>
                  <c:y val="-2.121889068003365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77-4A0D-871F-3F1972C02D8A}"/>
                </c:ext>
              </c:extLst>
            </c:dLbl>
            <c:dLbl>
              <c:idx val="2"/>
              <c:layout>
                <c:manualLayout>
                  <c:x val="6.66666666666666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77-4A0D-871F-3F1972C02D8A}"/>
                </c:ext>
              </c:extLst>
            </c:dLbl>
            <c:dLbl>
              <c:idx val="3"/>
              <c:layout>
                <c:manualLayout>
                  <c:x val="8.33333333333333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77-4A0D-871F-3F1972C02D8A}"/>
                </c:ext>
              </c:extLst>
            </c:dLbl>
            <c:dLbl>
              <c:idx val="4"/>
              <c:layout>
                <c:manualLayout>
                  <c:x val="8.333333333333334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77-4A0D-871F-3F1972C02D8A}"/>
                </c:ext>
              </c:extLst>
            </c:dLbl>
            <c:dLbl>
              <c:idx val="5"/>
              <c:layout>
                <c:manualLayout>
                  <c:x val="8.61111111111108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77-4A0D-871F-3F1972C02D8A}"/>
                </c:ext>
              </c:extLst>
            </c:dLbl>
            <c:dLbl>
              <c:idx val="6"/>
              <c:layout>
                <c:manualLayout>
                  <c:x val="0.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77-4A0D-871F-3F1972C02D8A}"/>
                </c:ext>
              </c:extLst>
            </c:dLbl>
            <c:dLbl>
              <c:idx val="7"/>
              <c:layout>
                <c:manualLayout>
                  <c:x val="0.1"/>
                  <c:y val="-8.48755627201347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77-4A0D-871F-3F1972C02D8A}"/>
                </c:ext>
              </c:extLst>
            </c:dLbl>
            <c:dLbl>
              <c:idx val="8"/>
              <c:layout>
                <c:manualLayout>
                  <c:x val="0.1222222222222227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77-4A0D-871F-3F1972C02D8A}"/>
                </c:ext>
              </c:extLst>
            </c:dLbl>
            <c:dLbl>
              <c:idx val="9"/>
              <c:layout>
                <c:manualLayout>
                  <c:x val="0.1277777777777777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77-4A0D-871F-3F1972C02D8A}"/>
                </c:ext>
              </c:extLst>
            </c:dLbl>
            <c:dLbl>
              <c:idx val="10"/>
              <c:layout>
                <c:manualLayout>
                  <c:x val="0.13888888888888884"/>
                  <c:y val="-8.487556272013478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77-4A0D-871F-3F1972C02D8A}"/>
                </c:ext>
              </c:extLst>
            </c:dLbl>
            <c:dLbl>
              <c:idx val="11"/>
              <c:layout>
                <c:manualLayout>
                  <c:x val="0.1416666666666666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77-4A0D-871F-3F1972C02D8A}"/>
                </c:ext>
              </c:extLst>
            </c:dLbl>
            <c:dLbl>
              <c:idx val="12"/>
              <c:layout>
                <c:manualLayout>
                  <c:x val="0.15000000000000024"/>
                  <c:y val="9.25925925925931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77-4A0D-871F-3F1972C02D8A}"/>
                </c:ext>
              </c:extLst>
            </c:dLbl>
            <c:dLbl>
              <c:idx val="13"/>
              <c:layout>
                <c:manualLayout>
                  <c:x val="0.1888888888888889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77-4A0D-871F-3F1972C02D8A}"/>
                </c:ext>
              </c:extLst>
            </c:dLbl>
            <c:dLbl>
              <c:idx val="14"/>
              <c:layout>
                <c:manualLayout>
                  <c:x val="0.3694444444444454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77-4A0D-871F-3F1972C02D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'srov.ukaz.krajů_gr. cizinci'!$S$41:$S$55</c:f>
              <c:strCache>
                <c:ptCount val="15"/>
                <c:pt idx="1">
                  <c:v>Zlínský</c:v>
                </c:pt>
                <c:pt idx="2">
                  <c:v>Vysočina</c:v>
                </c:pt>
                <c:pt idx="3">
                  <c:v>Olomoucký </c:v>
                </c:pt>
                <c:pt idx="4">
                  <c:v>Moravskoslezský </c:v>
                </c:pt>
                <c:pt idx="5">
                  <c:v>Pardubický </c:v>
                </c:pt>
                <c:pt idx="6">
                  <c:v>Královéhradecký </c:v>
                </c:pt>
                <c:pt idx="7">
                  <c:v>Jihočeský </c:v>
                </c:pt>
                <c:pt idx="8">
                  <c:v>Jihomoravský </c:v>
                </c:pt>
                <c:pt idx="9">
                  <c:v>Ústecký </c:v>
                </c:pt>
                <c:pt idx="10">
                  <c:v>Liberecký</c:v>
                </c:pt>
                <c:pt idx="11">
                  <c:v>Středočeský </c:v>
                </c:pt>
                <c:pt idx="12">
                  <c:v>Plzeňský </c:v>
                </c:pt>
                <c:pt idx="13">
                  <c:v>Karlovarský </c:v>
                </c:pt>
                <c:pt idx="14">
                  <c:v>Hl. město Praha</c:v>
                </c:pt>
              </c:strCache>
            </c:strRef>
          </c:cat>
          <c:val>
            <c:numRef>
              <c:f>'srov.ukaz.krajů_gr. cizinci'!$T$41:$T$55</c:f>
              <c:numCache>
                <c:formatCode>0.0_ ;\-0.0\ </c:formatCode>
                <c:ptCount val="15"/>
                <c:pt idx="1">
                  <c:v>1.4602959587874298</c:v>
                </c:pt>
                <c:pt idx="2">
                  <c:v>1.5800579027430266</c:v>
                </c:pt>
                <c:pt idx="3">
                  <c:v>1.6405710882628191</c:v>
                </c:pt>
                <c:pt idx="4">
                  <c:v>2.0186910033783589</c:v>
                </c:pt>
                <c:pt idx="5">
                  <c:v>2.3270412225927011</c:v>
                </c:pt>
                <c:pt idx="6">
                  <c:v>2.4814071281289607</c:v>
                </c:pt>
                <c:pt idx="7">
                  <c:v>2.5696341054255498</c:v>
                </c:pt>
                <c:pt idx="8">
                  <c:v>3.4353311631667407</c:v>
                </c:pt>
                <c:pt idx="9">
                  <c:v>3.9634138930952587</c:v>
                </c:pt>
                <c:pt idx="10">
                  <c:v>4.0701575610898875</c:v>
                </c:pt>
                <c:pt idx="11">
                  <c:v>4.6486634772201834</c:v>
                </c:pt>
                <c:pt idx="12">
                  <c:v>4.7352137297612407</c:v>
                </c:pt>
                <c:pt idx="13">
                  <c:v>6.4040318573136155</c:v>
                </c:pt>
                <c:pt idx="14">
                  <c:v>13.523857764691098</c:v>
                </c:pt>
              </c:numCache>
            </c:numRef>
          </c:val>
          <c:extLst>
            <c:ext xmlns:c16="http://schemas.microsoft.com/office/drawing/2014/chart" uri="{C3380CC4-5D6E-409C-BE32-E72D297353CC}">
              <c16:uniqueId val="{0000000E-D877-4A0D-871F-3F1972C02D8A}"/>
            </c:ext>
          </c:extLst>
        </c:ser>
        <c:dLbls>
          <c:showLegendKey val="0"/>
          <c:showVal val="1"/>
          <c:showCatName val="0"/>
          <c:showSerName val="0"/>
          <c:showPercent val="0"/>
          <c:showBubbleSize val="0"/>
        </c:dLbls>
        <c:gapWidth val="150"/>
        <c:overlap val="100"/>
        <c:axId val="35341440"/>
        <c:axId val="35342976"/>
      </c:barChart>
      <c:catAx>
        <c:axId val="3534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342976"/>
        <c:crosses val="autoZero"/>
        <c:auto val="1"/>
        <c:lblAlgn val="ctr"/>
        <c:lblOffset val="100"/>
        <c:noMultiLvlLbl val="0"/>
      </c:catAx>
      <c:valAx>
        <c:axId val="35342976"/>
        <c:scaling>
          <c:orientation val="minMax"/>
        </c:scaling>
        <c:delete val="0"/>
        <c:axPos val="b"/>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34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'gr. mladistvi'!$A$5</c:f>
              <c:strCache>
                <c:ptCount val="1"/>
                <c:pt idx="0">
                  <c:v>   0-4</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B4-4675-A203-6813B35C61E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B4-4675-A203-6813B35C61E2}"/>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B4-4675-A203-6813B35C61E2}"/>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B4-4675-A203-6813B35C61E2}"/>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B4-4675-A203-6813B35C61E2}"/>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B4-4675-A203-6813B35C61E2}"/>
                </c:ext>
              </c:extLst>
            </c:dLbl>
            <c:spPr>
              <a:noFill/>
              <a:ln>
                <a:noFill/>
              </a:ln>
              <a:effectLst/>
            </c:spPr>
            <c:txPr>
              <a:bodyPr rot="-5400000" vert="horz" wrap="square" lIns="38100" tIns="19050" rIns="38100" bIns="19050" anchor="ctr">
                <a:spAutoFit/>
              </a:bodyPr>
              <a:lstStyle/>
              <a:p>
                <a:pPr>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 mladistvi'!$B$3:$V$4</c:f>
              <c:strCache>
                <c:ptCount val="2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strCache>
            </c:strRef>
          </c:cat>
          <c:val>
            <c:numRef>
              <c:f>'gr. mladistvi'!$B$5:$V$5</c:f>
              <c:numCache>
                <c:formatCode>0</c:formatCode>
                <c:ptCount val="21"/>
                <c:pt idx="0">
                  <c:v>16450</c:v>
                </c:pt>
                <c:pt idx="1">
                  <c:v>16180</c:v>
                </c:pt>
                <c:pt idx="2">
                  <c:v>15901</c:v>
                </c:pt>
                <c:pt idx="3">
                  <c:v>15620</c:v>
                </c:pt>
                <c:pt idx="4">
                  <c:v>15336</c:v>
                </c:pt>
                <c:pt idx="5">
                  <c:v>15048</c:v>
                </c:pt>
                <c:pt idx="6">
                  <c:v>14760</c:v>
                </c:pt>
                <c:pt idx="7">
                  <c:v>14465</c:v>
                </c:pt>
                <c:pt idx="8">
                  <c:v>14163</c:v>
                </c:pt>
                <c:pt idx="9">
                  <c:v>13854</c:v>
                </c:pt>
                <c:pt idx="10">
                  <c:v>13543</c:v>
                </c:pt>
                <c:pt idx="11">
                  <c:v>13230</c:v>
                </c:pt>
                <c:pt idx="12">
                  <c:v>12927</c:v>
                </c:pt>
                <c:pt idx="13">
                  <c:v>12639</c:v>
                </c:pt>
                <c:pt idx="14">
                  <c:v>12384</c:v>
                </c:pt>
                <c:pt idx="15">
                  <c:v>12170</c:v>
                </c:pt>
                <c:pt idx="16">
                  <c:v>12007</c:v>
                </c:pt>
                <c:pt idx="17">
                  <c:v>11897</c:v>
                </c:pt>
                <c:pt idx="18">
                  <c:v>11841</c:v>
                </c:pt>
                <c:pt idx="19">
                  <c:v>11833</c:v>
                </c:pt>
                <c:pt idx="20">
                  <c:v>11868</c:v>
                </c:pt>
              </c:numCache>
            </c:numRef>
          </c:val>
          <c:extLst>
            <c:ext xmlns:c16="http://schemas.microsoft.com/office/drawing/2014/chart" uri="{C3380CC4-5D6E-409C-BE32-E72D297353CC}">
              <c16:uniqueId val="{00000006-1BB4-4675-A203-6813B35C61E2}"/>
            </c:ext>
          </c:extLst>
        </c:ser>
        <c:ser>
          <c:idx val="1"/>
          <c:order val="1"/>
          <c:tx>
            <c:strRef>
              <c:f>'gr. mladistvi'!$A$6</c:f>
              <c:strCache>
                <c:ptCount val="1"/>
                <c:pt idx="0">
                  <c:v>   5-9</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B4-4675-A203-6813B35C61E2}"/>
                </c:ext>
              </c:extLst>
            </c:dLbl>
            <c:dLbl>
              <c:idx val="1"/>
              <c:tx>
                <c:rich>
                  <a:bodyPr/>
                  <a:lstStyle/>
                  <a:p>
                    <a:fld id="{E611C160-A79D-4EF8-B85D-78BA2C78940D}" type="VALUE">
                      <a:rPr lang="en-US">
                        <a:solidFill>
                          <a:srgbClr val="FF0000"/>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BB4-4675-A203-6813B35C61E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B4-4675-A203-6813B35C61E2}"/>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B4-4675-A203-6813B35C61E2}"/>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B4-4675-A203-6813B35C61E2}"/>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B4-4675-A203-6813B35C61E2}"/>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B4-4675-A203-6813B35C61E2}"/>
                </c:ext>
              </c:extLst>
            </c:dLbl>
            <c:spPr>
              <a:noFill/>
              <a:ln>
                <a:noFill/>
              </a:ln>
              <a:effectLst/>
            </c:spPr>
            <c:txPr>
              <a:bodyPr rot="-5400000" vert="horz" wrap="square" lIns="38100" tIns="19050" rIns="38100" bIns="19050" anchor="ctr">
                <a:spAutoFit/>
              </a:bodyPr>
              <a:lstStyle/>
              <a:p>
                <a:pPr>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 mladistvi'!$B$3:$V$4</c:f>
              <c:strCache>
                <c:ptCount val="2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strCache>
            </c:strRef>
          </c:cat>
          <c:val>
            <c:numRef>
              <c:f>'gr. mladistvi'!$B$6:$V$6</c:f>
              <c:numCache>
                <c:formatCode>0</c:formatCode>
                <c:ptCount val="21"/>
                <c:pt idx="0">
                  <c:v>17047</c:v>
                </c:pt>
                <c:pt idx="1">
                  <c:v>17256</c:v>
                </c:pt>
                <c:pt idx="2">
                  <c:v>17213</c:v>
                </c:pt>
                <c:pt idx="3">
                  <c:v>16951</c:v>
                </c:pt>
                <c:pt idx="4">
                  <c:v>16696</c:v>
                </c:pt>
                <c:pt idx="5">
                  <c:v>16440</c:v>
                </c:pt>
                <c:pt idx="6">
                  <c:v>16172</c:v>
                </c:pt>
                <c:pt idx="7">
                  <c:v>15895</c:v>
                </c:pt>
                <c:pt idx="8">
                  <c:v>15614</c:v>
                </c:pt>
                <c:pt idx="9">
                  <c:v>15330</c:v>
                </c:pt>
                <c:pt idx="10">
                  <c:v>15043</c:v>
                </c:pt>
                <c:pt idx="11">
                  <c:v>14753</c:v>
                </c:pt>
                <c:pt idx="12">
                  <c:v>14458</c:v>
                </c:pt>
                <c:pt idx="13">
                  <c:v>14155</c:v>
                </c:pt>
                <c:pt idx="14">
                  <c:v>13848</c:v>
                </c:pt>
                <c:pt idx="15">
                  <c:v>13538</c:v>
                </c:pt>
                <c:pt idx="16">
                  <c:v>13223</c:v>
                </c:pt>
                <c:pt idx="17">
                  <c:v>12920</c:v>
                </c:pt>
                <c:pt idx="18">
                  <c:v>12633</c:v>
                </c:pt>
                <c:pt idx="19">
                  <c:v>12379</c:v>
                </c:pt>
                <c:pt idx="20">
                  <c:v>12165</c:v>
                </c:pt>
              </c:numCache>
            </c:numRef>
          </c:val>
          <c:extLst>
            <c:ext xmlns:c16="http://schemas.microsoft.com/office/drawing/2014/chart" uri="{C3380CC4-5D6E-409C-BE32-E72D297353CC}">
              <c16:uniqueId val="{0000000E-1BB4-4675-A203-6813B35C61E2}"/>
            </c:ext>
          </c:extLst>
        </c:ser>
        <c:ser>
          <c:idx val="2"/>
          <c:order val="2"/>
          <c:tx>
            <c:strRef>
              <c:f>'gr. mladistvi'!$A$7</c:f>
              <c:strCache>
                <c:ptCount val="1"/>
                <c:pt idx="0">
                  <c:v> 10-14</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B4-4675-A203-6813B35C61E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B4-4675-A203-6813B35C61E2}"/>
                </c:ext>
              </c:extLst>
            </c:dLbl>
            <c:dLbl>
              <c:idx val="6"/>
              <c:spPr>
                <a:noFill/>
                <a:ln>
                  <a:noFill/>
                </a:ln>
                <a:effectLst/>
              </c:spPr>
              <c:txPr>
                <a:bodyPr rot="-5400000" vert="horz" wrap="square" lIns="38100" tIns="19050" rIns="38100" bIns="19050" anchor="ctr">
                  <a:spAutoFit/>
                </a:bodyPr>
                <a:lstStyle/>
                <a:p>
                  <a:pPr>
                    <a:defRPr>
                      <a:solidFill>
                        <a:srgbClr val="FF0000"/>
                      </a:solidFill>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B4-4675-A203-6813B35C61E2}"/>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BB4-4675-A203-6813B35C61E2}"/>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B4-4675-A203-6813B35C61E2}"/>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B4-4675-A203-6813B35C61E2}"/>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B4-4675-A203-6813B35C61E2}"/>
                </c:ext>
              </c:extLst>
            </c:dLbl>
            <c:spPr>
              <a:noFill/>
              <a:ln>
                <a:noFill/>
              </a:ln>
              <a:effectLst/>
            </c:spPr>
            <c:txPr>
              <a:bodyPr rot="-5400000" vert="horz" wrap="square" lIns="38100" tIns="19050" rIns="38100" bIns="19050" anchor="ctr">
                <a:spAutoFit/>
              </a:bodyPr>
              <a:lstStyle/>
              <a:p>
                <a:pPr>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 mladistvi'!$B$3:$V$4</c:f>
              <c:strCache>
                <c:ptCount val="2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strCache>
            </c:strRef>
          </c:cat>
          <c:val>
            <c:numRef>
              <c:f>'gr. mladistvi'!$B$7:$V$7</c:f>
              <c:numCache>
                <c:formatCode>0</c:formatCode>
                <c:ptCount val="21"/>
                <c:pt idx="0">
                  <c:v>14599</c:v>
                </c:pt>
                <c:pt idx="1">
                  <c:v>14842</c:v>
                </c:pt>
                <c:pt idx="2">
                  <c:v>15308</c:v>
                </c:pt>
                <c:pt idx="3">
                  <c:v>16008</c:v>
                </c:pt>
                <c:pt idx="4">
                  <c:v>16622</c:v>
                </c:pt>
                <c:pt idx="5">
                  <c:v>17041</c:v>
                </c:pt>
                <c:pt idx="6">
                  <c:v>17250</c:v>
                </c:pt>
                <c:pt idx="7">
                  <c:v>17208</c:v>
                </c:pt>
                <c:pt idx="8">
                  <c:v>16946</c:v>
                </c:pt>
                <c:pt idx="9">
                  <c:v>16694</c:v>
                </c:pt>
                <c:pt idx="10">
                  <c:v>16437</c:v>
                </c:pt>
                <c:pt idx="11">
                  <c:v>16167</c:v>
                </c:pt>
                <c:pt idx="12">
                  <c:v>15890</c:v>
                </c:pt>
                <c:pt idx="13">
                  <c:v>15609</c:v>
                </c:pt>
                <c:pt idx="14">
                  <c:v>15322</c:v>
                </c:pt>
                <c:pt idx="15">
                  <c:v>15037</c:v>
                </c:pt>
                <c:pt idx="16">
                  <c:v>14750</c:v>
                </c:pt>
                <c:pt idx="17">
                  <c:v>14453</c:v>
                </c:pt>
                <c:pt idx="18">
                  <c:v>14151</c:v>
                </c:pt>
                <c:pt idx="19">
                  <c:v>13843</c:v>
                </c:pt>
                <c:pt idx="20">
                  <c:v>13531</c:v>
                </c:pt>
              </c:numCache>
            </c:numRef>
          </c:val>
          <c:extLst>
            <c:ext xmlns:c16="http://schemas.microsoft.com/office/drawing/2014/chart" uri="{C3380CC4-5D6E-409C-BE32-E72D297353CC}">
              <c16:uniqueId val="{00000016-1BB4-4675-A203-6813B35C61E2}"/>
            </c:ext>
          </c:extLst>
        </c:ser>
        <c:ser>
          <c:idx val="3"/>
          <c:order val="3"/>
          <c:tx>
            <c:strRef>
              <c:f>'gr. mladistvi'!$A$8</c:f>
              <c:strCache>
                <c:ptCount val="1"/>
                <c:pt idx="0">
                  <c:v> 15-19</c:v>
                </c:pt>
              </c:strCache>
            </c:strRef>
          </c:tx>
          <c:spPr>
            <a:solidFill>
              <a:schemeClr val="accent4"/>
            </a:solidFill>
            <a:ln>
              <a:noFill/>
            </a:ln>
            <a:effectLst/>
          </c:spPr>
          <c:invertIfNegative val="0"/>
          <c:dLbls>
            <c:dLbl>
              <c:idx val="0"/>
              <c:spPr>
                <a:scene3d>
                  <a:camera prst="orthographicFront"/>
                  <a:lightRig rig="threePt" dir="t"/>
                </a:scene3d>
                <a:sp3d>
                  <a:bevelT prst="slope"/>
                </a:sp3d>
              </c:spPr>
              <c:txPr>
                <a:bodyPr rot="-5400000" vert="horz" lIns="38100" tIns="19050" rIns="38100" bIns="19050">
                  <a:spAutoFit/>
                </a:bodyPr>
                <a:lstStyle/>
                <a:p>
                  <a:pPr>
                    <a:defRPr/>
                  </a:pPr>
                  <a:endParaRPr lang="cs-CZ"/>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1BB4-4675-A203-6813B35C61E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BB4-4675-A203-6813B35C61E2}"/>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B4-4675-A203-6813B35C61E2}"/>
                </c:ext>
              </c:extLst>
            </c:dLbl>
            <c:dLbl>
              <c:idx val="11"/>
              <c:spPr>
                <a:noFill/>
                <a:ln>
                  <a:noFill/>
                </a:ln>
                <a:effectLst/>
                <a:scene3d>
                  <a:camera prst="orthographicFront"/>
                  <a:lightRig rig="threePt" dir="t"/>
                </a:scene3d>
                <a:sp3d>
                  <a:bevelT prst="slope"/>
                </a:sp3d>
              </c:spPr>
              <c:txPr>
                <a:bodyPr rot="-5400000" vert="horz" wrap="square" lIns="38100" tIns="19050" rIns="38100" bIns="19050" anchor="ctr">
                  <a:spAutoFit/>
                </a:bodyPr>
                <a:lstStyle/>
                <a:p>
                  <a:pPr>
                    <a:defRPr>
                      <a:solidFill>
                        <a:srgbClr val="FF0000"/>
                      </a:solidFill>
                    </a:defRPr>
                  </a:pPr>
                  <a:endParaRPr lang="cs-C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BB4-4675-A203-6813B35C61E2}"/>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BB4-4675-A203-6813B35C61E2}"/>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BB4-4675-A203-6813B35C61E2}"/>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BB4-4675-A203-6813B35C61E2}"/>
                </c:ext>
              </c:extLst>
            </c:dLbl>
            <c:spPr>
              <a:noFill/>
              <a:ln>
                <a:noFill/>
              </a:ln>
              <a:effectLst/>
              <a:scene3d>
                <a:camera prst="orthographicFront"/>
                <a:lightRig rig="threePt" dir="t"/>
              </a:scene3d>
              <a:sp3d>
                <a:bevelT prst="slope"/>
              </a:sp3d>
            </c:spPr>
            <c:txPr>
              <a:bodyPr rot="-5400000" vert="horz" wrap="square" lIns="38100" tIns="19050" rIns="38100" bIns="19050" anchor="ctr">
                <a:spAutoFit/>
              </a:bodyPr>
              <a:lstStyle/>
              <a:p>
                <a:pPr>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 mladistvi'!$B$3:$V$4</c:f>
              <c:strCache>
                <c:ptCount val="2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strCache>
            </c:strRef>
          </c:cat>
          <c:val>
            <c:numRef>
              <c:f>'gr. mladistvi'!$B$8:$V$8</c:f>
              <c:numCache>
                <c:formatCode>0</c:formatCode>
                <c:ptCount val="21"/>
                <c:pt idx="0">
                  <c:v>13795</c:v>
                </c:pt>
                <c:pt idx="1">
                  <c:v>14011</c:v>
                </c:pt>
                <c:pt idx="2">
                  <c:v>14203</c:v>
                </c:pt>
                <c:pt idx="3">
                  <c:v>14209</c:v>
                </c:pt>
                <c:pt idx="4">
                  <c:v>14385</c:v>
                </c:pt>
                <c:pt idx="5">
                  <c:v>14580</c:v>
                </c:pt>
                <c:pt idx="6">
                  <c:v>14825</c:v>
                </c:pt>
                <c:pt idx="7">
                  <c:v>15292</c:v>
                </c:pt>
                <c:pt idx="8">
                  <c:v>15990</c:v>
                </c:pt>
                <c:pt idx="9">
                  <c:v>16603</c:v>
                </c:pt>
                <c:pt idx="10">
                  <c:v>17024</c:v>
                </c:pt>
                <c:pt idx="11">
                  <c:v>17234</c:v>
                </c:pt>
                <c:pt idx="12">
                  <c:v>17190</c:v>
                </c:pt>
                <c:pt idx="13">
                  <c:v>16929</c:v>
                </c:pt>
                <c:pt idx="14">
                  <c:v>16676</c:v>
                </c:pt>
                <c:pt idx="15">
                  <c:v>16421</c:v>
                </c:pt>
                <c:pt idx="16">
                  <c:v>16151</c:v>
                </c:pt>
                <c:pt idx="17">
                  <c:v>15876</c:v>
                </c:pt>
                <c:pt idx="18">
                  <c:v>15594</c:v>
                </c:pt>
                <c:pt idx="19">
                  <c:v>15309</c:v>
                </c:pt>
                <c:pt idx="20">
                  <c:v>15024</c:v>
                </c:pt>
              </c:numCache>
            </c:numRef>
          </c:val>
          <c:extLst>
            <c:ext xmlns:c16="http://schemas.microsoft.com/office/drawing/2014/chart" uri="{C3380CC4-5D6E-409C-BE32-E72D297353CC}">
              <c16:uniqueId val="{0000001E-1BB4-4675-A203-6813B35C61E2}"/>
            </c:ext>
          </c:extLst>
        </c:ser>
        <c:dLbls>
          <c:showLegendKey val="0"/>
          <c:showVal val="0"/>
          <c:showCatName val="0"/>
          <c:showSerName val="0"/>
          <c:showPercent val="0"/>
          <c:showBubbleSize val="0"/>
        </c:dLbls>
        <c:gapWidth val="150"/>
        <c:overlap val="100"/>
        <c:axId val="35427072"/>
        <c:axId val="35428608"/>
      </c:barChart>
      <c:catAx>
        <c:axId val="3542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428608"/>
        <c:crosses val="autoZero"/>
        <c:auto val="1"/>
        <c:lblAlgn val="ctr"/>
        <c:lblOffset val="100"/>
        <c:noMultiLvlLbl val="0"/>
      </c:catAx>
      <c:valAx>
        <c:axId val="3542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427072"/>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gr.senioři!$A$26</c:f>
              <c:strCache>
                <c:ptCount val="1"/>
                <c:pt idx="0">
                  <c:v> 65-69</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E5-46AA-A3C5-9F001CB24E5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E5-46AA-A3C5-9F001CB24E59}"/>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E5-46AA-A3C5-9F001CB24E59}"/>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E5-46AA-A3C5-9F001CB24E59}"/>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E5-46AA-A3C5-9F001CB24E59}"/>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E5-46AA-A3C5-9F001CB24E59}"/>
                </c:ext>
              </c:extLst>
            </c:dLbl>
            <c:spPr>
              <a:noFill/>
              <a:ln>
                <a:noFill/>
              </a:ln>
              <a:effectLst/>
            </c:spPr>
            <c:txPr>
              <a:bodyPr rot="-5400000" vert="horz" wrap="square" lIns="38100" tIns="19050" rIns="38100" bIns="19050" anchor="ctr">
                <a:spAutoFit/>
              </a:bodyPr>
              <a:lstStyle/>
              <a:p>
                <a:pPr>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gr.senioři!$B$24:$V$25</c:f>
              <c:strCache>
                <c:ptCount val="2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strCache>
            </c:strRef>
          </c:cat>
          <c:val>
            <c:numRef>
              <c:f>gr.senioři!$B$26:$V$26</c:f>
              <c:numCache>
                <c:formatCode>0</c:formatCode>
                <c:ptCount val="21"/>
                <c:pt idx="0">
                  <c:v>20738</c:v>
                </c:pt>
                <c:pt idx="1">
                  <c:v>21160</c:v>
                </c:pt>
                <c:pt idx="2">
                  <c:v>20799</c:v>
                </c:pt>
                <c:pt idx="3">
                  <c:v>20684</c:v>
                </c:pt>
                <c:pt idx="4">
                  <c:v>20515</c:v>
                </c:pt>
                <c:pt idx="5">
                  <c:v>20137</c:v>
                </c:pt>
                <c:pt idx="6">
                  <c:v>19745</c:v>
                </c:pt>
                <c:pt idx="7">
                  <c:v>19494</c:v>
                </c:pt>
                <c:pt idx="8">
                  <c:v>18801</c:v>
                </c:pt>
                <c:pt idx="9">
                  <c:v>18093</c:v>
                </c:pt>
                <c:pt idx="10">
                  <c:v>17596</c:v>
                </c:pt>
                <c:pt idx="11">
                  <c:v>16986</c:v>
                </c:pt>
                <c:pt idx="12">
                  <c:v>16677</c:v>
                </c:pt>
                <c:pt idx="13">
                  <c:v>17009</c:v>
                </c:pt>
                <c:pt idx="14">
                  <c:v>17709</c:v>
                </c:pt>
                <c:pt idx="15">
                  <c:v>18143</c:v>
                </c:pt>
                <c:pt idx="16">
                  <c:v>18469</c:v>
                </c:pt>
                <c:pt idx="17">
                  <c:v>18657</c:v>
                </c:pt>
                <c:pt idx="18">
                  <c:v>18429</c:v>
                </c:pt>
                <c:pt idx="19">
                  <c:v>18380</c:v>
                </c:pt>
                <c:pt idx="20">
                  <c:v>18503</c:v>
                </c:pt>
              </c:numCache>
            </c:numRef>
          </c:val>
          <c:extLst>
            <c:ext xmlns:c16="http://schemas.microsoft.com/office/drawing/2014/chart" uri="{C3380CC4-5D6E-409C-BE32-E72D297353CC}">
              <c16:uniqueId val="{00000006-20E5-46AA-A3C5-9F001CB24E59}"/>
            </c:ext>
          </c:extLst>
        </c:ser>
        <c:ser>
          <c:idx val="1"/>
          <c:order val="1"/>
          <c:tx>
            <c:strRef>
              <c:f>gr.senioři!$A$27</c:f>
              <c:strCache>
                <c:ptCount val="1"/>
                <c:pt idx="0">
                  <c:v>70 - 79</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E5-46AA-A3C5-9F001CB24E59}"/>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E5-46AA-A3C5-9F001CB24E59}"/>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E5-46AA-A3C5-9F001CB24E59}"/>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E5-46AA-A3C5-9F001CB24E59}"/>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E5-46AA-A3C5-9F001CB24E59}"/>
                </c:ext>
              </c:extLst>
            </c:dLbl>
            <c:spPr>
              <a:noFill/>
              <a:ln>
                <a:noFill/>
              </a:ln>
              <a:effectLst/>
            </c:spPr>
            <c:txPr>
              <a:bodyPr rot="-5400000" vert="horz" wrap="square" lIns="38100" tIns="19050" rIns="38100" bIns="19050" anchor="ctr">
                <a:spAutoFit/>
              </a:bodyPr>
              <a:lstStyle/>
              <a:p>
                <a:pPr>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gr.senioři!$B$24:$V$25</c:f>
              <c:strCache>
                <c:ptCount val="2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strCache>
            </c:strRef>
          </c:cat>
          <c:val>
            <c:numRef>
              <c:f>gr.senioři!$B$27:$V$27</c:f>
              <c:numCache>
                <c:formatCode>0</c:formatCode>
                <c:ptCount val="21"/>
                <c:pt idx="0">
                  <c:v>23054</c:v>
                </c:pt>
                <c:pt idx="1">
                  <c:v>24387</c:v>
                </c:pt>
                <c:pt idx="2">
                  <c:v>26137</c:v>
                </c:pt>
                <c:pt idx="3">
                  <c:v>27714</c:v>
                </c:pt>
                <c:pt idx="4">
                  <c:v>28898</c:v>
                </c:pt>
                <c:pt idx="5">
                  <c:v>30077</c:v>
                </c:pt>
                <c:pt idx="6">
                  <c:v>31348</c:v>
                </c:pt>
                <c:pt idx="7">
                  <c:v>32287</c:v>
                </c:pt>
                <c:pt idx="8">
                  <c:v>33248</c:v>
                </c:pt>
                <c:pt idx="9">
                  <c:v>33854</c:v>
                </c:pt>
                <c:pt idx="10">
                  <c:v>34492</c:v>
                </c:pt>
                <c:pt idx="11">
                  <c:v>34598</c:v>
                </c:pt>
                <c:pt idx="12">
                  <c:v>34234</c:v>
                </c:pt>
                <c:pt idx="13">
                  <c:v>33675</c:v>
                </c:pt>
                <c:pt idx="14">
                  <c:v>33020</c:v>
                </c:pt>
                <c:pt idx="15">
                  <c:v>32397</c:v>
                </c:pt>
                <c:pt idx="16">
                  <c:v>31652</c:v>
                </c:pt>
                <c:pt idx="17">
                  <c:v>31290</c:v>
                </c:pt>
                <c:pt idx="18">
                  <c:v>31148</c:v>
                </c:pt>
                <c:pt idx="19">
                  <c:v>31305</c:v>
                </c:pt>
                <c:pt idx="20">
                  <c:v>31377</c:v>
                </c:pt>
              </c:numCache>
            </c:numRef>
          </c:val>
          <c:extLst>
            <c:ext xmlns:c16="http://schemas.microsoft.com/office/drawing/2014/chart" uri="{C3380CC4-5D6E-409C-BE32-E72D297353CC}">
              <c16:uniqueId val="{0000000C-20E5-46AA-A3C5-9F001CB24E59}"/>
            </c:ext>
          </c:extLst>
        </c:ser>
        <c:ser>
          <c:idx val="2"/>
          <c:order val="2"/>
          <c:tx>
            <c:strRef>
              <c:f>gr.senioři!$A$28</c:f>
              <c:strCache>
                <c:ptCount val="1"/>
                <c:pt idx="0">
                  <c:v>80+</c:v>
                </c:pt>
              </c:strCache>
            </c:strRef>
          </c:tx>
          <c:spPr>
            <a:solidFill>
              <a:schemeClr val="accent3"/>
            </a:solidFill>
            <a:ln>
              <a:noFill/>
            </a:ln>
            <a:effectLst/>
          </c:spPr>
          <c:invertIfNegative val="0"/>
          <c:dLbls>
            <c:dLbl>
              <c:idx val="0"/>
              <c:layout>
                <c:manualLayout>
                  <c:x val="-1.0168120658651729E-17"/>
                  <c:y val="-4.7244094488188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E5-46AA-A3C5-9F001CB24E59}"/>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E5-46AA-A3C5-9F001CB24E59}"/>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E5-46AA-A3C5-9F001CB24E59}"/>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E5-46AA-A3C5-9F001CB24E59}"/>
                </c:ext>
              </c:extLst>
            </c:dLbl>
            <c:spPr>
              <a:noFill/>
              <a:ln>
                <a:noFill/>
              </a:ln>
              <a:effectLst/>
            </c:spPr>
            <c:txPr>
              <a:bodyPr rot="-5400000" vert="horz" wrap="square" lIns="38100" tIns="19050" rIns="38100" bIns="19050" anchor="ctr">
                <a:spAutoFit/>
              </a:bodyPr>
              <a:lstStyle/>
              <a:p>
                <a:pPr>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gr.senioři!$B$24:$V$25</c:f>
              <c:strCache>
                <c:ptCount val="2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strCache>
            </c:strRef>
          </c:cat>
          <c:val>
            <c:numRef>
              <c:f>gr.senioři!$B$28:$V$28</c:f>
              <c:numCache>
                <c:formatCode>0</c:formatCode>
                <c:ptCount val="21"/>
                <c:pt idx="0">
                  <c:v>10624</c:v>
                </c:pt>
                <c:pt idx="1">
                  <c:v>10928</c:v>
                </c:pt>
                <c:pt idx="2">
                  <c:v>11244</c:v>
                </c:pt>
                <c:pt idx="3">
                  <c:v>11663</c:v>
                </c:pt>
                <c:pt idx="4">
                  <c:v>12217</c:v>
                </c:pt>
                <c:pt idx="5">
                  <c:v>12884</c:v>
                </c:pt>
                <c:pt idx="6">
                  <c:v>13459</c:v>
                </c:pt>
                <c:pt idx="7">
                  <c:v>14047</c:v>
                </c:pt>
                <c:pt idx="8">
                  <c:v>14766</c:v>
                </c:pt>
                <c:pt idx="9">
                  <c:v>15525</c:v>
                </c:pt>
                <c:pt idx="10">
                  <c:v>16177</c:v>
                </c:pt>
                <c:pt idx="11">
                  <c:v>17332</c:v>
                </c:pt>
                <c:pt idx="12">
                  <c:v>18778</c:v>
                </c:pt>
                <c:pt idx="13">
                  <c:v>20151</c:v>
                </c:pt>
                <c:pt idx="14">
                  <c:v>21308</c:v>
                </c:pt>
                <c:pt idx="15">
                  <c:v>22533</c:v>
                </c:pt>
                <c:pt idx="16">
                  <c:v>23736</c:v>
                </c:pt>
                <c:pt idx="17">
                  <c:v>24666</c:v>
                </c:pt>
                <c:pt idx="18">
                  <c:v>25696</c:v>
                </c:pt>
                <c:pt idx="19">
                  <c:v>26457</c:v>
                </c:pt>
                <c:pt idx="20">
                  <c:v>27142</c:v>
                </c:pt>
              </c:numCache>
            </c:numRef>
          </c:val>
          <c:extLst>
            <c:ext xmlns:c16="http://schemas.microsoft.com/office/drawing/2014/chart" uri="{C3380CC4-5D6E-409C-BE32-E72D297353CC}">
              <c16:uniqueId val="{00000011-20E5-46AA-A3C5-9F001CB24E59}"/>
            </c:ext>
          </c:extLst>
        </c:ser>
        <c:dLbls>
          <c:showLegendKey val="0"/>
          <c:showVal val="0"/>
          <c:showCatName val="0"/>
          <c:showSerName val="0"/>
          <c:showPercent val="0"/>
          <c:showBubbleSize val="0"/>
        </c:dLbls>
        <c:gapWidth val="150"/>
        <c:overlap val="100"/>
        <c:axId val="34263040"/>
        <c:axId val="34264576"/>
      </c:barChart>
      <c:catAx>
        <c:axId val="342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264576"/>
        <c:crosses val="autoZero"/>
        <c:auto val="1"/>
        <c:lblAlgn val="ctr"/>
        <c:lblOffset val="100"/>
        <c:noMultiLvlLbl val="0"/>
      </c:catAx>
      <c:valAx>
        <c:axId val="3426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2630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Graf 2: Struktura služeb sociální péče (rok 2016)</c:v>
                </c:pt>
              </c:strCache>
            </c:strRef>
          </c:tx>
          <c:dLbls>
            <c:dLbl>
              <c:idx val="3"/>
              <c:layout>
                <c:manualLayout>
                  <c:x val="0.17967866863864182"/>
                  <c:y val="0.10094937506506881"/>
                </c:manualLayout>
              </c:layout>
              <c:spPr>
                <a:noFill/>
                <a:ln>
                  <a:noFill/>
                </a:ln>
                <a:effectLst/>
              </c:spPr>
              <c:txPr>
                <a:bodyPr wrap="square" lIns="38100" tIns="19050" rIns="38100" bIns="19050" anchor="ctr">
                  <a:noAutofit/>
                </a:bodyPr>
                <a:lstStyle/>
                <a:p>
                  <a:pPr>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5330687830687828"/>
                      <c:h val="0.16651356993736949"/>
                    </c:manualLayout>
                  </c15:layout>
                </c:ext>
                <c:ext xmlns:c16="http://schemas.microsoft.com/office/drawing/2014/chart" uri="{C3380CC4-5D6E-409C-BE32-E72D297353CC}">
                  <c16:uniqueId val="{00000000-1A9F-4DAB-900D-B509AFF4ED53}"/>
                </c:ext>
              </c:extLst>
            </c:dLbl>
            <c:dLbl>
              <c:idx val="4"/>
              <c:layout>
                <c:manualLayout>
                  <c:x val="-3.3297053146134514E-2"/>
                  <c:y val="3.8012043901610421E-2"/>
                </c:manualLayout>
              </c:layout>
              <c:spPr>
                <a:noFill/>
                <a:ln>
                  <a:noFill/>
                </a:ln>
                <a:effectLst/>
              </c:spPr>
              <c:txPr>
                <a:bodyPr wrap="square" lIns="38100" tIns="19050" rIns="38100" bIns="19050" anchor="ctr">
                  <a:noAutofit/>
                </a:bodyPr>
                <a:lstStyle/>
                <a:p>
                  <a:pPr>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21852945465150189"/>
                      <c:h val="0.11919276270006959"/>
                    </c:manualLayout>
                  </c15:layout>
                </c:ext>
                <c:ext xmlns:c16="http://schemas.microsoft.com/office/drawing/2014/chart" uri="{C3380CC4-5D6E-409C-BE32-E72D297353CC}">
                  <c16:uniqueId val="{00000001-1A9F-4DAB-900D-B509AFF4ED53}"/>
                </c:ext>
              </c:extLst>
            </c:dLbl>
            <c:dLbl>
              <c:idx val="5"/>
              <c:layout>
                <c:manualLayout>
                  <c:x val="-1.8412542182227303E-2"/>
                  <c:y val="0.12008953473717664"/>
                </c:manualLayout>
              </c:layout>
              <c:tx>
                <c:rich>
                  <a:bodyPr/>
                  <a:lstStyle/>
                  <a:p>
                    <a:r>
                      <a:rPr lang="en-US"/>
                      <a:t>odlehčovací služby
4%</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6575167687372409"/>
                      <c:h val="7.6297842727905352E-2"/>
                    </c:manualLayout>
                  </c15:layout>
                </c:ext>
                <c:ext xmlns:c16="http://schemas.microsoft.com/office/drawing/2014/chart" uri="{C3380CC4-5D6E-409C-BE32-E72D297353CC}">
                  <c16:uniqueId val="{00000002-1A9F-4DAB-900D-B509AFF4ED53}"/>
                </c:ext>
              </c:extLst>
            </c:dLbl>
            <c:dLbl>
              <c:idx val="6"/>
              <c:layout>
                <c:manualLayout>
                  <c:x val="-0.11929550472857604"/>
                  <c:y val="6.5529783724842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9F-4DAB-900D-B509AFF4ED53}"/>
                </c:ext>
              </c:extLst>
            </c:dLbl>
            <c:dLbl>
              <c:idx val="7"/>
              <c:layout>
                <c:manualLayout>
                  <c:x val="-0.20382400116652091"/>
                  <c:y val="8.11785270056274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A9F-4DAB-900D-B509AFF4ED53}"/>
                </c:ext>
              </c:extLst>
            </c:dLbl>
            <c:dLbl>
              <c:idx val="8"/>
              <c:layout>
                <c:manualLayout>
                  <c:x val="-0.15239900567984571"/>
                  <c:y val="2.34193064071584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9F-4DAB-900D-B509AFF4ED53}"/>
                </c:ext>
              </c:extLst>
            </c:dLbl>
            <c:dLbl>
              <c:idx val="9"/>
              <c:layout>
                <c:manualLayout>
                  <c:x val="3.7745281839770051E-2"/>
                  <c:y val="-9.51444117502013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66754850088186"/>
                      <c:h val="0.14424495476687543"/>
                    </c:manualLayout>
                  </c15:layout>
                </c:ext>
                <c:ext xmlns:c16="http://schemas.microsoft.com/office/drawing/2014/chart" uri="{C3380CC4-5D6E-409C-BE32-E72D297353CC}">
                  <c16:uniqueId val="{00000006-1A9F-4DAB-900D-B509AFF4ED53}"/>
                </c:ext>
              </c:extLst>
            </c:dLbl>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List1!$A$2:$A$14</c:f>
              <c:strCache>
                <c:ptCount val="13"/>
                <c:pt idx="0">
                  <c:v>osobní asistence</c:v>
                </c:pt>
                <c:pt idx="1">
                  <c:v>pečovatelská služba</c:v>
                </c:pt>
                <c:pt idx="2">
                  <c:v>tísňová péče</c:v>
                </c:pt>
                <c:pt idx="3">
                  <c:v>průvodcovské a předčitatelské služby</c:v>
                </c:pt>
                <c:pt idx="4">
                  <c:v>podpora samostatného bydlení</c:v>
                </c:pt>
                <c:pt idx="5">
                  <c:v>odehčovací služby</c:v>
                </c:pt>
                <c:pt idx="6">
                  <c:v>centra denních služeb</c:v>
                </c:pt>
                <c:pt idx="7">
                  <c:v>denní stacionáře</c:v>
                </c:pt>
                <c:pt idx="8">
                  <c:v>týdenní stacionáře</c:v>
                </c:pt>
                <c:pt idx="9">
                  <c:v>domovy pro osoby se zdravotním postižením</c:v>
                </c:pt>
                <c:pt idx="10">
                  <c:v>domovy pro seniory</c:v>
                </c:pt>
                <c:pt idx="11">
                  <c:v>domovy se zvláštním režimem</c:v>
                </c:pt>
                <c:pt idx="12">
                  <c:v>chráněné bydlení</c:v>
                </c:pt>
              </c:strCache>
            </c:strRef>
          </c:cat>
          <c:val>
            <c:numRef>
              <c:f>List1!$B$2:$B$14</c:f>
              <c:numCache>
                <c:formatCode>General</c:formatCode>
                <c:ptCount val="13"/>
                <c:pt idx="0">
                  <c:v>7</c:v>
                </c:pt>
                <c:pt idx="1">
                  <c:v>21</c:v>
                </c:pt>
                <c:pt idx="2">
                  <c:v>2</c:v>
                </c:pt>
                <c:pt idx="3">
                  <c:v>1</c:v>
                </c:pt>
                <c:pt idx="4">
                  <c:v>3</c:v>
                </c:pt>
                <c:pt idx="5">
                  <c:v>3</c:v>
                </c:pt>
                <c:pt idx="6">
                  <c:v>1</c:v>
                </c:pt>
                <c:pt idx="7">
                  <c:v>5</c:v>
                </c:pt>
                <c:pt idx="8">
                  <c:v>1</c:v>
                </c:pt>
                <c:pt idx="9">
                  <c:v>8</c:v>
                </c:pt>
                <c:pt idx="10">
                  <c:v>17</c:v>
                </c:pt>
                <c:pt idx="11">
                  <c:v>9</c:v>
                </c:pt>
                <c:pt idx="12">
                  <c:v>6</c:v>
                </c:pt>
              </c:numCache>
            </c:numRef>
          </c:val>
          <c:extLst>
            <c:ext xmlns:c16="http://schemas.microsoft.com/office/drawing/2014/chart" uri="{C3380CC4-5D6E-409C-BE32-E72D297353CC}">
              <c16:uniqueId val="{00000007-1A9F-4DAB-900D-B509AFF4ED5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525521115416313"/>
          <c:y val="2.0999567120915815E-3"/>
          <c:w val="0.28254020330792073"/>
          <c:h val="0.83713620348604645"/>
        </c:manualLayout>
      </c:layout>
      <c:overlay val="0"/>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416265675123964E-2"/>
          <c:y val="7.9771903512060982E-2"/>
          <c:w val="0.93125966025080265"/>
          <c:h val="0.81206661667291591"/>
        </c:manualLayout>
      </c:layout>
      <c:barChart>
        <c:barDir val="col"/>
        <c:grouping val="clustered"/>
        <c:varyColors val="0"/>
        <c:ser>
          <c:idx val="0"/>
          <c:order val="0"/>
          <c:tx>
            <c:strRef>
              <c:f>List1!$A$2</c:f>
              <c:strCache>
                <c:ptCount val="1"/>
                <c:pt idx="0">
                  <c:v>Kategorie 1</c:v>
                </c:pt>
              </c:strCache>
            </c:strRef>
          </c:tx>
          <c:spPr>
            <a:gradFill>
              <a:gsLst>
                <a:gs pos="0">
                  <a:schemeClr val="accent2">
                    <a:lumMod val="56000"/>
                    <a:lumOff val="44000"/>
                  </a:schemeClr>
                </a:gs>
                <a:gs pos="79990">
                  <a:schemeClr val="accent2">
                    <a:lumMod val="75000"/>
                  </a:schemeClr>
                </a:gs>
                <a:gs pos="42000">
                  <a:schemeClr val="accent2">
                    <a:lumMod val="60000"/>
                    <a:lumOff val="40000"/>
                  </a:schemeClr>
                </a:gs>
                <a:gs pos="100000">
                  <a:schemeClr val="accent2">
                    <a:lumMod val="50000"/>
                  </a:schemeClr>
                </a:gs>
              </a:gsLst>
              <a:lin ang="5400000" scaled="0"/>
            </a:gradFill>
          </c:spPr>
          <c:invertIfNegative val="0"/>
          <c:dLbls>
            <c:dLbl>
              <c:idx val="0"/>
              <c:spPr>
                <a:noFill/>
                <a:ln w="25328">
                  <a:noFill/>
                </a:ln>
              </c:spPr>
              <c:txPr>
                <a:bodyPr/>
                <a:lstStyle/>
                <a:p>
                  <a:pPr>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51-4235-A0D0-A874AD38A309}"/>
                </c:ext>
              </c:extLst>
            </c:dLbl>
            <c:dLbl>
              <c:idx val="3"/>
              <c:layout>
                <c:manualLayout>
                  <c:x val="2.3148148148148997E-3"/>
                  <c:y val="-2.38805970149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51-4235-A0D0-A874AD38A309}"/>
                </c:ext>
              </c:extLst>
            </c:dLbl>
            <c:dLbl>
              <c:idx val="4"/>
              <c:layout>
                <c:manualLayout>
                  <c:x val="0"/>
                  <c:y val="-1.1857249187135191E-2"/>
                </c:manualLayout>
              </c:layout>
              <c:spPr>
                <a:noFill/>
                <a:ln w="25328">
                  <a:noFill/>
                </a:ln>
              </c:spPr>
              <c:txPr>
                <a:bodyPr/>
                <a:lstStyle/>
                <a:p>
                  <a:pPr>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51-4235-A0D0-A874AD38A30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List1!$B$1:$F$1</c:f>
              <c:strCache>
                <c:ptCount val="5"/>
                <c:pt idx="0">
                  <c:v>Karlovarský kraj</c:v>
                </c:pt>
                <c:pt idx="1">
                  <c:v>Kraj Vysočina</c:v>
                </c:pt>
                <c:pt idx="2">
                  <c:v>Zlínský kraj</c:v>
                </c:pt>
                <c:pt idx="3">
                  <c:v>Pardubický kraj</c:v>
                </c:pt>
                <c:pt idx="4">
                  <c:v>Česká republika</c:v>
                </c:pt>
              </c:strCache>
            </c:strRef>
          </c:cat>
          <c:val>
            <c:numRef>
              <c:f>List1!$B$2:$F$2</c:f>
              <c:numCache>
                <c:formatCode>General</c:formatCode>
                <c:ptCount val="5"/>
                <c:pt idx="0">
                  <c:v>8.18</c:v>
                </c:pt>
                <c:pt idx="1">
                  <c:v>8.58</c:v>
                </c:pt>
                <c:pt idx="2">
                  <c:v>8.52</c:v>
                </c:pt>
                <c:pt idx="3">
                  <c:v>9.34</c:v>
                </c:pt>
                <c:pt idx="4">
                  <c:v>10.31</c:v>
                </c:pt>
              </c:numCache>
            </c:numRef>
          </c:val>
          <c:extLst>
            <c:ext xmlns:c16="http://schemas.microsoft.com/office/drawing/2014/chart" uri="{C3380CC4-5D6E-409C-BE32-E72D297353CC}">
              <c16:uniqueId val="{00000003-8F51-4235-A0D0-A874AD38A309}"/>
            </c:ext>
          </c:extLst>
        </c:ser>
        <c:dLbls>
          <c:showLegendKey val="0"/>
          <c:showVal val="0"/>
          <c:showCatName val="0"/>
          <c:showSerName val="0"/>
          <c:showPercent val="0"/>
          <c:showBubbleSize val="0"/>
        </c:dLbls>
        <c:gapWidth val="150"/>
        <c:axId val="37429632"/>
        <c:axId val="37431168"/>
      </c:barChart>
      <c:catAx>
        <c:axId val="37429632"/>
        <c:scaling>
          <c:orientation val="minMax"/>
        </c:scaling>
        <c:delete val="0"/>
        <c:axPos val="b"/>
        <c:numFmt formatCode="General" sourceLinked="1"/>
        <c:majorTickMark val="out"/>
        <c:minorTickMark val="none"/>
        <c:tickLblPos val="nextTo"/>
        <c:crossAx val="37431168"/>
        <c:crosses val="autoZero"/>
        <c:auto val="1"/>
        <c:lblAlgn val="ctr"/>
        <c:lblOffset val="100"/>
        <c:noMultiLvlLbl val="0"/>
      </c:catAx>
      <c:valAx>
        <c:axId val="37431168"/>
        <c:scaling>
          <c:orientation val="minMax"/>
        </c:scaling>
        <c:delete val="0"/>
        <c:axPos val="l"/>
        <c:majorGridlines/>
        <c:numFmt formatCode="General" sourceLinked="1"/>
        <c:majorTickMark val="out"/>
        <c:minorTickMark val="none"/>
        <c:tickLblPos val="nextTo"/>
        <c:crossAx val="37429632"/>
        <c:crosses val="autoZero"/>
        <c:crossBetween val="between"/>
      </c:valAx>
      <c:spPr>
        <a:ln>
          <a:noFill/>
        </a:ln>
      </c:spPr>
    </c:plotArea>
    <c:plotVisOnly val="1"/>
    <c:dispBlanksAs val="gap"/>
    <c:showDLblsOverMax val="0"/>
  </c:chart>
  <c:spPr>
    <a:ln>
      <a:solidFill>
        <a:sysClr val="window" lastClr="FFFFFF">
          <a:lumMod val="50000"/>
        </a:sysClr>
      </a:solid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List1!$A$2</c:f>
              <c:strCache>
                <c:ptCount val="1"/>
                <c:pt idx="0">
                  <c:v>Kategorie 1</c:v>
                </c:pt>
              </c:strCache>
            </c:strRef>
          </c:tx>
          <c:spPr>
            <a:gradFill flip="none" rotWithShape="1">
              <a:gsLst>
                <a:gs pos="0">
                  <a:schemeClr val="accent3">
                    <a:lumMod val="60000"/>
                    <a:lumOff val="40000"/>
                  </a:schemeClr>
                </a:gs>
                <a:gs pos="47000">
                  <a:srgbClr val="9CB86E">
                    <a:lumMod val="83000"/>
                  </a:srgbClr>
                </a:gs>
                <a:gs pos="100000">
                  <a:srgbClr val="156B13"/>
                </a:gs>
              </a:gsLst>
              <a:lin ang="16200000" scaled="1"/>
              <a:tileRect/>
            </a:gradFill>
          </c:spPr>
          <c:invertIfNegative val="0"/>
          <c:dPt>
            <c:idx val="0"/>
            <c:invertIfNegative val="0"/>
            <c:bubble3D val="0"/>
            <c:spPr>
              <a:solidFill>
                <a:schemeClr val="accent3">
                  <a:lumMod val="75000"/>
                </a:schemeClr>
              </a:solidFill>
            </c:spPr>
            <c:extLst>
              <c:ext xmlns:c16="http://schemas.microsoft.com/office/drawing/2014/chart" uri="{C3380CC4-5D6E-409C-BE32-E72D297353CC}">
                <c16:uniqueId val="{00000000-CE55-405F-8DD2-DF9620E9BD6C}"/>
              </c:ext>
            </c:extLst>
          </c:dPt>
          <c:dLbls>
            <c:spPr>
              <a:noFill/>
              <a:ln w="2443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List1!$B$1:$F$1</c:f>
              <c:strCache>
                <c:ptCount val="5"/>
                <c:pt idx="0">
                  <c:v>Karlovarský kraj</c:v>
                </c:pt>
                <c:pt idx="1">
                  <c:v>Kraj Vysočina</c:v>
                </c:pt>
                <c:pt idx="2">
                  <c:v>Zlínský kraj</c:v>
                </c:pt>
                <c:pt idx="3">
                  <c:v>Pardubický kraj</c:v>
                </c:pt>
                <c:pt idx="4">
                  <c:v>Česká republika</c:v>
                </c:pt>
              </c:strCache>
            </c:strRef>
          </c:cat>
          <c:val>
            <c:numRef>
              <c:f>List1!$B$2:$F$2</c:f>
              <c:numCache>
                <c:formatCode>0.0</c:formatCode>
                <c:ptCount val="5"/>
                <c:pt idx="0">
                  <c:v>2.2999999999999998</c:v>
                </c:pt>
                <c:pt idx="1">
                  <c:v>2.5</c:v>
                </c:pt>
                <c:pt idx="2">
                  <c:v>2.4</c:v>
                </c:pt>
                <c:pt idx="3">
                  <c:v>2.2999999999999998</c:v>
                </c:pt>
                <c:pt idx="4">
                  <c:v>2.1</c:v>
                </c:pt>
              </c:numCache>
            </c:numRef>
          </c:val>
          <c:extLst>
            <c:ext xmlns:c16="http://schemas.microsoft.com/office/drawing/2014/chart" uri="{C3380CC4-5D6E-409C-BE32-E72D297353CC}">
              <c16:uniqueId val="{00000001-CE55-405F-8DD2-DF9620E9BD6C}"/>
            </c:ext>
          </c:extLst>
        </c:ser>
        <c:dLbls>
          <c:showLegendKey val="0"/>
          <c:showVal val="0"/>
          <c:showCatName val="0"/>
          <c:showSerName val="0"/>
          <c:showPercent val="0"/>
          <c:showBubbleSize val="0"/>
        </c:dLbls>
        <c:gapWidth val="150"/>
        <c:axId val="37478784"/>
        <c:axId val="37480320"/>
      </c:barChart>
      <c:catAx>
        <c:axId val="37478784"/>
        <c:scaling>
          <c:orientation val="minMax"/>
        </c:scaling>
        <c:delete val="0"/>
        <c:axPos val="b"/>
        <c:numFmt formatCode="General" sourceLinked="1"/>
        <c:majorTickMark val="out"/>
        <c:minorTickMark val="none"/>
        <c:tickLblPos val="nextTo"/>
        <c:crossAx val="37480320"/>
        <c:crosses val="autoZero"/>
        <c:auto val="1"/>
        <c:lblAlgn val="ctr"/>
        <c:lblOffset val="100"/>
        <c:noMultiLvlLbl val="0"/>
      </c:catAx>
      <c:valAx>
        <c:axId val="37480320"/>
        <c:scaling>
          <c:orientation val="minMax"/>
        </c:scaling>
        <c:delete val="0"/>
        <c:axPos val="l"/>
        <c:majorGridlines/>
        <c:numFmt formatCode="0.0" sourceLinked="1"/>
        <c:majorTickMark val="out"/>
        <c:minorTickMark val="none"/>
        <c:tickLblPos val="nextTo"/>
        <c:crossAx val="37478784"/>
        <c:crosses val="autoZero"/>
        <c:crossBetween val="between"/>
      </c:valAx>
    </c:plotArea>
    <c:plotVisOnly val="1"/>
    <c:dispBlanksAs val="gap"/>
    <c:showDLblsOverMax val="0"/>
  </c:chart>
  <c:spPr>
    <a:ln>
      <a:solidFill>
        <a:sysClr val="window" lastClr="FFFFFF">
          <a:lumMod val="50000"/>
        </a:sysClr>
      </a:solid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91657605497433E-2"/>
          <c:y val="2.8106025522513806E-2"/>
          <c:w val="0.92260834239450495"/>
          <c:h val="0.77727474327168355"/>
        </c:manualLayout>
      </c:layout>
      <c:barChart>
        <c:barDir val="col"/>
        <c:grouping val="clustered"/>
        <c:varyColors val="0"/>
        <c:ser>
          <c:idx val="0"/>
          <c:order val="0"/>
          <c:invertIfNegative val="0"/>
          <c:dPt>
            <c:idx val="5"/>
            <c:invertIfNegative val="0"/>
            <c:bubble3D val="0"/>
            <c:spPr>
              <a:solidFill>
                <a:schemeClr val="accent2">
                  <a:lumMod val="60000"/>
                  <a:lumOff val="40000"/>
                </a:schemeClr>
              </a:solidFill>
              <a:effectLst/>
            </c:spPr>
            <c:extLst>
              <c:ext xmlns:c16="http://schemas.microsoft.com/office/drawing/2014/chart" uri="{C3380CC4-5D6E-409C-BE32-E72D297353CC}">
                <c16:uniqueId val="{00000000-79F1-4E13-B69D-577A0C00E6D6}"/>
              </c:ext>
            </c:extLst>
          </c:dPt>
          <c:dPt>
            <c:idx val="6"/>
            <c:invertIfNegative val="0"/>
            <c:bubble3D val="0"/>
            <c:spPr>
              <a:solidFill>
                <a:schemeClr val="accent2">
                  <a:lumMod val="40000"/>
                  <a:lumOff val="60000"/>
                </a:schemeClr>
              </a:solidFill>
            </c:spPr>
            <c:extLst>
              <c:ext xmlns:c16="http://schemas.microsoft.com/office/drawing/2014/chart" uri="{C3380CC4-5D6E-409C-BE32-E72D297353CC}">
                <c16:uniqueId val="{00000001-79F1-4E13-B69D-577A0C00E6D6}"/>
              </c:ext>
            </c:extLst>
          </c:dPt>
          <c:dPt>
            <c:idx val="7"/>
            <c:invertIfNegative val="0"/>
            <c:bubble3D val="0"/>
            <c:spPr>
              <a:solidFill>
                <a:schemeClr val="accent2">
                  <a:lumMod val="20000"/>
                  <a:lumOff val="80000"/>
                </a:schemeClr>
              </a:solidFill>
            </c:spPr>
            <c:extLst>
              <c:ext xmlns:c16="http://schemas.microsoft.com/office/drawing/2014/chart" uri="{C3380CC4-5D6E-409C-BE32-E72D297353CC}">
                <c16:uniqueId val="{00000002-79F1-4E13-B69D-577A0C00E6D6}"/>
              </c:ext>
            </c:extLst>
          </c:dPt>
          <c:dLbls>
            <c:dLbl>
              <c:idx val="0"/>
              <c:layout>
                <c:manualLayout>
                  <c:x val="0"/>
                  <c:y val="1.40350825491245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F1-4E13-B69D-577A0C00E6D6}"/>
                </c:ext>
              </c:extLst>
            </c:dLbl>
            <c:dLbl>
              <c:idx val="1"/>
              <c:layout>
                <c:manualLayout>
                  <c:x val="0"/>
                  <c:y val="1.4034714174254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F1-4E13-B69D-577A0C00E6D6}"/>
                </c:ext>
              </c:extLst>
            </c:dLbl>
            <c:dLbl>
              <c:idx val="4"/>
              <c:layout>
                <c:manualLayout>
                  <c:x val="0"/>
                  <c:y val="1.8713443398832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F1-4E13-B69D-577A0C00E6D6}"/>
                </c:ext>
              </c:extLst>
            </c:dLbl>
            <c:dLbl>
              <c:idx val="7"/>
              <c:layout>
                <c:manualLayout>
                  <c:x val="-2.1197668256491792E-3"/>
                  <c:y val="1.8713443398832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F1-4E13-B69D-577A0C00E6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List1!$A$1:$H$1</c:f>
              <c:strCache>
                <c:ptCount val="8"/>
                <c:pt idx="0">
                  <c:v>Česká republika</c:v>
                </c:pt>
                <c:pt idx="1">
                  <c:v>Zlínský kraj</c:v>
                </c:pt>
                <c:pt idx="2">
                  <c:v>Pardubický kraj</c:v>
                </c:pt>
                <c:pt idx="3">
                  <c:v>Kraj Vysočina</c:v>
                </c:pt>
                <c:pt idx="4">
                  <c:v>Karlovarský kraj</c:v>
                </c:pt>
                <c:pt idx="5">
                  <c:v>okres KV</c:v>
                </c:pt>
                <c:pt idx="6">
                  <c:v>okres CH</c:v>
                </c:pt>
                <c:pt idx="7">
                  <c:v>okres SO</c:v>
                </c:pt>
              </c:strCache>
            </c:strRef>
          </c:cat>
          <c:val>
            <c:numRef>
              <c:f>List1!$A$2:$H$2</c:f>
              <c:numCache>
                <c:formatCode>General</c:formatCode>
                <c:ptCount val="8"/>
                <c:pt idx="0">
                  <c:v>54.04</c:v>
                </c:pt>
                <c:pt idx="1">
                  <c:v>44.309999999999995</c:v>
                </c:pt>
                <c:pt idx="2">
                  <c:v>48.449999999999996</c:v>
                </c:pt>
                <c:pt idx="3">
                  <c:v>48.9</c:v>
                </c:pt>
                <c:pt idx="4">
                  <c:v>45.690000000000012</c:v>
                </c:pt>
                <c:pt idx="5">
                  <c:v>58.5</c:v>
                </c:pt>
                <c:pt idx="6">
                  <c:v>39.5</c:v>
                </c:pt>
                <c:pt idx="7">
                  <c:v>35.5</c:v>
                </c:pt>
              </c:numCache>
            </c:numRef>
          </c:val>
          <c:extLst>
            <c:ext xmlns:c16="http://schemas.microsoft.com/office/drawing/2014/chart" uri="{C3380CC4-5D6E-409C-BE32-E72D297353CC}">
              <c16:uniqueId val="{00000006-79F1-4E13-B69D-577A0C00E6D6}"/>
            </c:ext>
          </c:extLst>
        </c:ser>
        <c:dLbls>
          <c:showLegendKey val="0"/>
          <c:showVal val="0"/>
          <c:showCatName val="0"/>
          <c:showSerName val="0"/>
          <c:showPercent val="0"/>
          <c:showBubbleSize val="0"/>
        </c:dLbls>
        <c:gapWidth val="150"/>
        <c:axId val="37375360"/>
        <c:axId val="37381248"/>
      </c:barChart>
      <c:catAx>
        <c:axId val="37375360"/>
        <c:scaling>
          <c:orientation val="minMax"/>
        </c:scaling>
        <c:delete val="0"/>
        <c:axPos val="b"/>
        <c:numFmt formatCode="General" sourceLinked="0"/>
        <c:majorTickMark val="out"/>
        <c:minorTickMark val="none"/>
        <c:tickLblPos val="nextTo"/>
        <c:txPr>
          <a:bodyPr rot="0" anchor="ctr" anchorCtr="0"/>
          <a:lstStyle/>
          <a:p>
            <a:pPr>
              <a:defRPr/>
            </a:pPr>
            <a:endParaRPr lang="cs-CZ"/>
          </a:p>
        </c:txPr>
        <c:crossAx val="37381248"/>
        <c:crosses val="autoZero"/>
        <c:auto val="1"/>
        <c:lblAlgn val="ctr"/>
        <c:lblOffset val="100"/>
        <c:noMultiLvlLbl val="0"/>
      </c:catAx>
      <c:valAx>
        <c:axId val="37381248"/>
        <c:scaling>
          <c:orientation val="minMax"/>
          <c:max val="70"/>
        </c:scaling>
        <c:delete val="0"/>
        <c:axPos val="l"/>
        <c:majorGridlines/>
        <c:numFmt formatCode="General" sourceLinked="1"/>
        <c:majorTickMark val="out"/>
        <c:minorTickMark val="none"/>
        <c:tickLblPos val="nextTo"/>
        <c:crossAx val="37375360"/>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5.8099518810148916E-2"/>
          <c:y val="4.2141294838145507E-2"/>
          <c:w val="0.92027646544181951"/>
          <c:h val="0.81347586759988666"/>
        </c:manualLayout>
      </c:layout>
      <c:barChart>
        <c:barDir val="col"/>
        <c:grouping val="clustered"/>
        <c:varyColors val="0"/>
        <c:ser>
          <c:idx val="0"/>
          <c:order val="0"/>
          <c:tx>
            <c:strRef>
              <c:f>List1!$B$1</c:f>
              <c:strCache>
                <c:ptCount val="1"/>
                <c:pt idx="0">
                  <c:v>Hustota na 100 km2</c:v>
                </c:pt>
              </c:strCache>
            </c:strRef>
          </c:tx>
          <c:invertIfNegative val="0"/>
          <c:dPt>
            <c:idx val="1"/>
            <c:invertIfNegative val="0"/>
            <c:bubble3D val="0"/>
            <c:spPr>
              <a:ln w="0"/>
            </c:spPr>
            <c:extLst>
              <c:ext xmlns:c16="http://schemas.microsoft.com/office/drawing/2014/chart" uri="{C3380CC4-5D6E-409C-BE32-E72D297353CC}">
                <c16:uniqueId val="{00000000-278F-40DA-8935-C4236C1527D9}"/>
              </c:ext>
            </c:extLst>
          </c:dPt>
          <c:dPt>
            <c:idx val="5"/>
            <c:invertIfNegative val="0"/>
            <c:bubble3D val="0"/>
            <c:spPr>
              <a:solidFill>
                <a:schemeClr val="bg1">
                  <a:lumMod val="50000"/>
                </a:schemeClr>
              </a:solidFill>
            </c:spPr>
            <c:extLst>
              <c:ext xmlns:c16="http://schemas.microsoft.com/office/drawing/2014/chart" uri="{C3380CC4-5D6E-409C-BE32-E72D297353CC}">
                <c16:uniqueId val="{00000001-278F-40DA-8935-C4236C1527D9}"/>
              </c:ext>
            </c:extLst>
          </c:dPt>
          <c:dPt>
            <c:idx val="9"/>
            <c:invertIfNegative val="0"/>
            <c:bubble3D val="0"/>
            <c:spPr>
              <a:solidFill>
                <a:srgbClr val="B10F0F"/>
              </a:solidFill>
            </c:spPr>
            <c:extLst>
              <c:ext xmlns:c16="http://schemas.microsoft.com/office/drawing/2014/chart" uri="{C3380CC4-5D6E-409C-BE32-E72D297353CC}">
                <c16:uniqueId val="{00000002-278F-40DA-8935-C4236C1527D9}"/>
              </c:ext>
            </c:extLst>
          </c:dPt>
          <c:cat>
            <c:strRef>
              <c:f>List1!$A$2:$A$16</c:f>
              <c:strCache>
                <c:ptCount val="15"/>
                <c:pt idx="0">
                  <c:v>PHA</c:v>
                </c:pt>
                <c:pt idx="1">
                  <c:v>STC</c:v>
                </c:pt>
                <c:pt idx="2">
                  <c:v>OLK</c:v>
                </c:pt>
                <c:pt idx="3">
                  <c:v>JHM</c:v>
                </c:pt>
                <c:pt idx="4">
                  <c:v>MSK</c:v>
                </c:pt>
                <c:pt idx="5">
                  <c:v>ČR</c:v>
                </c:pt>
                <c:pt idx="6">
                  <c:v>ULK</c:v>
                </c:pt>
                <c:pt idx="7">
                  <c:v>PLK</c:v>
                </c:pt>
                <c:pt idx="8">
                  <c:v>VYS</c:v>
                </c:pt>
                <c:pt idx="9">
                  <c:v>KVK</c:v>
                </c:pt>
                <c:pt idx="10">
                  <c:v>ZLK</c:v>
                </c:pt>
                <c:pt idx="11">
                  <c:v>JHC</c:v>
                </c:pt>
                <c:pt idx="12">
                  <c:v>HKK</c:v>
                </c:pt>
                <c:pt idx="13">
                  <c:v>PAK</c:v>
                </c:pt>
                <c:pt idx="14">
                  <c:v>LBK</c:v>
                </c:pt>
              </c:strCache>
            </c:strRef>
          </c:cat>
          <c:val>
            <c:numRef>
              <c:f>List1!$B$2:$B$16</c:f>
              <c:numCache>
                <c:formatCode>General</c:formatCode>
                <c:ptCount val="15"/>
                <c:pt idx="0">
                  <c:v>8.949808506349525</c:v>
                </c:pt>
                <c:pt idx="1">
                  <c:v>3.143580759070824</c:v>
                </c:pt>
                <c:pt idx="2">
                  <c:v>2.4055896257760736</c:v>
                </c:pt>
                <c:pt idx="3">
                  <c:v>2.2279051020833642</c:v>
                </c:pt>
                <c:pt idx="4">
                  <c:v>1.8461198319699321</c:v>
                </c:pt>
                <c:pt idx="5">
                  <c:v>1.5442719796870121</c:v>
                </c:pt>
                <c:pt idx="6">
                  <c:v>1.4677764031042595</c:v>
                </c:pt>
                <c:pt idx="7">
                  <c:v>1.4442534056341754</c:v>
                </c:pt>
                <c:pt idx="8">
                  <c:v>1.3611748778621438</c:v>
                </c:pt>
                <c:pt idx="9">
                  <c:v>1.1314606402558598</c:v>
                </c:pt>
                <c:pt idx="10">
                  <c:v>0.83522583901085223</c:v>
                </c:pt>
                <c:pt idx="11">
                  <c:v>0.47126665341022078</c:v>
                </c:pt>
                <c:pt idx="12">
                  <c:v>0.35301533935700885</c:v>
                </c:pt>
                <c:pt idx="13">
                  <c:v>0.28768063024187401</c:v>
                </c:pt>
                <c:pt idx="14">
                  <c:v>0.14541316305241281</c:v>
                </c:pt>
              </c:numCache>
            </c:numRef>
          </c:val>
          <c:extLst>
            <c:ext xmlns:c16="http://schemas.microsoft.com/office/drawing/2014/chart" uri="{C3380CC4-5D6E-409C-BE32-E72D297353CC}">
              <c16:uniqueId val="{00000003-278F-40DA-8935-C4236C1527D9}"/>
            </c:ext>
          </c:extLst>
        </c:ser>
        <c:ser>
          <c:idx val="1"/>
          <c:order val="1"/>
          <c:tx>
            <c:strRef>
              <c:f>List1!$C$1</c:f>
              <c:strCache>
                <c:ptCount val="1"/>
                <c:pt idx="0">
                  <c:v>Hustota na 10 tis. obyvatel</c:v>
                </c:pt>
              </c:strCache>
            </c:strRef>
          </c:tx>
          <c:invertIfNegative val="0"/>
          <c:dPt>
            <c:idx val="5"/>
            <c:invertIfNegative val="0"/>
            <c:bubble3D val="0"/>
            <c:spPr>
              <a:solidFill>
                <a:schemeClr val="bg1">
                  <a:lumMod val="75000"/>
                </a:schemeClr>
              </a:solidFill>
            </c:spPr>
            <c:extLst>
              <c:ext xmlns:c16="http://schemas.microsoft.com/office/drawing/2014/chart" uri="{C3380CC4-5D6E-409C-BE32-E72D297353CC}">
                <c16:uniqueId val="{00000004-278F-40DA-8935-C4236C1527D9}"/>
              </c:ext>
            </c:extLst>
          </c:dPt>
          <c:dPt>
            <c:idx val="9"/>
            <c:invertIfNegative val="0"/>
            <c:bubble3D val="0"/>
            <c:spPr>
              <a:solidFill>
                <a:srgbClr val="F90F0F"/>
              </a:solidFill>
            </c:spPr>
            <c:extLst>
              <c:ext xmlns:c16="http://schemas.microsoft.com/office/drawing/2014/chart" uri="{C3380CC4-5D6E-409C-BE32-E72D297353CC}">
                <c16:uniqueId val="{00000005-278F-40DA-8935-C4236C1527D9}"/>
              </c:ext>
            </c:extLst>
          </c:dPt>
          <c:cat>
            <c:strRef>
              <c:f>List1!$A$2:$A$16</c:f>
              <c:strCache>
                <c:ptCount val="15"/>
                <c:pt idx="0">
                  <c:v>PHA</c:v>
                </c:pt>
                <c:pt idx="1">
                  <c:v>STC</c:v>
                </c:pt>
                <c:pt idx="2">
                  <c:v>OLK</c:v>
                </c:pt>
                <c:pt idx="3">
                  <c:v>JHM</c:v>
                </c:pt>
                <c:pt idx="4">
                  <c:v>MSK</c:v>
                </c:pt>
                <c:pt idx="5">
                  <c:v>ČR</c:v>
                </c:pt>
                <c:pt idx="6">
                  <c:v>ULK</c:v>
                </c:pt>
                <c:pt idx="7">
                  <c:v>PLK</c:v>
                </c:pt>
                <c:pt idx="8">
                  <c:v>VYS</c:v>
                </c:pt>
                <c:pt idx="9">
                  <c:v>KVK</c:v>
                </c:pt>
                <c:pt idx="10">
                  <c:v>ZLK</c:v>
                </c:pt>
                <c:pt idx="11">
                  <c:v>JHC</c:v>
                </c:pt>
                <c:pt idx="12">
                  <c:v>HKK</c:v>
                </c:pt>
                <c:pt idx="13">
                  <c:v>PAK</c:v>
                </c:pt>
                <c:pt idx="14">
                  <c:v>LBK</c:v>
                </c:pt>
              </c:strCache>
            </c:strRef>
          </c:cat>
          <c:val>
            <c:numRef>
              <c:f>List1!$C$2:$C$16</c:f>
              <c:numCache>
                <c:formatCode>General</c:formatCode>
                <c:ptCount val="15"/>
                <c:pt idx="0">
                  <c:v>0.35030995329989789</c:v>
                </c:pt>
                <c:pt idx="1">
                  <c:v>2.6098896957967437</c:v>
                </c:pt>
                <c:pt idx="2">
                  <c:v>1.9961620751262814</c:v>
                </c:pt>
                <c:pt idx="3">
                  <c:v>1.3642262930575908</c:v>
                </c:pt>
                <c:pt idx="4">
                  <c:v>0.82583937671380425</c:v>
                </c:pt>
                <c:pt idx="5">
                  <c:v>1.1467860569841712</c:v>
                </c:pt>
                <c:pt idx="6">
                  <c:v>0.95159851536047901</c:v>
                </c:pt>
                <c:pt idx="7">
                  <c:v>1.8938080108772564</c:v>
                </c:pt>
                <c:pt idx="8">
                  <c:v>1.8155944845183758</c:v>
                </c:pt>
                <c:pt idx="9">
                  <c:v>1.2591159998388364</c:v>
                </c:pt>
                <c:pt idx="10">
                  <c:v>0.56612551224952323</c:v>
                </c:pt>
                <c:pt idx="11">
                  <c:v>0.74314006465632165</c:v>
                </c:pt>
                <c:pt idx="12">
                  <c:v>0.30466739569222162</c:v>
                </c:pt>
                <c:pt idx="13">
                  <c:v>0.25186525596290998</c:v>
                </c:pt>
                <c:pt idx="14">
                  <c:v>0.10463129977094852</c:v>
                </c:pt>
              </c:numCache>
            </c:numRef>
          </c:val>
          <c:extLst>
            <c:ext xmlns:c16="http://schemas.microsoft.com/office/drawing/2014/chart" uri="{C3380CC4-5D6E-409C-BE32-E72D297353CC}">
              <c16:uniqueId val="{00000006-278F-40DA-8935-C4236C1527D9}"/>
            </c:ext>
          </c:extLst>
        </c:ser>
        <c:dLbls>
          <c:showLegendKey val="0"/>
          <c:showVal val="0"/>
          <c:showCatName val="0"/>
          <c:showSerName val="0"/>
          <c:showPercent val="0"/>
          <c:showBubbleSize val="0"/>
        </c:dLbls>
        <c:gapWidth val="76"/>
        <c:axId val="37418496"/>
        <c:axId val="37420032"/>
      </c:barChart>
      <c:catAx>
        <c:axId val="37418496"/>
        <c:scaling>
          <c:orientation val="minMax"/>
        </c:scaling>
        <c:delete val="0"/>
        <c:axPos val="b"/>
        <c:numFmt formatCode="General" sourceLinked="0"/>
        <c:majorTickMark val="out"/>
        <c:minorTickMark val="none"/>
        <c:tickLblPos val="nextTo"/>
        <c:crossAx val="37420032"/>
        <c:crosses val="autoZero"/>
        <c:auto val="1"/>
        <c:lblAlgn val="ctr"/>
        <c:lblOffset val="100"/>
        <c:noMultiLvlLbl val="0"/>
      </c:catAx>
      <c:valAx>
        <c:axId val="37420032"/>
        <c:scaling>
          <c:orientation val="minMax"/>
          <c:max val="9.1"/>
          <c:min val="0"/>
        </c:scaling>
        <c:delete val="0"/>
        <c:axPos val="l"/>
        <c:majorGridlines/>
        <c:numFmt formatCode="General" sourceLinked="1"/>
        <c:majorTickMark val="out"/>
        <c:minorTickMark val="none"/>
        <c:tickLblPos val="nextTo"/>
        <c:crossAx val="37418496"/>
        <c:crosses val="autoZero"/>
        <c:crossBetween val="between"/>
      </c:valAx>
    </c:plotArea>
    <c:legend>
      <c:legendPos val="t"/>
      <c:layout>
        <c:manualLayout>
          <c:xMode val="edge"/>
          <c:yMode val="edge"/>
          <c:x val="0.22004074808967838"/>
          <c:y val="5.5555555555555455E-2"/>
          <c:w val="0.57342891929973994"/>
          <c:h val="8.3717191601050026E-2"/>
        </c:manualLayout>
      </c:layout>
      <c:overlay val="1"/>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List1!$B$22</c:f>
              <c:strCache>
                <c:ptCount val="1"/>
                <c:pt idx="0">
                  <c:v>I. třída</c:v>
                </c:pt>
              </c:strCache>
            </c:strRef>
          </c:tx>
          <c:spPr>
            <a:solidFill>
              <a:schemeClr val="accent6">
                <a:lumMod val="50000"/>
              </a:schemeClr>
            </a:solidFill>
          </c:spPr>
          <c:invertIfNegative val="0"/>
          <c:dPt>
            <c:idx val="4"/>
            <c:invertIfNegative val="0"/>
            <c:bubble3D val="0"/>
            <c:spPr>
              <a:solidFill>
                <a:srgbClr val="B10F0F"/>
              </a:solidFill>
            </c:spPr>
            <c:extLst>
              <c:ext xmlns:c16="http://schemas.microsoft.com/office/drawing/2014/chart" uri="{C3380CC4-5D6E-409C-BE32-E72D297353CC}">
                <c16:uniqueId val="{00000000-D71A-4BB5-8037-652076CB553F}"/>
              </c:ext>
            </c:extLst>
          </c:dPt>
          <c:dPt>
            <c:idx val="14"/>
            <c:invertIfNegative val="0"/>
            <c:bubble3D val="0"/>
            <c:spPr>
              <a:solidFill>
                <a:sysClr val="windowText" lastClr="000000">
                  <a:lumMod val="50000"/>
                  <a:lumOff val="50000"/>
                </a:sysClr>
              </a:solidFill>
            </c:spPr>
            <c:extLst>
              <c:ext xmlns:c16="http://schemas.microsoft.com/office/drawing/2014/chart" uri="{C3380CC4-5D6E-409C-BE32-E72D297353CC}">
                <c16:uniqueId val="{00000001-D71A-4BB5-8037-652076CB553F}"/>
              </c:ext>
            </c:extLst>
          </c:dPt>
          <c:cat>
            <c:strRef>
              <c:f>List1!$A$23:$A$37</c:f>
              <c:strCache>
                <c:ptCount val="15"/>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pt idx="14">
                  <c:v>ČR</c:v>
                </c:pt>
              </c:strCache>
            </c:strRef>
          </c:cat>
          <c:val>
            <c:numRef>
              <c:f>List1!$B$23:$B$37</c:f>
              <c:numCache>
                <c:formatCode>General</c:formatCode>
                <c:ptCount val="15"/>
                <c:pt idx="0">
                  <c:v>2.0358798629308597</c:v>
                </c:pt>
                <c:pt idx="1">
                  <c:v>5.9948620655222804</c:v>
                </c:pt>
                <c:pt idx="2">
                  <c:v>6.4664943328693578</c:v>
                </c:pt>
                <c:pt idx="3">
                  <c:v>5.5310144160825283</c:v>
                </c:pt>
                <c:pt idx="4">
                  <c:v>5.5486829798147426</c:v>
                </c:pt>
                <c:pt idx="5">
                  <c:v>9.1159599595096559</c:v>
                </c:pt>
                <c:pt idx="6">
                  <c:v>10.792185623063792</c:v>
                </c:pt>
                <c:pt idx="7">
                  <c:v>9.2267283042655919</c:v>
                </c:pt>
                <c:pt idx="8">
                  <c:v>10.150700391688279</c:v>
                </c:pt>
                <c:pt idx="9">
                  <c:v>6.1804697156983934</c:v>
                </c:pt>
                <c:pt idx="10">
                  <c:v>5.8664924740448434</c:v>
                </c:pt>
                <c:pt idx="11">
                  <c:v>6.6376806090869254</c:v>
                </c:pt>
                <c:pt idx="12">
                  <c:v>8.6500126167045206</c:v>
                </c:pt>
                <c:pt idx="13">
                  <c:v>11.564964256761767</c:v>
                </c:pt>
                <c:pt idx="14">
                  <c:v>7.4141131887691714</c:v>
                </c:pt>
              </c:numCache>
            </c:numRef>
          </c:val>
          <c:extLst>
            <c:ext xmlns:c16="http://schemas.microsoft.com/office/drawing/2014/chart" uri="{C3380CC4-5D6E-409C-BE32-E72D297353CC}">
              <c16:uniqueId val="{00000002-D71A-4BB5-8037-652076CB553F}"/>
            </c:ext>
          </c:extLst>
        </c:ser>
        <c:ser>
          <c:idx val="1"/>
          <c:order val="1"/>
          <c:tx>
            <c:strRef>
              <c:f>List1!$C$22</c:f>
              <c:strCache>
                <c:ptCount val="1"/>
                <c:pt idx="0">
                  <c:v>II. třída</c:v>
                </c:pt>
              </c:strCache>
            </c:strRef>
          </c:tx>
          <c:spPr>
            <a:solidFill>
              <a:schemeClr val="accent6">
                <a:lumMod val="75000"/>
              </a:schemeClr>
            </a:solidFill>
          </c:spPr>
          <c:invertIfNegative val="0"/>
          <c:dPt>
            <c:idx val="4"/>
            <c:invertIfNegative val="0"/>
            <c:bubble3D val="0"/>
            <c:spPr>
              <a:solidFill>
                <a:srgbClr val="F90F0F"/>
              </a:solidFill>
            </c:spPr>
            <c:extLst>
              <c:ext xmlns:c16="http://schemas.microsoft.com/office/drawing/2014/chart" uri="{C3380CC4-5D6E-409C-BE32-E72D297353CC}">
                <c16:uniqueId val="{00000003-D71A-4BB5-8037-652076CB553F}"/>
              </c:ext>
            </c:extLst>
          </c:dPt>
          <c:dPt>
            <c:idx val="14"/>
            <c:invertIfNegative val="0"/>
            <c:bubble3D val="0"/>
            <c:spPr>
              <a:solidFill>
                <a:sysClr val="window" lastClr="FFFFFF">
                  <a:lumMod val="65000"/>
                </a:sysClr>
              </a:solidFill>
            </c:spPr>
            <c:extLst>
              <c:ext xmlns:c16="http://schemas.microsoft.com/office/drawing/2014/chart" uri="{C3380CC4-5D6E-409C-BE32-E72D297353CC}">
                <c16:uniqueId val="{00000004-D71A-4BB5-8037-652076CB553F}"/>
              </c:ext>
            </c:extLst>
          </c:dPt>
          <c:cat>
            <c:strRef>
              <c:f>List1!$A$23:$A$37</c:f>
              <c:strCache>
                <c:ptCount val="15"/>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pt idx="14">
                  <c:v>ČR</c:v>
                </c:pt>
              </c:strCache>
            </c:strRef>
          </c:cat>
          <c:val>
            <c:numRef>
              <c:f>List1!$C$23:$C$37</c:f>
              <c:numCache>
                <c:formatCode>General</c:formatCode>
                <c:ptCount val="15"/>
                <c:pt idx="0">
                  <c:v>6.0471679096956263</c:v>
                </c:pt>
                <c:pt idx="1">
                  <c:v>21.641960403409641</c:v>
                </c:pt>
                <c:pt idx="2">
                  <c:v>16.253728375422529</c:v>
                </c:pt>
                <c:pt idx="3">
                  <c:v>19.756645946303315</c:v>
                </c:pt>
                <c:pt idx="4">
                  <c:v>14.340886461696286</c:v>
                </c:pt>
                <c:pt idx="5">
                  <c:v>16.818505604918833</c:v>
                </c:pt>
                <c:pt idx="6">
                  <c:v>15.391667193525954</c:v>
                </c:pt>
                <c:pt idx="7">
                  <c:v>18.80437066610633</c:v>
                </c:pt>
                <c:pt idx="8">
                  <c:v>20.19739317090443</c:v>
                </c:pt>
                <c:pt idx="9">
                  <c:v>24.000824062628791</c:v>
                </c:pt>
                <c:pt idx="10">
                  <c:v>20.399994440661008</c:v>
                </c:pt>
                <c:pt idx="11">
                  <c:v>17.602384704475121</c:v>
                </c:pt>
                <c:pt idx="12">
                  <c:v>12.904365379762805</c:v>
                </c:pt>
                <c:pt idx="13">
                  <c:v>15.470926376298946</c:v>
                </c:pt>
                <c:pt idx="14">
                  <c:v>18.573497419408348</c:v>
                </c:pt>
              </c:numCache>
            </c:numRef>
          </c:val>
          <c:extLst>
            <c:ext xmlns:c16="http://schemas.microsoft.com/office/drawing/2014/chart" uri="{C3380CC4-5D6E-409C-BE32-E72D297353CC}">
              <c16:uniqueId val="{00000005-D71A-4BB5-8037-652076CB553F}"/>
            </c:ext>
          </c:extLst>
        </c:ser>
        <c:ser>
          <c:idx val="2"/>
          <c:order val="2"/>
          <c:tx>
            <c:strRef>
              <c:f>List1!$D$22</c:f>
              <c:strCache>
                <c:ptCount val="1"/>
                <c:pt idx="0">
                  <c:v>III. třída</c:v>
                </c:pt>
              </c:strCache>
            </c:strRef>
          </c:tx>
          <c:spPr>
            <a:solidFill>
              <a:srgbClr val="FFC000"/>
            </a:solidFill>
          </c:spPr>
          <c:invertIfNegative val="0"/>
          <c:dPt>
            <c:idx val="4"/>
            <c:invertIfNegative val="0"/>
            <c:bubble3D val="0"/>
            <c:spPr>
              <a:solidFill>
                <a:srgbClr val="FF5353"/>
              </a:solidFill>
            </c:spPr>
            <c:extLst>
              <c:ext xmlns:c16="http://schemas.microsoft.com/office/drawing/2014/chart" uri="{C3380CC4-5D6E-409C-BE32-E72D297353CC}">
                <c16:uniqueId val="{00000006-D71A-4BB5-8037-652076CB553F}"/>
              </c:ext>
            </c:extLst>
          </c:dPt>
          <c:dPt>
            <c:idx val="14"/>
            <c:invertIfNegative val="0"/>
            <c:bubble3D val="0"/>
            <c:spPr>
              <a:solidFill>
                <a:sysClr val="window" lastClr="FFFFFF">
                  <a:lumMod val="75000"/>
                </a:sysClr>
              </a:solidFill>
            </c:spPr>
            <c:extLst>
              <c:ext xmlns:c16="http://schemas.microsoft.com/office/drawing/2014/chart" uri="{C3380CC4-5D6E-409C-BE32-E72D297353CC}">
                <c16:uniqueId val="{00000007-D71A-4BB5-8037-652076CB553F}"/>
              </c:ext>
            </c:extLst>
          </c:dPt>
          <c:cat>
            <c:strRef>
              <c:f>List1!$A$23:$A$37</c:f>
              <c:strCache>
                <c:ptCount val="15"/>
                <c:pt idx="0">
                  <c:v>PHA</c:v>
                </c:pt>
                <c:pt idx="1">
                  <c:v>STC</c:v>
                </c:pt>
                <c:pt idx="2">
                  <c:v>JHC</c:v>
                </c:pt>
                <c:pt idx="3">
                  <c:v>PLK</c:v>
                </c:pt>
                <c:pt idx="4">
                  <c:v>KVK</c:v>
                </c:pt>
                <c:pt idx="5">
                  <c:v>ULK</c:v>
                </c:pt>
                <c:pt idx="6">
                  <c:v>LBK</c:v>
                </c:pt>
                <c:pt idx="7">
                  <c:v>HKK</c:v>
                </c:pt>
                <c:pt idx="8">
                  <c:v>PAK</c:v>
                </c:pt>
                <c:pt idx="9">
                  <c:v>VYS</c:v>
                </c:pt>
                <c:pt idx="10">
                  <c:v>JHM</c:v>
                </c:pt>
                <c:pt idx="11">
                  <c:v>OLK</c:v>
                </c:pt>
                <c:pt idx="12">
                  <c:v>ZLK</c:v>
                </c:pt>
                <c:pt idx="13">
                  <c:v>MSK</c:v>
                </c:pt>
                <c:pt idx="14">
                  <c:v>ČR</c:v>
                </c:pt>
              </c:strCache>
            </c:strRef>
          </c:cat>
          <c:val>
            <c:numRef>
              <c:f>List1!$D$23:$D$37</c:f>
              <c:numCache>
                <c:formatCode>General</c:formatCode>
                <c:ptCount val="15"/>
                <c:pt idx="0">
                  <c:v>0</c:v>
                </c:pt>
                <c:pt idx="1">
                  <c:v>56.685215275823566</c:v>
                </c:pt>
                <c:pt idx="2">
                  <c:v>37.913103996818457</c:v>
                </c:pt>
                <c:pt idx="3">
                  <c:v>41.153286602301172</c:v>
                </c:pt>
                <c:pt idx="4">
                  <c:v>40.795944845065428</c:v>
                </c:pt>
                <c:pt idx="5">
                  <c:v>51.613991676976731</c:v>
                </c:pt>
                <c:pt idx="6">
                  <c:v>50.243408990326863</c:v>
                </c:pt>
                <c:pt idx="7">
                  <c:v>50.607270434965329</c:v>
                </c:pt>
                <c:pt idx="8">
                  <c:v>48.983159618491229</c:v>
                </c:pt>
                <c:pt idx="9">
                  <c:v>43.119077049855782</c:v>
                </c:pt>
                <c:pt idx="10">
                  <c:v>33.357423802309896</c:v>
                </c:pt>
                <c:pt idx="11">
                  <c:v>41.119064345250422</c:v>
                </c:pt>
                <c:pt idx="12">
                  <c:v>31.645218268988128</c:v>
                </c:pt>
                <c:pt idx="13">
                  <c:v>34.884663571375746</c:v>
                </c:pt>
                <c:pt idx="14">
                  <c:v>43.547500111644844</c:v>
                </c:pt>
              </c:numCache>
            </c:numRef>
          </c:val>
          <c:extLst>
            <c:ext xmlns:c16="http://schemas.microsoft.com/office/drawing/2014/chart" uri="{C3380CC4-5D6E-409C-BE32-E72D297353CC}">
              <c16:uniqueId val="{00000008-D71A-4BB5-8037-652076CB553F}"/>
            </c:ext>
          </c:extLst>
        </c:ser>
        <c:dLbls>
          <c:showLegendKey val="0"/>
          <c:showVal val="0"/>
          <c:showCatName val="0"/>
          <c:showSerName val="0"/>
          <c:showPercent val="0"/>
          <c:showBubbleSize val="0"/>
        </c:dLbls>
        <c:gapWidth val="150"/>
        <c:axId val="37640448"/>
        <c:axId val="37670912"/>
      </c:barChart>
      <c:catAx>
        <c:axId val="37640448"/>
        <c:scaling>
          <c:orientation val="minMax"/>
        </c:scaling>
        <c:delete val="0"/>
        <c:axPos val="b"/>
        <c:numFmt formatCode="General" sourceLinked="0"/>
        <c:majorTickMark val="out"/>
        <c:minorTickMark val="none"/>
        <c:tickLblPos val="nextTo"/>
        <c:crossAx val="37670912"/>
        <c:crosses val="autoZero"/>
        <c:auto val="1"/>
        <c:lblAlgn val="ctr"/>
        <c:lblOffset val="100"/>
        <c:noMultiLvlLbl val="0"/>
      </c:catAx>
      <c:valAx>
        <c:axId val="37670912"/>
        <c:scaling>
          <c:orientation val="minMax"/>
        </c:scaling>
        <c:delete val="0"/>
        <c:axPos val="l"/>
        <c:majorGridlines/>
        <c:numFmt formatCode="General" sourceLinked="1"/>
        <c:majorTickMark val="out"/>
        <c:minorTickMark val="none"/>
        <c:tickLblPos val="nextTo"/>
        <c:crossAx val="37640448"/>
        <c:crosses val="autoZero"/>
        <c:crossBetween val="between"/>
      </c:valAx>
    </c:plotArea>
    <c:legend>
      <c:legendPos val="t"/>
      <c:layout>
        <c:manualLayout>
          <c:xMode val="edge"/>
          <c:yMode val="edge"/>
          <c:x val="0.33623589939475218"/>
          <c:y val="5.5555555555555455E-2"/>
          <c:w val="0.32752820121050136"/>
          <c:h val="8.3717191601050026E-2"/>
        </c:manualLayout>
      </c:layout>
      <c:overlay val="1"/>
    </c:legend>
    <c:plotVisOnly val="1"/>
    <c:dispBlanksAs val="gap"/>
    <c:showDLblsOverMax val="0"/>
  </c:chart>
  <c:spPr>
    <a:ln w="0">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List1!$B$41</c:f>
              <c:strCache>
                <c:ptCount val="1"/>
                <c:pt idx="0">
                  <c:v>hustota na 100 km2</c:v>
                </c:pt>
              </c:strCache>
            </c:strRef>
          </c:tx>
          <c:spPr>
            <a:solidFill>
              <a:srgbClr val="00B050"/>
            </a:solidFill>
          </c:spPr>
          <c:invertIfNegative val="0"/>
          <c:dPt>
            <c:idx val="4"/>
            <c:invertIfNegative val="0"/>
            <c:bubble3D val="0"/>
            <c:spPr>
              <a:solidFill>
                <a:srgbClr val="C00000"/>
              </a:solidFill>
            </c:spPr>
            <c:extLst>
              <c:ext xmlns:c16="http://schemas.microsoft.com/office/drawing/2014/chart" uri="{C3380CC4-5D6E-409C-BE32-E72D297353CC}">
                <c16:uniqueId val="{00000000-BAD6-4343-A4B6-B7A4D0ABB1BB}"/>
              </c:ext>
            </c:extLst>
          </c:dPt>
          <c:dPt>
            <c:idx val="6"/>
            <c:invertIfNegative val="0"/>
            <c:bubble3D val="0"/>
            <c:spPr>
              <a:solidFill>
                <a:schemeClr val="bg1">
                  <a:lumMod val="50000"/>
                </a:schemeClr>
              </a:solidFill>
            </c:spPr>
            <c:extLst>
              <c:ext xmlns:c16="http://schemas.microsoft.com/office/drawing/2014/chart" uri="{C3380CC4-5D6E-409C-BE32-E72D297353CC}">
                <c16:uniqueId val="{00000001-BAD6-4343-A4B6-B7A4D0ABB1BB}"/>
              </c:ext>
            </c:extLst>
          </c:dPt>
          <c:cat>
            <c:strRef>
              <c:f>List1!$A$42:$A$56</c:f>
              <c:strCache>
                <c:ptCount val="15"/>
                <c:pt idx="0">
                  <c:v>PHA</c:v>
                </c:pt>
                <c:pt idx="1">
                  <c:v>ULK</c:v>
                </c:pt>
                <c:pt idx="2">
                  <c:v>LBK</c:v>
                </c:pt>
                <c:pt idx="3">
                  <c:v>HKK</c:v>
                </c:pt>
                <c:pt idx="4">
                  <c:v>KVK</c:v>
                </c:pt>
                <c:pt idx="5">
                  <c:v>MSK</c:v>
                </c:pt>
                <c:pt idx="6">
                  <c:v>ČR</c:v>
                </c:pt>
                <c:pt idx="7">
                  <c:v>PAK</c:v>
                </c:pt>
                <c:pt idx="8">
                  <c:v>STC</c:v>
                </c:pt>
                <c:pt idx="9">
                  <c:v>OLK</c:v>
                </c:pt>
                <c:pt idx="10">
                  <c:v>JHM</c:v>
                </c:pt>
                <c:pt idx="11">
                  <c:v>JHC</c:v>
                </c:pt>
                <c:pt idx="12">
                  <c:v>PLK</c:v>
                </c:pt>
                <c:pt idx="13">
                  <c:v>VYS</c:v>
                </c:pt>
                <c:pt idx="14">
                  <c:v>ZLK</c:v>
                </c:pt>
              </c:strCache>
            </c:strRef>
          </c:cat>
          <c:val>
            <c:numRef>
              <c:f>List1!$B$42:$B$56</c:f>
              <c:numCache>
                <c:formatCode>General</c:formatCode>
                <c:ptCount val="15"/>
                <c:pt idx="0">
                  <c:v>48.578915541221562</c:v>
                </c:pt>
                <c:pt idx="1">
                  <c:v>19.120458891013385</c:v>
                </c:pt>
                <c:pt idx="2">
                  <c:v>17.354744894733489</c:v>
                </c:pt>
                <c:pt idx="3">
                  <c:v>15.003151922672799</c:v>
                </c:pt>
                <c:pt idx="4">
                  <c:v>14.874935883897052</c:v>
                </c:pt>
                <c:pt idx="5">
                  <c:v>12.233768147984348</c:v>
                </c:pt>
                <c:pt idx="6">
                  <c:v>12.196724658207174</c:v>
                </c:pt>
                <c:pt idx="7">
                  <c:v>11.994069353161169</c:v>
                </c:pt>
                <c:pt idx="8">
                  <c:v>11.682900482021768</c:v>
                </c:pt>
                <c:pt idx="9">
                  <c:v>11.429873360041011</c:v>
                </c:pt>
                <c:pt idx="10">
                  <c:v>10.882406081916876</c:v>
                </c:pt>
                <c:pt idx="11">
                  <c:v>9.7136607675482196</c:v>
                </c:pt>
                <c:pt idx="12">
                  <c:v>9.3373892342283185</c:v>
                </c:pt>
                <c:pt idx="13">
                  <c:v>9.1529813408676208</c:v>
                </c:pt>
                <c:pt idx="14">
                  <c:v>9.0587938430481945</c:v>
                </c:pt>
              </c:numCache>
            </c:numRef>
          </c:val>
          <c:extLst>
            <c:ext xmlns:c16="http://schemas.microsoft.com/office/drawing/2014/chart" uri="{C3380CC4-5D6E-409C-BE32-E72D297353CC}">
              <c16:uniqueId val="{00000002-BAD6-4343-A4B6-B7A4D0ABB1BB}"/>
            </c:ext>
          </c:extLst>
        </c:ser>
        <c:ser>
          <c:idx val="1"/>
          <c:order val="1"/>
          <c:tx>
            <c:strRef>
              <c:f>List1!$C$41</c:f>
              <c:strCache>
                <c:ptCount val="1"/>
                <c:pt idx="0">
                  <c:v>hustota na 10 tis. obyvatel</c:v>
                </c:pt>
              </c:strCache>
            </c:strRef>
          </c:tx>
          <c:spPr>
            <a:solidFill>
              <a:srgbClr val="92D050"/>
            </a:solidFill>
          </c:spPr>
          <c:invertIfNegative val="0"/>
          <c:dPt>
            <c:idx val="4"/>
            <c:invertIfNegative val="0"/>
            <c:bubble3D val="0"/>
            <c:spPr>
              <a:solidFill>
                <a:srgbClr val="FF0000"/>
              </a:solidFill>
            </c:spPr>
            <c:extLst>
              <c:ext xmlns:c16="http://schemas.microsoft.com/office/drawing/2014/chart" uri="{C3380CC4-5D6E-409C-BE32-E72D297353CC}">
                <c16:uniqueId val="{00000003-BAD6-4343-A4B6-B7A4D0ABB1BB}"/>
              </c:ext>
            </c:extLst>
          </c:dPt>
          <c:dPt>
            <c:idx val="6"/>
            <c:invertIfNegative val="0"/>
            <c:bubble3D val="0"/>
            <c:spPr>
              <a:solidFill>
                <a:schemeClr val="bg1">
                  <a:lumMod val="65000"/>
                </a:schemeClr>
              </a:solidFill>
            </c:spPr>
            <c:extLst>
              <c:ext xmlns:c16="http://schemas.microsoft.com/office/drawing/2014/chart" uri="{C3380CC4-5D6E-409C-BE32-E72D297353CC}">
                <c16:uniqueId val="{00000004-BAD6-4343-A4B6-B7A4D0ABB1BB}"/>
              </c:ext>
            </c:extLst>
          </c:dPt>
          <c:cat>
            <c:strRef>
              <c:f>List1!$A$42:$A$56</c:f>
              <c:strCache>
                <c:ptCount val="15"/>
                <c:pt idx="0">
                  <c:v>PHA</c:v>
                </c:pt>
                <c:pt idx="1">
                  <c:v>ULK</c:v>
                </c:pt>
                <c:pt idx="2">
                  <c:v>LBK</c:v>
                </c:pt>
                <c:pt idx="3">
                  <c:v>HKK</c:v>
                </c:pt>
                <c:pt idx="4">
                  <c:v>KVK</c:v>
                </c:pt>
                <c:pt idx="5">
                  <c:v>MSK</c:v>
                </c:pt>
                <c:pt idx="6">
                  <c:v>ČR</c:v>
                </c:pt>
                <c:pt idx="7">
                  <c:v>PAK</c:v>
                </c:pt>
                <c:pt idx="8">
                  <c:v>STC</c:v>
                </c:pt>
                <c:pt idx="9">
                  <c:v>OLK</c:v>
                </c:pt>
                <c:pt idx="10">
                  <c:v>JHM</c:v>
                </c:pt>
                <c:pt idx="11">
                  <c:v>JHC</c:v>
                </c:pt>
                <c:pt idx="12">
                  <c:v>PLK</c:v>
                </c:pt>
                <c:pt idx="13">
                  <c:v>VYS</c:v>
                </c:pt>
                <c:pt idx="14">
                  <c:v>ZLK</c:v>
                </c:pt>
              </c:strCache>
            </c:strRef>
          </c:cat>
          <c:val>
            <c:numRef>
              <c:f>List1!$C$42:$C$56</c:f>
              <c:numCache>
                <c:formatCode>General</c:formatCode>
                <c:ptCount val="15"/>
                <c:pt idx="0">
                  <c:v>1.9014571789476378</c:v>
                </c:pt>
                <c:pt idx="1">
                  <c:v>12.396302498948756</c:v>
                </c:pt>
                <c:pt idx="2">
                  <c:v>12.487518168315367</c:v>
                </c:pt>
                <c:pt idx="3">
                  <c:v>12.948364316919378</c:v>
                </c:pt>
                <c:pt idx="4">
                  <c:v>16.55317834454786</c:v>
                </c:pt>
                <c:pt idx="5">
                  <c:v>5.4726282049697197</c:v>
                </c:pt>
                <c:pt idx="6">
                  <c:v>9.057364222681727</c:v>
                </c:pt>
                <c:pt idx="7">
                  <c:v>10.500843748607473</c:v>
                </c:pt>
                <c:pt idx="8">
                  <c:v>9.6994745552711787</c:v>
                </c:pt>
                <c:pt idx="9">
                  <c:v>9.4845269867878326</c:v>
                </c:pt>
                <c:pt idx="10">
                  <c:v>6.6636880066381545</c:v>
                </c:pt>
                <c:pt idx="11">
                  <c:v>15.317465045764274</c:v>
                </c:pt>
                <c:pt idx="12">
                  <c:v>12.243850326733908</c:v>
                </c:pt>
                <c:pt idx="13">
                  <c:v>12.208646155356004</c:v>
                </c:pt>
                <c:pt idx="14">
                  <c:v>6.1401528367848055</c:v>
                </c:pt>
              </c:numCache>
            </c:numRef>
          </c:val>
          <c:extLst>
            <c:ext xmlns:c16="http://schemas.microsoft.com/office/drawing/2014/chart" uri="{C3380CC4-5D6E-409C-BE32-E72D297353CC}">
              <c16:uniqueId val="{00000005-BAD6-4343-A4B6-B7A4D0ABB1BB}"/>
            </c:ext>
          </c:extLst>
        </c:ser>
        <c:dLbls>
          <c:showLegendKey val="0"/>
          <c:showVal val="0"/>
          <c:showCatName val="0"/>
          <c:showSerName val="0"/>
          <c:showPercent val="0"/>
          <c:showBubbleSize val="0"/>
        </c:dLbls>
        <c:gapWidth val="150"/>
        <c:axId val="37651968"/>
        <c:axId val="37653504"/>
      </c:barChart>
      <c:catAx>
        <c:axId val="37651968"/>
        <c:scaling>
          <c:orientation val="minMax"/>
        </c:scaling>
        <c:delete val="0"/>
        <c:axPos val="b"/>
        <c:numFmt formatCode="General" sourceLinked="0"/>
        <c:majorTickMark val="out"/>
        <c:minorTickMark val="none"/>
        <c:tickLblPos val="nextTo"/>
        <c:crossAx val="37653504"/>
        <c:crosses val="autoZero"/>
        <c:auto val="1"/>
        <c:lblAlgn val="ctr"/>
        <c:lblOffset val="100"/>
        <c:noMultiLvlLbl val="0"/>
      </c:catAx>
      <c:valAx>
        <c:axId val="37653504"/>
        <c:scaling>
          <c:orientation val="minMax"/>
          <c:max val="50"/>
          <c:min val="0"/>
        </c:scaling>
        <c:delete val="0"/>
        <c:axPos val="l"/>
        <c:majorGridlines/>
        <c:numFmt formatCode="General" sourceLinked="1"/>
        <c:majorTickMark val="out"/>
        <c:minorTickMark val="none"/>
        <c:tickLblPos val="nextTo"/>
        <c:crossAx val="37651968"/>
        <c:crosses val="autoZero"/>
        <c:crossBetween val="between"/>
        <c:majorUnit val="10"/>
      </c:valAx>
    </c:plotArea>
    <c:legend>
      <c:legendPos val="t"/>
      <c:layout>
        <c:manualLayout>
          <c:xMode val="edge"/>
          <c:yMode val="edge"/>
          <c:x val="0.16344772528433946"/>
          <c:y val="5.5555555555555455E-2"/>
          <c:w val="0.70088210848643917"/>
          <c:h val="8.3717191601050026E-2"/>
        </c:manualLayout>
      </c:layout>
      <c:overlay val="1"/>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List3!$B$1</c:f>
              <c:strCache>
                <c:ptCount val="1"/>
                <c:pt idx="0">
                  <c:v>Celkem</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List3!$A$2:$A$16</c:f>
              <c:strCache>
                <c:ptCount val="15"/>
                <c:pt idx="0">
                  <c:v>Moravskoslezský </c:v>
                </c:pt>
                <c:pt idx="1">
                  <c:v>Ústecký </c:v>
                </c:pt>
                <c:pt idx="2">
                  <c:v>Karlovarský </c:v>
                </c:pt>
                <c:pt idx="3">
                  <c:v>Olomoucký </c:v>
                </c:pt>
                <c:pt idx="4">
                  <c:v>Královéhradecký </c:v>
                </c:pt>
                <c:pt idx="5">
                  <c:v>Liberecký </c:v>
                </c:pt>
                <c:pt idx="6">
                  <c:v>Jihomoravský </c:v>
                </c:pt>
                <c:pt idx="7">
                  <c:v>Vysočina </c:v>
                </c:pt>
                <c:pt idx="8">
                  <c:v>Zlínský </c:v>
                </c:pt>
                <c:pt idx="9">
                  <c:v>Pardubický </c:v>
                </c:pt>
                <c:pt idx="10">
                  <c:v>Jihočeský </c:v>
                </c:pt>
                <c:pt idx="11">
                  <c:v>Plzeňský </c:v>
                </c:pt>
                <c:pt idx="12">
                  <c:v>Středočeský </c:v>
                </c:pt>
                <c:pt idx="13">
                  <c:v>Praha</c:v>
                </c:pt>
                <c:pt idx="14">
                  <c:v>ČR</c:v>
                </c:pt>
              </c:strCache>
            </c:strRef>
          </c:cat>
          <c:val>
            <c:numRef>
              <c:f>List3!$B$2:$B$16</c:f>
              <c:numCache>
                <c:formatCode>###,##0.0</c:formatCode>
                <c:ptCount val="15"/>
                <c:pt idx="0">
                  <c:v>8.1358129189000028</c:v>
                </c:pt>
                <c:pt idx="1">
                  <c:v>7.5676703403999843</c:v>
                </c:pt>
                <c:pt idx="2">
                  <c:v>6.6963568829</c:v>
                </c:pt>
                <c:pt idx="3">
                  <c:v>5.9215591539999997</c:v>
                </c:pt>
                <c:pt idx="4">
                  <c:v>5.6097862853000002</c:v>
                </c:pt>
                <c:pt idx="5">
                  <c:v>5.4890931279000164</c:v>
                </c:pt>
                <c:pt idx="6">
                  <c:v>4.9746841304</c:v>
                </c:pt>
                <c:pt idx="7">
                  <c:v>4.7268399324999955</c:v>
                </c:pt>
                <c:pt idx="8">
                  <c:v>4.7051157103999843</c:v>
                </c:pt>
                <c:pt idx="9">
                  <c:v>4.5834982268999864</c:v>
                </c:pt>
                <c:pt idx="10">
                  <c:v>3.9921160271999998</c:v>
                </c:pt>
                <c:pt idx="11">
                  <c:v>3.7900803430000001</c:v>
                </c:pt>
                <c:pt idx="12">
                  <c:v>3.4571944372000001</c:v>
                </c:pt>
                <c:pt idx="13">
                  <c:v>2.8085179283000001</c:v>
                </c:pt>
                <c:pt idx="14">
                  <c:v>5.0480202508999854</c:v>
                </c:pt>
              </c:numCache>
            </c:numRef>
          </c:val>
          <c:extLst>
            <c:ext xmlns:c16="http://schemas.microsoft.com/office/drawing/2014/chart" uri="{C3380CC4-5D6E-409C-BE32-E72D297353CC}">
              <c16:uniqueId val="{00000000-EA53-4A14-B82D-655DB61BBE0E}"/>
            </c:ext>
          </c:extLst>
        </c:ser>
        <c:ser>
          <c:idx val="1"/>
          <c:order val="1"/>
          <c:tx>
            <c:strRef>
              <c:f>List3!$C$1</c:f>
              <c:strCache>
                <c:ptCount val="1"/>
                <c:pt idx="0">
                  <c:v>Muži </c:v>
                </c:pt>
              </c:strCache>
            </c:strRef>
          </c:tx>
          <c:spPr>
            <a:solidFill>
              <a:schemeClr val="accent1">
                <a:lumMod val="75000"/>
              </a:schemeClr>
            </a:solidFill>
            <a:ln>
              <a:noFill/>
            </a:ln>
            <a:effectLst/>
          </c:spPr>
          <c:invertIfNegative val="0"/>
          <c:cat>
            <c:strRef>
              <c:f>List3!$A$2:$A$16</c:f>
              <c:strCache>
                <c:ptCount val="15"/>
                <c:pt idx="0">
                  <c:v>Moravskoslezský </c:v>
                </c:pt>
                <c:pt idx="1">
                  <c:v>Ústecký </c:v>
                </c:pt>
                <c:pt idx="2">
                  <c:v>Karlovarský </c:v>
                </c:pt>
                <c:pt idx="3">
                  <c:v>Olomoucký </c:v>
                </c:pt>
                <c:pt idx="4">
                  <c:v>Královéhradecký </c:v>
                </c:pt>
                <c:pt idx="5">
                  <c:v>Liberecký </c:v>
                </c:pt>
                <c:pt idx="6">
                  <c:v>Jihomoravský </c:v>
                </c:pt>
                <c:pt idx="7">
                  <c:v>Vysočina </c:v>
                </c:pt>
                <c:pt idx="8">
                  <c:v>Zlínský </c:v>
                </c:pt>
                <c:pt idx="9">
                  <c:v>Pardubický </c:v>
                </c:pt>
                <c:pt idx="10">
                  <c:v>Jihočeský </c:v>
                </c:pt>
                <c:pt idx="11">
                  <c:v>Plzeňský </c:v>
                </c:pt>
                <c:pt idx="12">
                  <c:v>Středočeský </c:v>
                </c:pt>
                <c:pt idx="13">
                  <c:v>Praha</c:v>
                </c:pt>
                <c:pt idx="14">
                  <c:v>ČR</c:v>
                </c:pt>
              </c:strCache>
            </c:strRef>
          </c:cat>
          <c:val>
            <c:numRef>
              <c:f>List3!$C$2:$C$16</c:f>
              <c:numCache>
                <c:formatCode>###,##0.0</c:formatCode>
                <c:ptCount val="15"/>
                <c:pt idx="0">
                  <c:v>7.2280978329999854</c:v>
                </c:pt>
                <c:pt idx="1">
                  <c:v>6.5870982262999842</c:v>
                </c:pt>
                <c:pt idx="2">
                  <c:v>5.2373862665999757</c:v>
                </c:pt>
                <c:pt idx="3">
                  <c:v>4.6572023089999854</c:v>
                </c:pt>
                <c:pt idx="4">
                  <c:v>4.9501959106999864</c:v>
                </c:pt>
                <c:pt idx="5">
                  <c:v>4.0667516545</c:v>
                </c:pt>
                <c:pt idx="6">
                  <c:v>4.5563897202000003</c:v>
                </c:pt>
                <c:pt idx="7">
                  <c:v>3.0459668247999998</c:v>
                </c:pt>
                <c:pt idx="8">
                  <c:v>3.8631317043000095</c:v>
                </c:pt>
                <c:pt idx="9">
                  <c:v>3.9183897472000075</c:v>
                </c:pt>
                <c:pt idx="10">
                  <c:v>3.1875190591000075</c:v>
                </c:pt>
                <c:pt idx="11">
                  <c:v>2.8198722982999977</c:v>
                </c:pt>
                <c:pt idx="12">
                  <c:v>2.8678932480000086</c:v>
                </c:pt>
                <c:pt idx="13">
                  <c:v>2.4120870973999997</c:v>
                </c:pt>
                <c:pt idx="14">
                  <c:v>4.2319882371999862</c:v>
                </c:pt>
              </c:numCache>
            </c:numRef>
          </c:val>
          <c:extLst>
            <c:ext xmlns:c16="http://schemas.microsoft.com/office/drawing/2014/chart" uri="{C3380CC4-5D6E-409C-BE32-E72D297353CC}">
              <c16:uniqueId val="{00000001-EA53-4A14-B82D-655DB61BBE0E}"/>
            </c:ext>
          </c:extLst>
        </c:ser>
        <c:ser>
          <c:idx val="2"/>
          <c:order val="2"/>
          <c:tx>
            <c:strRef>
              <c:f>List3!$D$1</c:f>
              <c:strCache>
                <c:ptCount val="1"/>
                <c:pt idx="0">
                  <c:v>Ženy</c:v>
                </c:pt>
              </c:strCache>
            </c:strRef>
          </c:tx>
          <c:spPr>
            <a:solidFill>
              <a:schemeClr val="accent2">
                <a:lumMod val="75000"/>
              </a:schemeClr>
            </a:solidFill>
            <a:ln>
              <a:noFill/>
            </a:ln>
            <a:effectLst/>
          </c:spPr>
          <c:invertIfNegative val="0"/>
          <c:cat>
            <c:strRef>
              <c:f>List3!$A$2:$A$16</c:f>
              <c:strCache>
                <c:ptCount val="15"/>
                <c:pt idx="0">
                  <c:v>Moravskoslezský </c:v>
                </c:pt>
                <c:pt idx="1">
                  <c:v>Ústecký </c:v>
                </c:pt>
                <c:pt idx="2">
                  <c:v>Karlovarský </c:v>
                </c:pt>
                <c:pt idx="3">
                  <c:v>Olomoucký </c:v>
                </c:pt>
                <c:pt idx="4">
                  <c:v>Královéhradecký </c:v>
                </c:pt>
                <c:pt idx="5">
                  <c:v>Liberecký </c:v>
                </c:pt>
                <c:pt idx="6">
                  <c:v>Jihomoravský </c:v>
                </c:pt>
                <c:pt idx="7">
                  <c:v>Vysočina </c:v>
                </c:pt>
                <c:pt idx="8">
                  <c:v>Zlínský </c:v>
                </c:pt>
                <c:pt idx="9">
                  <c:v>Pardubický </c:v>
                </c:pt>
                <c:pt idx="10">
                  <c:v>Jihočeský </c:v>
                </c:pt>
                <c:pt idx="11">
                  <c:v>Plzeňský </c:v>
                </c:pt>
                <c:pt idx="12">
                  <c:v>Středočeský </c:v>
                </c:pt>
                <c:pt idx="13">
                  <c:v>Praha</c:v>
                </c:pt>
                <c:pt idx="14">
                  <c:v>ČR</c:v>
                </c:pt>
              </c:strCache>
            </c:strRef>
          </c:cat>
          <c:val>
            <c:numRef>
              <c:f>List3!$D$2:$D$16</c:f>
              <c:numCache>
                <c:formatCode>###,##0.0</c:formatCode>
                <c:ptCount val="15"/>
                <c:pt idx="0">
                  <c:v>9.2616589148000017</c:v>
                </c:pt>
                <c:pt idx="1">
                  <c:v>8.8427205686000008</c:v>
                </c:pt>
                <c:pt idx="2">
                  <c:v>8.5811191017999988</c:v>
                </c:pt>
                <c:pt idx="3">
                  <c:v>7.5551769767999737</c:v>
                </c:pt>
                <c:pt idx="4">
                  <c:v>6.4254790558000003</c:v>
                </c:pt>
                <c:pt idx="5">
                  <c:v>7.3307419315000004</c:v>
                </c:pt>
                <c:pt idx="6">
                  <c:v>5.4931548727999777</c:v>
                </c:pt>
                <c:pt idx="7">
                  <c:v>6.8478103749999777</c:v>
                </c:pt>
                <c:pt idx="8">
                  <c:v>5.7455730291</c:v>
                </c:pt>
                <c:pt idx="9">
                  <c:v>5.4285774420999955</c:v>
                </c:pt>
                <c:pt idx="10">
                  <c:v>5.0146337309</c:v>
                </c:pt>
                <c:pt idx="11">
                  <c:v>5.0407015606999854</c:v>
                </c:pt>
                <c:pt idx="12">
                  <c:v>4.2180611446000134</c:v>
                </c:pt>
                <c:pt idx="13">
                  <c:v>3.294064477</c:v>
                </c:pt>
                <c:pt idx="14">
                  <c:v>6.0780110756000001</c:v>
                </c:pt>
              </c:numCache>
            </c:numRef>
          </c:val>
          <c:extLst>
            <c:ext xmlns:c16="http://schemas.microsoft.com/office/drawing/2014/chart" uri="{C3380CC4-5D6E-409C-BE32-E72D297353CC}">
              <c16:uniqueId val="{00000002-EA53-4A14-B82D-655DB61BBE0E}"/>
            </c:ext>
          </c:extLst>
        </c:ser>
        <c:dLbls>
          <c:showLegendKey val="0"/>
          <c:showVal val="0"/>
          <c:showCatName val="0"/>
          <c:showSerName val="0"/>
          <c:showPercent val="0"/>
          <c:showBubbleSize val="0"/>
        </c:dLbls>
        <c:gapWidth val="150"/>
        <c:axId val="127497344"/>
        <c:axId val="127498880"/>
      </c:barChart>
      <c:catAx>
        <c:axId val="1274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498880"/>
        <c:crosses val="autoZero"/>
        <c:auto val="1"/>
        <c:lblAlgn val="ctr"/>
        <c:lblOffset val="100"/>
        <c:noMultiLvlLbl val="0"/>
      </c:catAx>
      <c:valAx>
        <c:axId val="12749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49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List1!$C$61</c:f>
              <c:strCache>
                <c:ptCount val="1"/>
                <c:pt idx="0">
                  <c:v>silnice</c:v>
                </c:pt>
              </c:strCache>
            </c:strRef>
          </c:tx>
          <c:spPr>
            <a:solidFill>
              <a:schemeClr val="tx2">
                <a:lumMod val="60000"/>
                <a:lumOff val="40000"/>
              </a:schemeClr>
            </a:solidFill>
          </c:spPr>
          <c:invertIfNegative val="0"/>
          <c:cat>
            <c:strRef>
              <c:f>List1!$A$62:$A$75</c:f>
              <c:strCache>
                <c:ptCount val="14"/>
                <c:pt idx="0">
                  <c:v>STC</c:v>
                </c:pt>
                <c:pt idx="1">
                  <c:v>MSK</c:v>
                </c:pt>
                <c:pt idx="2">
                  <c:v>JHM</c:v>
                </c:pt>
                <c:pt idx="3">
                  <c:v>ULK</c:v>
                </c:pt>
                <c:pt idx="4">
                  <c:v>OLK</c:v>
                </c:pt>
                <c:pt idx="5">
                  <c:v>PLK</c:v>
                </c:pt>
                <c:pt idx="6">
                  <c:v>JHC</c:v>
                </c:pt>
                <c:pt idx="7">
                  <c:v>VYS</c:v>
                </c:pt>
                <c:pt idx="8">
                  <c:v>PAK</c:v>
                </c:pt>
                <c:pt idx="9">
                  <c:v>HKK</c:v>
                </c:pt>
                <c:pt idx="10">
                  <c:v>PHA</c:v>
                </c:pt>
                <c:pt idx="11">
                  <c:v>ZLK</c:v>
                </c:pt>
                <c:pt idx="12">
                  <c:v>KVK</c:v>
                </c:pt>
                <c:pt idx="13">
                  <c:v>LBK</c:v>
                </c:pt>
              </c:strCache>
            </c:strRef>
          </c:cat>
          <c:val>
            <c:numRef>
              <c:f>List1!$C$62:$C$75</c:f>
              <c:numCache>
                <c:formatCode>#,##0_ ;\-#,##0\ </c:formatCode>
                <c:ptCount val="14"/>
                <c:pt idx="0">
                  <c:v>39677.54</c:v>
                </c:pt>
                <c:pt idx="1">
                  <c:v>29168.27</c:v>
                </c:pt>
                <c:pt idx="2">
                  <c:v>28936.129999999932</c:v>
                </c:pt>
                <c:pt idx="3">
                  <c:v>18959.59999999994</c:v>
                </c:pt>
                <c:pt idx="4">
                  <c:v>18028.960000000021</c:v>
                </c:pt>
                <c:pt idx="5">
                  <c:v>17550.240000000005</c:v>
                </c:pt>
                <c:pt idx="6">
                  <c:v>17524.45</c:v>
                </c:pt>
                <c:pt idx="7">
                  <c:v>11848.720000000008</c:v>
                </c:pt>
                <c:pt idx="8">
                  <c:v>11650.55</c:v>
                </c:pt>
                <c:pt idx="9">
                  <c:v>11253.4</c:v>
                </c:pt>
                <c:pt idx="10">
                  <c:v>11073.2</c:v>
                </c:pt>
                <c:pt idx="11">
                  <c:v>10778.07</c:v>
                </c:pt>
                <c:pt idx="12">
                  <c:v>8959.15</c:v>
                </c:pt>
                <c:pt idx="13">
                  <c:v>7563.14</c:v>
                </c:pt>
              </c:numCache>
            </c:numRef>
          </c:val>
          <c:extLst>
            <c:ext xmlns:c16="http://schemas.microsoft.com/office/drawing/2014/chart" uri="{C3380CC4-5D6E-409C-BE32-E72D297353CC}">
              <c16:uniqueId val="{00000000-BB61-4AA5-9771-65FACCF6685B}"/>
            </c:ext>
          </c:extLst>
        </c:ser>
        <c:ser>
          <c:idx val="0"/>
          <c:order val="1"/>
          <c:tx>
            <c:strRef>
              <c:f>List1!$B$61</c:f>
              <c:strCache>
                <c:ptCount val="1"/>
                <c:pt idx="0">
                  <c:v>železnice</c:v>
                </c:pt>
              </c:strCache>
            </c:strRef>
          </c:tx>
          <c:spPr>
            <a:solidFill>
              <a:srgbClr val="00B050"/>
            </a:solidFill>
          </c:spPr>
          <c:invertIfNegative val="0"/>
          <c:cat>
            <c:strRef>
              <c:f>List1!$A$62:$A$75</c:f>
              <c:strCache>
                <c:ptCount val="14"/>
                <c:pt idx="0">
                  <c:v>STC</c:v>
                </c:pt>
                <c:pt idx="1">
                  <c:v>MSK</c:v>
                </c:pt>
                <c:pt idx="2">
                  <c:v>JHM</c:v>
                </c:pt>
                <c:pt idx="3">
                  <c:v>ULK</c:v>
                </c:pt>
                <c:pt idx="4">
                  <c:v>OLK</c:v>
                </c:pt>
                <c:pt idx="5">
                  <c:v>PLK</c:v>
                </c:pt>
                <c:pt idx="6">
                  <c:v>JHC</c:v>
                </c:pt>
                <c:pt idx="7">
                  <c:v>VYS</c:v>
                </c:pt>
                <c:pt idx="8">
                  <c:v>PAK</c:v>
                </c:pt>
                <c:pt idx="9">
                  <c:v>HKK</c:v>
                </c:pt>
                <c:pt idx="10">
                  <c:v>PHA</c:v>
                </c:pt>
                <c:pt idx="11">
                  <c:v>ZLK</c:v>
                </c:pt>
                <c:pt idx="12">
                  <c:v>KVK</c:v>
                </c:pt>
                <c:pt idx="13">
                  <c:v>LBK</c:v>
                </c:pt>
              </c:strCache>
            </c:strRef>
          </c:cat>
          <c:val>
            <c:numRef>
              <c:f>List1!$B$62:$B$75</c:f>
              <c:numCache>
                <c:formatCode>#,##0_ ;\-#,##0\ </c:formatCode>
                <c:ptCount val="14"/>
                <c:pt idx="0">
                  <c:v>875.73500000000001</c:v>
                </c:pt>
                <c:pt idx="1">
                  <c:v>8150.6670000000004</c:v>
                </c:pt>
                <c:pt idx="2">
                  <c:v>92.218999999999994</c:v>
                </c:pt>
                <c:pt idx="3">
                  <c:v>4066.7379999999998</c:v>
                </c:pt>
                <c:pt idx="4">
                  <c:v>205.40600000000001</c:v>
                </c:pt>
                <c:pt idx="5">
                  <c:v>215.62700000000001</c:v>
                </c:pt>
                <c:pt idx="6">
                  <c:v>36.041000000000004</c:v>
                </c:pt>
                <c:pt idx="7">
                  <c:v>78.325999999999979</c:v>
                </c:pt>
                <c:pt idx="8">
                  <c:v>65.933999999999997</c:v>
                </c:pt>
                <c:pt idx="9">
                  <c:v>32.116</c:v>
                </c:pt>
                <c:pt idx="10">
                  <c:v>10.616</c:v>
                </c:pt>
                <c:pt idx="11">
                  <c:v>37.178000000000011</c:v>
                </c:pt>
                <c:pt idx="12">
                  <c:v>1753.9829999999999</c:v>
                </c:pt>
                <c:pt idx="13">
                  <c:v>10.612</c:v>
                </c:pt>
              </c:numCache>
            </c:numRef>
          </c:val>
          <c:extLst>
            <c:ext xmlns:c16="http://schemas.microsoft.com/office/drawing/2014/chart" uri="{C3380CC4-5D6E-409C-BE32-E72D297353CC}">
              <c16:uniqueId val="{00000001-BB61-4AA5-9771-65FACCF6685B}"/>
            </c:ext>
          </c:extLst>
        </c:ser>
        <c:dLbls>
          <c:showLegendKey val="0"/>
          <c:showVal val="0"/>
          <c:showCatName val="0"/>
          <c:showSerName val="0"/>
          <c:showPercent val="0"/>
          <c:showBubbleSize val="0"/>
        </c:dLbls>
        <c:gapWidth val="150"/>
        <c:overlap val="100"/>
        <c:axId val="38022144"/>
        <c:axId val="38085376"/>
      </c:barChart>
      <c:catAx>
        <c:axId val="38022144"/>
        <c:scaling>
          <c:orientation val="minMax"/>
        </c:scaling>
        <c:delete val="0"/>
        <c:axPos val="b"/>
        <c:numFmt formatCode="General" sourceLinked="0"/>
        <c:majorTickMark val="out"/>
        <c:minorTickMark val="none"/>
        <c:tickLblPos val="nextTo"/>
        <c:crossAx val="38085376"/>
        <c:crosses val="autoZero"/>
        <c:auto val="1"/>
        <c:lblAlgn val="ctr"/>
        <c:lblOffset val="100"/>
        <c:noMultiLvlLbl val="0"/>
      </c:catAx>
      <c:valAx>
        <c:axId val="38085376"/>
        <c:scaling>
          <c:orientation val="minMax"/>
        </c:scaling>
        <c:delete val="0"/>
        <c:axPos val="l"/>
        <c:majorGridlines/>
        <c:numFmt formatCode="#,##0_ ;\-#,##0\ " sourceLinked="1"/>
        <c:majorTickMark val="out"/>
        <c:minorTickMark val="none"/>
        <c:tickLblPos val="nextTo"/>
        <c:crossAx val="38022144"/>
        <c:crosses val="autoZero"/>
        <c:crossBetween val="between"/>
      </c:valAx>
    </c:plotArea>
    <c:legend>
      <c:legendPos val="t"/>
      <c:layout>
        <c:manualLayout>
          <c:xMode val="edge"/>
          <c:yMode val="edge"/>
          <c:x val="0.35979265091863516"/>
          <c:y val="4.629629629629646E-2"/>
          <c:w val="0.28041469816273062"/>
          <c:h val="8.3717191601050026E-2"/>
        </c:manualLayout>
      </c:layout>
      <c:overlay val="1"/>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List1!$C$79</c:f>
              <c:strCache>
                <c:ptCount val="1"/>
                <c:pt idx="0">
                  <c:v>silnice</c:v>
                </c:pt>
              </c:strCache>
            </c:strRef>
          </c:tx>
          <c:spPr>
            <a:solidFill>
              <a:srgbClr val="0070C0"/>
            </a:solidFill>
          </c:spPr>
          <c:invertIfNegative val="0"/>
          <c:cat>
            <c:strRef>
              <c:f>List1!$A$80:$A$93</c:f>
              <c:strCache>
                <c:ptCount val="14"/>
                <c:pt idx="0">
                  <c:v>JHM</c:v>
                </c:pt>
                <c:pt idx="1">
                  <c:v>STC</c:v>
                </c:pt>
                <c:pt idx="2">
                  <c:v>MSK</c:v>
                </c:pt>
                <c:pt idx="3">
                  <c:v>OLK</c:v>
                </c:pt>
                <c:pt idx="4">
                  <c:v>ZLK</c:v>
                </c:pt>
                <c:pt idx="5">
                  <c:v>JHC</c:v>
                </c:pt>
                <c:pt idx="6">
                  <c:v>VYS</c:v>
                </c:pt>
                <c:pt idx="7">
                  <c:v>ULK</c:v>
                </c:pt>
                <c:pt idx="8">
                  <c:v>HKK</c:v>
                </c:pt>
                <c:pt idx="9">
                  <c:v>LBK</c:v>
                </c:pt>
                <c:pt idx="10">
                  <c:v>PLK</c:v>
                </c:pt>
                <c:pt idx="11">
                  <c:v>PAK</c:v>
                </c:pt>
                <c:pt idx="12">
                  <c:v>KVK</c:v>
                </c:pt>
                <c:pt idx="13">
                  <c:v>PHA</c:v>
                </c:pt>
              </c:strCache>
            </c:strRef>
          </c:cat>
          <c:val>
            <c:numRef>
              <c:f>List1!$C$80:$C$93</c:f>
              <c:numCache>
                <c:formatCode>#,##0_ ;\-#,##0\ </c:formatCode>
                <c:ptCount val="14"/>
                <c:pt idx="0">
                  <c:v>69936.97</c:v>
                </c:pt>
                <c:pt idx="1">
                  <c:v>52444.21</c:v>
                </c:pt>
                <c:pt idx="2">
                  <c:v>33882.39</c:v>
                </c:pt>
                <c:pt idx="3">
                  <c:v>23919.1</c:v>
                </c:pt>
                <c:pt idx="4">
                  <c:v>22396.309999999932</c:v>
                </c:pt>
                <c:pt idx="5">
                  <c:v>16371.779999999981</c:v>
                </c:pt>
                <c:pt idx="6">
                  <c:v>14892.09</c:v>
                </c:pt>
                <c:pt idx="7">
                  <c:v>13229.859999999951</c:v>
                </c:pt>
                <c:pt idx="8">
                  <c:v>13227.05</c:v>
                </c:pt>
                <c:pt idx="9">
                  <c:v>12526.380000000001</c:v>
                </c:pt>
                <c:pt idx="10">
                  <c:v>12433.59</c:v>
                </c:pt>
                <c:pt idx="11">
                  <c:v>11680.949999999983</c:v>
                </c:pt>
                <c:pt idx="12">
                  <c:v>6524.05</c:v>
                </c:pt>
                <c:pt idx="13">
                  <c:v>5587.5</c:v>
                </c:pt>
              </c:numCache>
            </c:numRef>
          </c:val>
          <c:extLst>
            <c:ext xmlns:c16="http://schemas.microsoft.com/office/drawing/2014/chart" uri="{C3380CC4-5D6E-409C-BE32-E72D297353CC}">
              <c16:uniqueId val="{00000000-C986-498B-B014-7B8061EC69A4}"/>
            </c:ext>
          </c:extLst>
        </c:ser>
        <c:ser>
          <c:idx val="0"/>
          <c:order val="1"/>
          <c:tx>
            <c:strRef>
              <c:f>List1!$B$79</c:f>
              <c:strCache>
                <c:ptCount val="1"/>
                <c:pt idx="0">
                  <c:v>železnice</c:v>
                </c:pt>
              </c:strCache>
            </c:strRef>
          </c:tx>
          <c:spPr>
            <a:solidFill>
              <a:srgbClr val="00B050"/>
            </a:solidFill>
          </c:spPr>
          <c:invertIfNegative val="0"/>
          <c:cat>
            <c:strRef>
              <c:f>List1!$A$80:$A$93</c:f>
              <c:strCache>
                <c:ptCount val="14"/>
                <c:pt idx="0">
                  <c:v>JHM</c:v>
                </c:pt>
                <c:pt idx="1">
                  <c:v>STC</c:v>
                </c:pt>
                <c:pt idx="2">
                  <c:v>MSK</c:v>
                </c:pt>
                <c:pt idx="3">
                  <c:v>OLK</c:v>
                </c:pt>
                <c:pt idx="4">
                  <c:v>ZLK</c:v>
                </c:pt>
                <c:pt idx="5">
                  <c:v>JHC</c:v>
                </c:pt>
                <c:pt idx="6">
                  <c:v>VYS</c:v>
                </c:pt>
                <c:pt idx="7">
                  <c:v>ULK</c:v>
                </c:pt>
                <c:pt idx="8">
                  <c:v>HKK</c:v>
                </c:pt>
                <c:pt idx="9">
                  <c:v>LBK</c:v>
                </c:pt>
                <c:pt idx="10">
                  <c:v>PLK</c:v>
                </c:pt>
                <c:pt idx="11">
                  <c:v>PAK</c:v>
                </c:pt>
                <c:pt idx="12">
                  <c:v>KVK</c:v>
                </c:pt>
                <c:pt idx="13">
                  <c:v>PHA</c:v>
                </c:pt>
              </c:strCache>
            </c:strRef>
          </c:cat>
          <c:val>
            <c:numRef>
              <c:f>List1!$B$80:$B$93</c:f>
              <c:numCache>
                <c:formatCode>#,##0_ ;\-#,##0\ </c:formatCode>
                <c:ptCount val="14"/>
                <c:pt idx="0">
                  <c:v>21877</c:v>
                </c:pt>
                <c:pt idx="1">
                  <c:v>10256</c:v>
                </c:pt>
                <c:pt idx="2">
                  <c:v>14859.303</c:v>
                </c:pt>
                <c:pt idx="3">
                  <c:v>8752.625</c:v>
                </c:pt>
                <c:pt idx="4">
                  <c:v>4671.7060000000001</c:v>
                </c:pt>
                <c:pt idx="5">
                  <c:v>3594.1990000000001</c:v>
                </c:pt>
                <c:pt idx="6">
                  <c:v>2561.652</c:v>
                </c:pt>
                <c:pt idx="7">
                  <c:v>8171.5450000000001</c:v>
                </c:pt>
                <c:pt idx="8">
                  <c:v>6095.317</c:v>
                </c:pt>
                <c:pt idx="9">
                  <c:v>4605.0190000000002</c:v>
                </c:pt>
                <c:pt idx="10">
                  <c:v>5911</c:v>
                </c:pt>
                <c:pt idx="11">
                  <c:v>5724</c:v>
                </c:pt>
                <c:pt idx="12">
                  <c:v>2883.808</c:v>
                </c:pt>
                <c:pt idx="13">
                  <c:v>15186</c:v>
                </c:pt>
              </c:numCache>
            </c:numRef>
          </c:val>
          <c:extLst>
            <c:ext xmlns:c16="http://schemas.microsoft.com/office/drawing/2014/chart" uri="{C3380CC4-5D6E-409C-BE32-E72D297353CC}">
              <c16:uniqueId val="{00000001-C986-498B-B014-7B8061EC69A4}"/>
            </c:ext>
          </c:extLst>
        </c:ser>
        <c:dLbls>
          <c:showLegendKey val="0"/>
          <c:showVal val="0"/>
          <c:showCatName val="0"/>
          <c:showSerName val="0"/>
          <c:showPercent val="0"/>
          <c:showBubbleSize val="0"/>
        </c:dLbls>
        <c:gapWidth val="150"/>
        <c:overlap val="100"/>
        <c:axId val="36152064"/>
        <c:axId val="36153600"/>
      </c:barChart>
      <c:catAx>
        <c:axId val="36152064"/>
        <c:scaling>
          <c:orientation val="minMax"/>
        </c:scaling>
        <c:delete val="0"/>
        <c:axPos val="b"/>
        <c:numFmt formatCode="General" sourceLinked="0"/>
        <c:majorTickMark val="out"/>
        <c:minorTickMark val="none"/>
        <c:tickLblPos val="nextTo"/>
        <c:crossAx val="36153600"/>
        <c:crosses val="autoZero"/>
        <c:auto val="1"/>
        <c:lblAlgn val="ctr"/>
        <c:lblOffset val="100"/>
        <c:noMultiLvlLbl val="0"/>
      </c:catAx>
      <c:valAx>
        <c:axId val="36153600"/>
        <c:scaling>
          <c:orientation val="minMax"/>
        </c:scaling>
        <c:delete val="0"/>
        <c:axPos val="l"/>
        <c:majorGridlines/>
        <c:numFmt formatCode="#,##0_ ;\-#,##0\ " sourceLinked="1"/>
        <c:majorTickMark val="out"/>
        <c:minorTickMark val="none"/>
        <c:tickLblPos val="nextTo"/>
        <c:crossAx val="36152064"/>
        <c:crosses val="autoZero"/>
        <c:crossBetween val="between"/>
      </c:valAx>
    </c:plotArea>
    <c:legend>
      <c:legendPos val="t"/>
      <c:overlay val="1"/>
    </c:legend>
    <c:plotVisOnly val="1"/>
    <c:dispBlanksAs val="gap"/>
    <c:showDLblsOverMax val="0"/>
  </c:chart>
  <c:spPr>
    <a:ln>
      <a:solidFill>
        <a:schemeClr val="bg1">
          <a:lumMod val="50000"/>
        </a:schemeClr>
      </a:solid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Rezidenti</c:v>
          </c:tx>
          <c:invertIfNegative val="0"/>
          <c:cat>
            <c:numRef>
              <c:f>List1!$A$2:$A$5</c:f>
              <c:numCache>
                <c:formatCode>General</c:formatCode>
                <c:ptCount val="4"/>
                <c:pt idx="0">
                  <c:v>2012</c:v>
                </c:pt>
                <c:pt idx="1">
                  <c:v>2013</c:v>
                </c:pt>
                <c:pt idx="2">
                  <c:v>2014</c:v>
                </c:pt>
                <c:pt idx="3">
                  <c:v>2015</c:v>
                </c:pt>
              </c:numCache>
            </c:numRef>
          </c:cat>
          <c:val>
            <c:numRef>
              <c:f>List1!$C$2:$C$5</c:f>
              <c:numCache>
                <c:formatCode>#,##0</c:formatCode>
                <c:ptCount val="4"/>
                <c:pt idx="0">
                  <c:v>293788</c:v>
                </c:pt>
                <c:pt idx="1">
                  <c:v>260995</c:v>
                </c:pt>
                <c:pt idx="2">
                  <c:v>259348</c:v>
                </c:pt>
                <c:pt idx="3">
                  <c:v>316776</c:v>
                </c:pt>
              </c:numCache>
            </c:numRef>
          </c:val>
          <c:extLst>
            <c:ext xmlns:c16="http://schemas.microsoft.com/office/drawing/2014/chart" uri="{C3380CC4-5D6E-409C-BE32-E72D297353CC}">
              <c16:uniqueId val="{00000000-2AD1-4955-A306-6570338F5EB2}"/>
            </c:ext>
          </c:extLst>
        </c:ser>
        <c:ser>
          <c:idx val="1"/>
          <c:order val="1"/>
          <c:tx>
            <c:v>Rusko</c:v>
          </c:tx>
          <c:invertIfNegative val="0"/>
          <c:cat>
            <c:numRef>
              <c:f>List1!$A$2:$A$5</c:f>
              <c:numCache>
                <c:formatCode>General</c:formatCode>
                <c:ptCount val="4"/>
                <c:pt idx="0">
                  <c:v>2012</c:v>
                </c:pt>
                <c:pt idx="1">
                  <c:v>2013</c:v>
                </c:pt>
                <c:pt idx="2">
                  <c:v>2014</c:v>
                </c:pt>
                <c:pt idx="3">
                  <c:v>2015</c:v>
                </c:pt>
              </c:numCache>
            </c:numRef>
          </c:cat>
          <c:val>
            <c:numRef>
              <c:f>List1!$F$2:$F$5</c:f>
              <c:numCache>
                <c:formatCode>#,##0</c:formatCode>
                <c:ptCount val="4"/>
                <c:pt idx="0">
                  <c:v>108707</c:v>
                </c:pt>
                <c:pt idx="1">
                  <c:v>121644</c:v>
                </c:pt>
                <c:pt idx="2">
                  <c:v>109966</c:v>
                </c:pt>
                <c:pt idx="3">
                  <c:v>73356</c:v>
                </c:pt>
              </c:numCache>
            </c:numRef>
          </c:val>
          <c:extLst>
            <c:ext xmlns:c16="http://schemas.microsoft.com/office/drawing/2014/chart" uri="{C3380CC4-5D6E-409C-BE32-E72D297353CC}">
              <c16:uniqueId val="{00000001-2AD1-4955-A306-6570338F5EB2}"/>
            </c:ext>
          </c:extLst>
        </c:ser>
        <c:ser>
          <c:idx val="2"/>
          <c:order val="2"/>
          <c:tx>
            <c:v>Německo</c:v>
          </c:tx>
          <c:invertIfNegative val="0"/>
          <c:cat>
            <c:numRef>
              <c:f>List1!$A$2:$A$5</c:f>
              <c:numCache>
                <c:formatCode>General</c:formatCode>
                <c:ptCount val="4"/>
                <c:pt idx="0">
                  <c:v>2012</c:v>
                </c:pt>
                <c:pt idx="1">
                  <c:v>2013</c:v>
                </c:pt>
                <c:pt idx="2">
                  <c:v>2014</c:v>
                </c:pt>
                <c:pt idx="3">
                  <c:v>2015</c:v>
                </c:pt>
              </c:numCache>
            </c:numRef>
          </c:cat>
          <c:val>
            <c:numRef>
              <c:f>List1!$G$2:$G$5</c:f>
              <c:numCache>
                <c:formatCode>#,##0</c:formatCode>
                <c:ptCount val="4"/>
                <c:pt idx="0">
                  <c:v>244711</c:v>
                </c:pt>
                <c:pt idx="1">
                  <c:v>237490</c:v>
                </c:pt>
                <c:pt idx="2">
                  <c:v>247552</c:v>
                </c:pt>
                <c:pt idx="3">
                  <c:v>271468</c:v>
                </c:pt>
              </c:numCache>
            </c:numRef>
          </c:val>
          <c:extLst>
            <c:ext xmlns:c16="http://schemas.microsoft.com/office/drawing/2014/chart" uri="{C3380CC4-5D6E-409C-BE32-E72D297353CC}">
              <c16:uniqueId val="{00000002-2AD1-4955-A306-6570338F5EB2}"/>
            </c:ext>
          </c:extLst>
        </c:ser>
        <c:ser>
          <c:idx val="3"/>
          <c:order val="3"/>
          <c:tx>
            <c:v>Ostatní zahr.</c:v>
          </c:tx>
          <c:invertIfNegative val="0"/>
          <c:cat>
            <c:numRef>
              <c:f>List1!$A$2:$A$5</c:f>
              <c:numCache>
                <c:formatCode>General</c:formatCode>
                <c:ptCount val="4"/>
                <c:pt idx="0">
                  <c:v>2012</c:v>
                </c:pt>
                <c:pt idx="1">
                  <c:v>2013</c:v>
                </c:pt>
                <c:pt idx="2">
                  <c:v>2014</c:v>
                </c:pt>
                <c:pt idx="3">
                  <c:v>2015</c:v>
                </c:pt>
              </c:numCache>
            </c:numRef>
          </c:cat>
          <c:val>
            <c:numRef>
              <c:f>List1!$I$2:$I$5</c:f>
              <c:numCache>
                <c:formatCode>#,##0</c:formatCode>
                <c:ptCount val="4"/>
                <c:pt idx="0">
                  <c:v>161837</c:v>
                </c:pt>
                <c:pt idx="1">
                  <c:v>166955</c:v>
                </c:pt>
                <c:pt idx="2">
                  <c:v>159805</c:v>
                </c:pt>
                <c:pt idx="3">
                  <c:v>189291</c:v>
                </c:pt>
              </c:numCache>
            </c:numRef>
          </c:val>
          <c:extLst>
            <c:ext xmlns:c16="http://schemas.microsoft.com/office/drawing/2014/chart" uri="{C3380CC4-5D6E-409C-BE32-E72D297353CC}">
              <c16:uniqueId val="{00000003-2AD1-4955-A306-6570338F5EB2}"/>
            </c:ext>
          </c:extLst>
        </c:ser>
        <c:dLbls>
          <c:showLegendKey val="0"/>
          <c:showVal val="0"/>
          <c:showCatName val="0"/>
          <c:showSerName val="0"/>
          <c:showPercent val="0"/>
          <c:showBubbleSize val="0"/>
        </c:dLbls>
        <c:gapWidth val="150"/>
        <c:overlap val="100"/>
        <c:axId val="37662720"/>
        <c:axId val="37664256"/>
      </c:barChart>
      <c:catAx>
        <c:axId val="37662720"/>
        <c:scaling>
          <c:orientation val="minMax"/>
        </c:scaling>
        <c:delete val="0"/>
        <c:axPos val="b"/>
        <c:numFmt formatCode="General" sourceLinked="1"/>
        <c:majorTickMark val="out"/>
        <c:minorTickMark val="none"/>
        <c:tickLblPos val="nextTo"/>
        <c:crossAx val="37664256"/>
        <c:crosses val="autoZero"/>
        <c:auto val="1"/>
        <c:lblAlgn val="ctr"/>
        <c:lblOffset val="100"/>
        <c:noMultiLvlLbl val="0"/>
      </c:catAx>
      <c:valAx>
        <c:axId val="37664256"/>
        <c:scaling>
          <c:orientation val="minMax"/>
        </c:scaling>
        <c:delete val="0"/>
        <c:axPos val="l"/>
        <c:majorGridlines/>
        <c:numFmt formatCode="#,##0" sourceLinked="1"/>
        <c:majorTickMark val="out"/>
        <c:minorTickMark val="none"/>
        <c:tickLblPos val="nextTo"/>
        <c:crossAx val="37662720"/>
        <c:crosses val="autoZero"/>
        <c:crossBetween val="between"/>
      </c:valAx>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isoh!$A$16</c:f>
              <c:strCache>
                <c:ptCount val="1"/>
                <c:pt idx="0">
                  <c:v>papír</c:v>
                </c:pt>
              </c:strCache>
            </c:strRef>
          </c:tx>
          <c:spPr>
            <a:ln w="28575" cap="rnd">
              <a:solidFill>
                <a:schemeClr val="accent1"/>
              </a:solidFill>
              <a:round/>
            </a:ln>
            <a:effectLst/>
          </c:spPr>
          <c:marker>
            <c:symbol val="none"/>
          </c:marker>
          <c:dLbls>
            <c:dLbl>
              <c:idx val="0"/>
              <c:layout>
                <c:manualLayout>
                  <c:x val="-7.50000000000000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CF-4D63-A25A-4B3AF6992F6D}"/>
                </c:ext>
              </c:extLst>
            </c:dLbl>
            <c:dLbl>
              <c:idx val="1"/>
              <c:layout>
                <c:manualLayout>
                  <c:x val="-2.777777777777795E-2"/>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CF-4D63-A25A-4B3AF6992F6D}"/>
                </c:ext>
              </c:extLst>
            </c:dLbl>
            <c:dLbl>
              <c:idx val="2"/>
              <c:layout>
                <c:manualLayout>
                  <c:x val="-2.7777777777777991E-3"/>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CF-4D63-A25A-4B3AF6992F6D}"/>
                </c:ext>
              </c:extLst>
            </c:dLbl>
            <c:dLbl>
              <c:idx val="3"/>
              <c:layout>
                <c:manualLayout>
                  <c:x val="0"/>
                  <c:y val="-4.6296296296296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CF-4D63-A25A-4B3AF6992F6D}"/>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CF-4D63-A25A-4B3AF6992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isoh!$B$15:$F$15</c:f>
              <c:numCache>
                <c:formatCode>General</c:formatCode>
                <c:ptCount val="5"/>
                <c:pt idx="0">
                  <c:v>2009</c:v>
                </c:pt>
                <c:pt idx="1">
                  <c:v>2010</c:v>
                </c:pt>
                <c:pt idx="2">
                  <c:v>2011</c:v>
                </c:pt>
                <c:pt idx="3">
                  <c:v>2012</c:v>
                </c:pt>
                <c:pt idx="4">
                  <c:v>2013</c:v>
                </c:pt>
              </c:numCache>
            </c:numRef>
          </c:cat>
          <c:val>
            <c:numRef>
              <c:f>isoh!$B$16:$F$16</c:f>
              <c:numCache>
                <c:formatCode>General</c:formatCode>
                <c:ptCount val="5"/>
                <c:pt idx="0">
                  <c:v>16.5</c:v>
                </c:pt>
                <c:pt idx="1">
                  <c:v>15.9</c:v>
                </c:pt>
                <c:pt idx="2">
                  <c:v>16.7</c:v>
                </c:pt>
                <c:pt idx="3">
                  <c:v>16.899999999999999</c:v>
                </c:pt>
                <c:pt idx="4">
                  <c:v>17.3</c:v>
                </c:pt>
              </c:numCache>
            </c:numRef>
          </c:val>
          <c:smooth val="0"/>
          <c:extLst>
            <c:ext xmlns:c16="http://schemas.microsoft.com/office/drawing/2014/chart" uri="{C3380CC4-5D6E-409C-BE32-E72D297353CC}">
              <c16:uniqueId val="{00000005-7CCF-4D63-A25A-4B3AF6992F6D}"/>
            </c:ext>
          </c:extLst>
        </c:ser>
        <c:ser>
          <c:idx val="1"/>
          <c:order val="1"/>
          <c:tx>
            <c:strRef>
              <c:f>isoh!$A$17</c:f>
              <c:strCache>
                <c:ptCount val="1"/>
                <c:pt idx="0">
                  <c:v>sklo</c:v>
                </c:pt>
              </c:strCache>
            </c:strRef>
          </c:tx>
          <c:spPr>
            <a:ln w="28575" cap="rnd">
              <a:solidFill>
                <a:schemeClr val="accent2"/>
              </a:solidFill>
              <a:round/>
            </a:ln>
            <a:effectLst/>
          </c:spPr>
          <c:marker>
            <c:symbol val="none"/>
          </c:marker>
          <c:dLbls>
            <c:dLbl>
              <c:idx val="0"/>
              <c:layout>
                <c:manualLayout>
                  <c:x val="-7.7777777777777793E-2"/>
                  <c:y val="-1.388888888888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CF-4D63-A25A-4B3AF6992F6D}"/>
                </c:ext>
              </c:extLst>
            </c:dLbl>
            <c:dLbl>
              <c:idx val="1"/>
              <c:layout>
                <c:manualLayout>
                  <c:x val="-1.6666666666666701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CF-4D63-A25A-4B3AF6992F6D}"/>
                </c:ext>
              </c:extLst>
            </c:dLbl>
            <c:dLbl>
              <c:idx val="2"/>
              <c:layout>
                <c:manualLayout>
                  <c:x val="-3.3333333333333444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CF-4D63-A25A-4B3AF6992F6D}"/>
                </c:ext>
              </c:extLst>
            </c:dLbl>
            <c:dLbl>
              <c:idx val="3"/>
              <c:layout>
                <c:manualLayout>
                  <c:x val="-2.2222222222222251E-2"/>
                  <c:y val="-6.0185185185185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CF-4D63-A25A-4B3AF6992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isoh!$B$15:$F$15</c:f>
              <c:numCache>
                <c:formatCode>General</c:formatCode>
                <c:ptCount val="5"/>
                <c:pt idx="0">
                  <c:v>2009</c:v>
                </c:pt>
                <c:pt idx="1">
                  <c:v>2010</c:v>
                </c:pt>
                <c:pt idx="2">
                  <c:v>2011</c:v>
                </c:pt>
                <c:pt idx="3">
                  <c:v>2012</c:v>
                </c:pt>
                <c:pt idx="4">
                  <c:v>2013</c:v>
                </c:pt>
              </c:numCache>
            </c:numRef>
          </c:cat>
          <c:val>
            <c:numRef>
              <c:f>isoh!$B$17:$F$17</c:f>
              <c:numCache>
                <c:formatCode>General</c:formatCode>
                <c:ptCount val="5"/>
                <c:pt idx="0">
                  <c:v>8.8000000000000007</c:v>
                </c:pt>
                <c:pt idx="1">
                  <c:v>8.8000000000000007</c:v>
                </c:pt>
                <c:pt idx="2">
                  <c:v>10.4</c:v>
                </c:pt>
                <c:pt idx="3">
                  <c:v>9.7000000000000011</c:v>
                </c:pt>
                <c:pt idx="4">
                  <c:v>10.3</c:v>
                </c:pt>
              </c:numCache>
            </c:numRef>
          </c:val>
          <c:smooth val="0"/>
          <c:extLst>
            <c:ext xmlns:c16="http://schemas.microsoft.com/office/drawing/2014/chart" uri="{C3380CC4-5D6E-409C-BE32-E72D297353CC}">
              <c16:uniqueId val="{0000000A-7CCF-4D63-A25A-4B3AF6992F6D}"/>
            </c:ext>
          </c:extLst>
        </c:ser>
        <c:ser>
          <c:idx val="2"/>
          <c:order val="2"/>
          <c:tx>
            <c:strRef>
              <c:f>isoh!$A$18</c:f>
              <c:strCache>
                <c:ptCount val="1"/>
                <c:pt idx="0">
                  <c:v>plast</c:v>
                </c:pt>
              </c:strCache>
            </c:strRef>
          </c:tx>
          <c:spPr>
            <a:ln w="28575" cap="rnd">
              <a:solidFill>
                <a:schemeClr val="accent3"/>
              </a:solidFill>
              <a:round/>
            </a:ln>
            <a:effectLst/>
          </c:spPr>
          <c:marker>
            <c:symbol val="none"/>
          </c:marker>
          <c:dLbls>
            <c:dLbl>
              <c:idx val="0"/>
              <c:layout>
                <c:manualLayout>
                  <c:x val="-6.666666666666668E-2"/>
                  <c:y val="-8.48755627201347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CF-4D63-A25A-4B3AF6992F6D}"/>
                </c:ext>
              </c:extLst>
            </c:dLbl>
            <c:dLbl>
              <c:idx val="1"/>
              <c:layout>
                <c:manualLayout>
                  <c:x val="-5.0925337632080612E-17"/>
                  <c:y val="3.2407407407407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CF-4D63-A25A-4B3AF6992F6D}"/>
                </c:ext>
              </c:extLst>
            </c:dLbl>
            <c:dLbl>
              <c:idx val="2"/>
              <c:layout>
                <c:manualLayout>
                  <c:x val="-1.6666666666666701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CF-4D63-A25A-4B3AF6992F6D}"/>
                </c:ext>
              </c:extLst>
            </c:dLbl>
            <c:dLbl>
              <c:idx val="3"/>
              <c:layout>
                <c:manualLayout>
                  <c:x val="0"/>
                  <c:y val="2.777777777777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CF-4D63-A25A-4B3AF6992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isoh!$B$15:$F$15</c:f>
              <c:numCache>
                <c:formatCode>General</c:formatCode>
                <c:ptCount val="5"/>
                <c:pt idx="0">
                  <c:v>2009</c:v>
                </c:pt>
                <c:pt idx="1">
                  <c:v>2010</c:v>
                </c:pt>
                <c:pt idx="2">
                  <c:v>2011</c:v>
                </c:pt>
                <c:pt idx="3">
                  <c:v>2012</c:v>
                </c:pt>
                <c:pt idx="4">
                  <c:v>2013</c:v>
                </c:pt>
              </c:numCache>
            </c:numRef>
          </c:cat>
          <c:val>
            <c:numRef>
              <c:f>isoh!$B$18:$F$18</c:f>
              <c:numCache>
                <c:formatCode>General</c:formatCode>
                <c:ptCount val="5"/>
                <c:pt idx="0">
                  <c:v>6.7</c:v>
                </c:pt>
                <c:pt idx="1">
                  <c:v>7.6</c:v>
                </c:pt>
                <c:pt idx="2">
                  <c:v>8.8000000000000007</c:v>
                </c:pt>
                <c:pt idx="3">
                  <c:v>9.2000000000000011</c:v>
                </c:pt>
                <c:pt idx="4">
                  <c:v>10.3</c:v>
                </c:pt>
              </c:numCache>
            </c:numRef>
          </c:val>
          <c:smooth val="0"/>
          <c:extLst>
            <c:ext xmlns:c16="http://schemas.microsoft.com/office/drawing/2014/chart" uri="{C3380CC4-5D6E-409C-BE32-E72D297353CC}">
              <c16:uniqueId val="{0000000F-7CCF-4D63-A25A-4B3AF6992F6D}"/>
            </c:ext>
          </c:extLst>
        </c:ser>
        <c:ser>
          <c:idx val="3"/>
          <c:order val="3"/>
          <c:tx>
            <c:strRef>
              <c:f>isoh!$A$19</c:f>
              <c:strCache>
                <c:ptCount val="1"/>
                <c:pt idx="0">
                  <c:v>nápojový karton</c:v>
                </c:pt>
              </c:strCache>
            </c:strRef>
          </c:tx>
          <c:spPr>
            <a:ln w="28575" cap="rnd">
              <a:solidFill>
                <a:schemeClr val="accent4"/>
              </a:solidFill>
              <a:round/>
            </a:ln>
            <a:effectLst/>
          </c:spPr>
          <c:marker>
            <c:symbol val="none"/>
          </c:marker>
          <c:dLbls>
            <c:dLbl>
              <c:idx val="0"/>
              <c:layout>
                <c:manualLayout>
                  <c:x val="-6.9444444444444503E-2"/>
                  <c:y val="-1.3888888888889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CF-4D63-A25A-4B3AF6992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isoh!$B$15:$F$15</c:f>
              <c:numCache>
                <c:formatCode>General</c:formatCode>
                <c:ptCount val="5"/>
                <c:pt idx="0">
                  <c:v>2009</c:v>
                </c:pt>
                <c:pt idx="1">
                  <c:v>2010</c:v>
                </c:pt>
                <c:pt idx="2">
                  <c:v>2011</c:v>
                </c:pt>
                <c:pt idx="3">
                  <c:v>2012</c:v>
                </c:pt>
                <c:pt idx="4">
                  <c:v>2013</c:v>
                </c:pt>
              </c:numCache>
            </c:numRef>
          </c:cat>
          <c:val>
            <c:numRef>
              <c:f>isoh!$B$19:$F$19</c:f>
              <c:numCache>
                <c:formatCode>General</c:formatCode>
                <c:ptCount val="5"/>
                <c:pt idx="0">
                  <c:v>0.1</c:v>
                </c:pt>
                <c:pt idx="1">
                  <c:v>0.1</c:v>
                </c:pt>
                <c:pt idx="2">
                  <c:v>0.2</c:v>
                </c:pt>
                <c:pt idx="3">
                  <c:v>0.2</c:v>
                </c:pt>
                <c:pt idx="4">
                  <c:v>0.30000000000000032</c:v>
                </c:pt>
              </c:numCache>
            </c:numRef>
          </c:val>
          <c:smooth val="0"/>
          <c:extLst>
            <c:ext xmlns:c16="http://schemas.microsoft.com/office/drawing/2014/chart" uri="{C3380CC4-5D6E-409C-BE32-E72D297353CC}">
              <c16:uniqueId val="{00000011-7CCF-4D63-A25A-4B3AF6992F6D}"/>
            </c:ext>
          </c:extLst>
        </c:ser>
        <c:ser>
          <c:idx val="4"/>
          <c:order val="4"/>
          <c:tx>
            <c:strRef>
              <c:f>isoh!$A$20</c:f>
              <c:strCache>
                <c:ptCount val="1"/>
                <c:pt idx="0">
                  <c:v>kov</c:v>
                </c:pt>
              </c:strCache>
            </c:strRef>
          </c:tx>
          <c:spPr>
            <a:ln w="28575" cap="rnd">
              <a:solidFill>
                <a:schemeClr val="accent5"/>
              </a:solidFill>
              <a:round/>
            </a:ln>
            <a:effectLst/>
          </c:spPr>
          <c:marker>
            <c:symbol val="none"/>
          </c:marker>
          <c:dLbls>
            <c:dLbl>
              <c:idx val="0"/>
              <c:layout>
                <c:manualLayout>
                  <c:x val="-6.666666666666668E-2"/>
                  <c:y val="-1.388888888888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CCF-4D63-A25A-4B3AF6992F6D}"/>
                </c:ext>
              </c:extLst>
            </c:dLbl>
            <c:dLbl>
              <c:idx val="1"/>
              <c:layout>
                <c:manualLayout>
                  <c:x val="-5.5555555555555558E-3"/>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CCF-4D63-A25A-4B3AF6992F6D}"/>
                </c:ext>
              </c:extLst>
            </c:dLbl>
            <c:dLbl>
              <c:idx val="2"/>
              <c:layout>
                <c:manualLayout>
                  <c:x val="-2.777777777777795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CCF-4D63-A25A-4B3AF6992F6D}"/>
                </c:ext>
              </c:extLst>
            </c:dLbl>
            <c:dLbl>
              <c:idx val="3"/>
              <c:layout>
                <c:manualLayout>
                  <c:x val="-4.7222222222222332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CCF-4D63-A25A-4B3AF6992F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isoh!$B$15:$F$15</c:f>
              <c:numCache>
                <c:formatCode>General</c:formatCode>
                <c:ptCount val="5"/>
                <c:pt idx="0">
                  <c:v>2009</c:v>
                </c:pt>
                <c:pt idx="1">
                  <c:v>2010</c:v>
                </c:pt>
                <c:pt idx="2">
                  <c:v>2011</c:v>
                </c:pt>
                <c:pt idx="3">
                  <c:v>2012</c:v>
                </c:pt>
                <c:pt idx="4">
                  <c:v>2013</c:v>
                </c:pt>
              </c:numCache>
            </c:numRef>
          </c:cat>
          <c:val>
            <c:numRef>
              <c:f>isoh!$B$20:$F$20</c:f>
              <c:numCache>
                <c:formatCode>General</c:formatCode>
                <c:ptCount val="5"/>
                <c:pt idx="0">
                  <c:v>4.5</c:v>
                </c:pt>
                <c:pt idx="1">
                  <c:v>4.7</c:v>
                </c:pt>
                <c:pt idx="2">
                  <c:v>5.8</c:v>
                </c:pt>
                <c:pt idx="3">
                  <c:v>3.5</c:v>
                </c:pt>
                <c:pt idx="4">
                  <c:v>3.3</c:v>
                </c:pt>
              </c:numCache>
            </c:numRef>
          </c:val>
          <c:smooth val="0"/>
          <c:extLst>
            <c:ext xmlns:c16="http://schemas.microsoft.com/office/drawing/2014/chart" uri="{C3380CC4-5D6E-409C-BE32-E72D297353CC}">
              <c16:uniqueId val="{00000016-7CCF-4D63-A25A-4B3AF6992F6D}"/>
            </c:ext>
          </c:extLst>
        </c:ser>
        <c:dLbls>
          <c:showLegendKey val="0"/>
          <c:showVal val="0"/>
          <c:showCatName val="0"/>
          <c:showSerName val="0"/>
          <c:showPercent val="0"/>
          <c:showBubbleSize val="0"/>
        </c:dLbls>
        <c:smooth val="0"/>
        <c:axId val="36244480"/>
        <c:axId val="36266752"/>
      </c:lineChart>
      <c:catAx>
        <c:axId val="362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266752"/>
        <c:crosses val="autoZero"/>
        <c:auto val="1"/>
        <c:lblAlgn val="ctr"/>
        <c:lblOffset val="100"/>
        <c:noMultiLvlLbl val="0"/>
      </c:catAx>
      <c:valAx>
        <c:axId val="3626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2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'[320198150308.xlsx]a'!$B$5</c:f>
              <c:strCache>
                <c:ptCount val="1"/>
                <c:pt idx="0">
                  <c:v>Emise tuhé</c:v>
                </c:pt>
              </c:strCache>
            </c:strRef>
          </c:tx>
          <c:spPr>
            <a:solidFill>
              <a:schemeClr val="accent1"/>
            </a:solidFill>
            <a:ln>
              <a:noFill/>
            </a:ln>
            <a:effectLst/>
          </c:spPr>
          <c:invertIfNegative val="0"/>
          <c:cat>
            <c:strRef>
              <c:f>'[320198150308.xlsx]a'!$A$6:$A$20</c:f>
              <c:strCache>
                <c:ptCount val="15"/>
                <c:pt idx="0">
                  <c:v>ČR</c:v>
                </c:pt>
                <c:pt idx="1">
                  <c:v>Hl. m. Praha </c:v>
                </c:pt>
                <c:pt idx="2">
                  <c:v>Středočeský</c:v>
                </c:pt>
                <c:pt idx="3">
                  <c:v>Jihočeský</c:v>
                </c:pt>
                <c:pt idx="4">
                  <c:v>Plzeňský</c:v>
                </c:pt>
                <c:pt idx="5">
                  <c:v>Karlovarský</c:v>
                </c:pt>
                <c:pt idx="6">
                  <c:v>Ústecký</c:v>
                </c:pt>
                <c:pt idx="7">
                  <c:v>Liberecký</c:v>
                </c:pt>
                <c:pt idx="8">
                  <c:v>Královéhradecký</c:v>
                </c:pt>
                <c:pt idx="9">
                  <c:v>Pardubický</c:v>
                </c:pt>
                <c:pt idx="10">
                  <c:v>Vysočina</c:v>
                </c:pt>
                <c:pt idx="11">
                  <c:v>Jihomoravský</c:v>
                </c:pt>
                <c:pt idx="12">
                  <c:v>Olomoucký</c:v>
                </c:pt>
                <c:pt idx="13">
                  <c:v>Zlínský</c:v>
                </c:pt>
                <c:pt idx="14">
                  <c:v>Moravskoslezský</c:v>
                </c:pt>
              </c:strCache>
            </c:strRef>
          </c:cat>
          <c:val>
            <c:numRef>
              <c:f>'[320198150308.xlsx]a'!$B$6:$B$20</c:f>
              <c:numCache>
                <c:formatCode>0.0_ ;\-0.0\ </c:formatCode>
                <c:ptCount val="15"/>
                <c:pt idx="0">
                  <c:v>0.45027830306483674</c:v>
                </c:pt>
                <c:pt idx="1">
                  <c:v>0.7313104978614906</c:v>
                </c:pt>
                <c:pt idx="2">
                  <c:v>0.59294345555173023</c:v>
                </c:pt>
                <c:pt idx="3">
                  <c:v>0.30551674722762612</c:v>
                </c:pt>
                <c:pt idx="4">
                  <c:v>0.37067990617126406</c:v>
                </c:pt>
                <c:pt idx="5">
                  <c:v>0.29194656772662386</c:v>
                </c:pt>
                <c:pt idx="6">
                  <c:v>0.65249984776165493</c:v>
                </c:pt>
                <c:pt idx="7">
                  <c:v>0.39621128683697432</c:v>
                </c:pt>
                <c:pt idx="8">
                  <c:v>0.54765456050218164</c:v>
                </c:pt>
                <c:pt idx="9">
                  <c:v>0.59232111363985462</c:v>
                </c:pt>
                <c:pt idx="10">
                  <c:v>0.42842130738619144</c:v>
                </c:pt>
                <c:pt idx="11">
                  <c:v>0.29023991860187265</c:v>
                </c:pt>
                <c:pt idx="12">
                  <c:v>0.31929284486699883</c:v>
                </c:pt>
                <c:pt idx="13">
                  <c:v>0.30856488909666907</c:v>
                </c:pt>
                <c:pt idx="14">
                  <c:v>0.71006327916849965</c:v>
                </c:pt>
              </c:numCache>
            </c:numRef>
          </c:val>
          <c:extLst>
            <c:ext xmlns:c16="http://schemas.microsoft.com/office/drawing/2014/chart" uri="{C3380CC4-5D6E-409C-BE32-E72D297353CC}">
              <c16:uniqueId val="{00000000-98F6-486A-A4D7-7F8E4769EF33}"/>
            </c:ext>
          </c:extLst>
        </c:ser>
        <c:ser>
          <c:idx val="1"/>
          <c:order val="1"/>
          <c:tx>
            <c:strRef>
              <c:f>'[320198150308.xlsx]a'!$C$5</c:f>
              <c:strCache>
                <c:ptCount val="1"/>
                <c:pt idx="0">
                  <c:v>Oxid siřičitý 
(SO2)</c:v>
                </c:pt>
              </c:strCache>
            </c:strRef>
          </c:tx>
          <c:spPr>
            <a:solidFill>
              <a:schemeClr val="accent2"/>
            </a:solidFill>
            <a:ln>
              <a:noFill/>
            </a:ln>
            <a:effectLst/>
          </c:spPr>
          <c:invertIfNegative val="0"/>
          <c:cat>
            <c:strRef>
              <c:f>'[320198150308.xlsx]a'!$A$6:$A$20</c:f>
              <c:strCache>
                <c:ptCount val="15"/>
                <c:pt idx="0">
                  <c:v>ČR</c:v>
                </c:pt>
                <c:pt idx="1">
                  <c:v>Hl. m. Praha </c:v>
                </c:pt>
                <c:pt idx="2">
                  <c:v>Středočeský</c:v>
                </c:pt>
                <c:pt idx="3">
                  <c:v>Jihočeský</c:v>
                </c:pt>
                <c:pt idx="4">
                  <c:v>Plzeňský</c:v>
                </c:pt>
                <c:pt idx="5">
                  <c:v>Karlovarský</c:v>
                </c:pt>
                <c:pt idx="6">
                  <c:v>Ústecký</c:v>
                </c:pt>
                <c:pt idx="7">
                  <c:v>Liberecký</c:v>
                </c:pt>
                <c:pt idx="8">
                  <c:v>Královéhradecký</c:v>
                </c:pt>
                <c:pt idx="9">
                  <c:v>Pardubický</c:v>
                </c:pt>
                <c:pt idx="10">
                  <c:v>Vysočina</c:v>
                </c:pt>
                <c:pt idx="11">
                  <c:v>Jihomoravský</c:v>
                </c:pt>
                <c:pt idx="12">
                  <c:v>Olomoucký</c:v>
                </c:pt>
                <c:pt idx="13">
                  <c:v>Zlínský</c:v>
                </c:pt>
                <c:pt idx="14">
                  <c:v>Moravskoslezský</c:v>
                </c:pt>
              </c:strCache>
            </c:strRef>
          </c:cat>
          <c:val>
            <c:numRef>
              <c:f>'[320198150308.xlsx]a'!$C$6:$C$20</c:f>
              <c:numCache>
                <c:formatCode>0.0_ ;\-0.0\ </c:formatCode>
                <c:ptCount val="15"/>
                <c:pt idx="0">
                  <c:v>1.744915091653924</c:v>
                </c:pt>
                <c:pt idx="1">
                  <c:v>0.80790177205519265</c:v>
                </c:pt>
                <c:pt idx="2">
                  <c:v>1.9139405395756983</c:v>
                </c:pt>
                <c:pt idx="3">
                  <c:v>0.76246442493677968</c:v>
                </c:pt>
                <c:pt idx="4">
                  <c:v>0.90800975300910536</c:v>
                </c:pt>
                <c:pt idx="5">
                  <c:v>2.8695310053222411</c:v>
                </c:pt>
                <c:pt idx="6">
                  <c:v>7.7929694352558334</c:v>
                </c:pt>
                <c:pt idx="7">
                  <c:v>0.49965244623323102</c:v>
                </c:pt>
                <c:pt idx="8">
                  <c:v>0.98206654514747338</c:v>
                </c:pt>
                <c:pt idx="9">
                  <c:v>2.6459923287632732</c:v>
                </c:pt>
                <c:pt idx="10">
                  <c:v>0.33939936385493086</c:v>
                </c:pt>
                <c:pt idx="11">
                  <c:v>0.24236778735829273</c:v>
                </c:pt>
                <c:pt idx="12">
                  <c:v>0.72983547450327513</c:v>
                </c:pt>
                <c:pt idx="13">
                  <c:v>1.1995227482499691</c:v>
                </c:pt>
                <c:pt idx="14">
                  <c:v>3.6220101678554992</c:v>
                </c:pt>
              </c:numCache>
            </c:numRef>
          </c:val>
          <c:extLst>
            <c:ext xmlns:c16="http://schemas.microsoft.com/office/drawing/2014/chart" uri="{C3380CC4-5D6E-409C-BE32-E72D297353CC}">
              <c16:uniqueId val="{00000001-98F6-486A-A4D7-7F8E4769EF33}"/>
            </c:ext>
          </c:extLst>
        </c:ser>
        <c:ser>
          <c:idx val="2"/>
          <c:order val="2"/>
          <c:tx>
            <c:strRef>
              <c:f>'[320198150308.xlsx]a'!$D$5</c:f>
              <c:strCache>
                <c:ptCount val="1"/>
                <c:pt idx="0">
                  <c:v>Oxidy dusíku 
(NOX)</c:v>
                </c:pt>
              </c:strCache>
            </c:strRef>
          </c:tx>
          <c:spPr>
            <a:solidFill>
              <a:schemeClr val="accent3"/>
            </a:solidFill>
            <a:ln>
              <a:noFill/>
            </a:ln>
            <a:effectLst/>
          </c:spPr>
          <c:invertIfNegative val="0"/>
          <c:cat>
            <c:strRef>
              <c:f>'[320198150308.xlsx]a'!$A$6:$A$20</c:f>
              <c:strCache>
                <c:ptCount val="15"/>
                <c:pt idx="0">
                  <c:v>ČR</c:v>
                </c:pt>
                <c:pt idx="1">
                  <c:v>Hl. m. Praha </c:v>
                </c:pt>
                <c:pt idx="2">
                  <c:v>Středočeský</c:v>
                </c:pt>
                <c:pt idx="3">
                  <c:v>Jihočeský</c:v>
                </c:pt>
                <c:pt idx="4">
                  <c:v>Plzeňský</c:v>
                </c:pt>
                <c:pt idx="5">
                  <c:v>Karlovarský</c:v>
                </c:pt>
                <c:pt idx="6">
                  <c:v>Ústecký</c:v>
                </c:pt>
                <c:pt idx="7">
                  <c:v>Liberecký</c:v>
                </c:pt>
                <c:pt idx="8">
                  <c:v>Královéhradecký</c:v>
                </c:pt>
                <c:pt idx="9">
                  <c:v>Pardubický</c:v>
                </c:pt>
                <c:pt idx="10">
                  <c:v>Vysočina</c:v>
                </c:pt>
                <c:pt idx="11">
                  <c:v>Jihomoravský</c:v>
                </c:pt>
                <c:pt idx="12">
                  <c:v>Olomoucký</c:v>
                </c:pt>
                <c:pt idx="13">
                  <c:v>Zlínský</c:v>
                </c:pt>
                <c:pt idx="14">
                  <c:v>Moravskoslezský</c:v>
                </c:pt>
              </c:strCache>
            </c:strRef>
          </c:cat>
          <c:val>
            <c:numRef>
              <c:f>'[320198150308.xlsx]a'!$D$6:$D$20</c:f>
              <c:numCache>
                <c:formatCode>0.0_ ;\-0.0\ </c:formatCode>
                <c:ptCount val="15"/>
                <c:pt idx="0">
                  <c:v>1.3052659413338381</c:v>
                </c:pt>
                <c:pt idx="1">
                  <c:v>4.3752843368145475</c:v>
                </c:pt>
                <c:pt idx="2">
                  <c:v>1.1557301107886953</c:v>
                </c:pt>
                <c:pt idx="3">
                  <c:v>0.32867171431521536</c:v>
                </c:pt>
                <c:pt idx="4">
                  <c:v>0.41485284962656482</c:v>
                </c:pt>
                <c:pt idx="5">
                  <c:v>1.6383844356768855</c:v>
                </c:pt>
                <c:pt idx="6">
                  <c:v>6.3220326094206465</c:v>
                </c:pt>
                <c:pt idx="7">
                  <c:v>0.33449792414161988</c:v>
                </c:pt>
                <c:pt idx="8">
                  <c:v>0.43619728547048808</c:v>
                </c:pt>
                <c:pt idx="9">
                  <c:v>2.0283047256972271</c:v>
                </c:pt>
                <c:pt idx="10">
                  <c:v>0.35440566689881903</c:v>
                </c:pt>
                <c:pt idx="11">
                  <c:v>0.48462759687599338</c:v>
                </c:pt>
                <c:pt idx="12">
                  <c:v>0.62225716194113956</c:v>
                </c:pt>
                <c:pt idx="13">
                  <c:v>0.63908429480175832</c:v>
                </c:pt>
                <c:pt idx="14">
                  <c:v>3.3973675313812941</c:v>
                </c:pt>
              </c:numCache>
            </c:numRef>
          </c:val>
          <c:extLst>
            <c:ext xmlns:c16="http://schemas.microsoft.com/office/drawing/2014/chart" uri="{C3380CC4-5D6E-409C-BE32-E72D297353CC}">
              <c16:uniqueId val="{00000002-98F6-486A-A4D7-7F8E4769EF33}"/>
            </c:ext>
          </c:extLst>
        </c:ser>
        <c:ser>
          <c:idx val="3"/>
          <c:order val="3"/>
          <c:tx>
            <c:strRef>
              <c:f>'[320198150308.xlsx]a'!$E$5</c:f>
              <c:strCache>
                <c:ptCount val="1"/>
                <c:pt idx="0">
                  <c:v>Oxid uhelnatý 
(CO)</c:v>
                </c:pt>
              </c:strCache>
            </c:strRef>
          </c:tx>
          <c:spPr>
            <a:solidFill>
              <a:schemeClr val="accent4"/>
            </a:solidFill>
            <a:ln>
              <a:noFill/>
            </a:ln>
            <a:effectLst/>
          </c:spPr>
          <c:invertIfNegative val="0"/>
          <c:cat>
            <c:strRef>
              <c:f>'[320198150308.xlsx]a'!$A$6:$A$20</c:f>
              <c:strCache>
                <c:ptCount val="15"/>
                <c:pt idx="0">
                  <c:v>ČR</c:v>
                </c:pt>
                <c:pt idx="1">
                  <c:v>Hl. m. Praha </c:v>
                </c:pt>
                <c:pt idx="2">
                  <c:v>Středočeský</c:v>
                </c:pt>
                <c:pt idx="3">
                  <c:v>Jihočeský</c:v>
                </c:pt>
                <c:pt idx="4">
                  <c:v>Plzeňský</c:v>
                </c:pt>
                <c:pt idx="5">
                  <c:v>Karlovarský</c:v>
                </c:pt>
                <c:pt idx="6">
                  <c:v>Ústecký</c:v>
                </c:pt>
                <c:pt idx="7">
                  <c:v>Liberecký</c:v>
                </c:pt>
                <c:pt idx="8">
                  <c:v>Královéhradecký</c:v>
                </c:pt>
                <c:pt idx="9">
                  <c:v>Pardubický</c:v>
                </c:pt>
                <c:pt idx="10">
                  <c:v>Vysočina</c:v>
                </c:pt>
                <c:pt idx="11">
                  <c:v>Jihomoravský</c:v>
                </c:pt>
                <c:pt idx="12">
                  <c:v>Olomoucký</c:v>
                </c:pt>
                <c:pt idx="13">
                  <c:v>Zlínský</c:v>
                </c:pt>
                <c:pt idx="14">
                  <c:v>Moravskoslezský</c:v>
                </c:pt>
              </c:strCache>
            </c:strRef>
          </c:cat>
          <c:val>
            <c:numRef>
              <c:f>'[320198150308.xlsx]a'!$E$6:$E$20</c:f>
              <c:numCache>
                <c:formatCode>0.0_ ;\-0.0\ </c:formatCode>
                <c:ptCount val="15"/>
                <c:pt idx="0">
                  <c:v>5.4594664870709924</c:v>
                </c:pt>
                <c:pt idx="1">
                  <c:v>5.3928413990437472</c:v>
                </c:pt>
                <c:pt idx="2">
                  <c:v>5.0751657658028924</c:v>
                </c:pt>
                <c:pt idx="3">
                  <c:v>3.2067358973799212</c:v>
                </c:pt>
                <c:pt idx="4">
                  <c:v>3.2304255342231598</c:v>
                </c:pt>
                <c:pt idx="5">
                  <c:v>2.6581939865546897</c:v>
                </c:pt>
                <c:pt idx="6">
                  <c:v>4.9807511159662994</c:v>
                </c:pt>
                <c:pt idx="7">
                  <c:v>4.9156825103814263</c:v>
                </c:pt>
                <c:pt idx="8">
                  <c:v>4.4635845382849526</c:v>
                </c:pt>
                <c:pt idx="9">
                  <c:v>4.2507726994947381</c:v>
                </c:pt>
                <c:pt idx="10">
                  <c:v>3.7166277570565809</c:v>
                </c:pt>
                <c:pt idx="11">
                  <c:v>2.5179178005611771</c:v>
                </c:pt>
                <c:pt idx="12">
                  <c:v>3.6629812645389803</c:v>
                </c:pt>
                <c:pt idx="13">
                  <c:v>4.1582946988389695</c:v>
                </c:pt>
                <c:pt idx="14">
                  <c:v>26.678771029245965</c:v>
                </c:pt>
              </c:numCache>
            </c:numRef>
          </c:val>
          <c:extLst>
            <c:ext xmlns:c16="http://schemas.microsoft.com/office/drawing/2014/chart" uri="{C3380CC4-5D6E-409C-BE32-E72D297353CC}">
              <c16:uniqueId val="{00000003-98F6-486A-A4D7-7F8E4769EF33}"/>
            </c:ext>
          </c:extLst>
        </c:ser>
        <c:ser>
          <c:idx val="4"/>
          <c:order val="4"/>
          <c:tx>
            <c:strRef>
              <c:f>'[320198150308.xlsx]a'!$F$5</c:f>
              <c:strCache>
                <c:ptCount val="1"/>
                <c:pt idx="0">
                  <c:v>Těkavé
organické
látky (VOC)</c:v>
                </c:pt>
              </c:strCache>
            </c:strRef>
          </c:tx>
          <c:spPr>
            <a:solidFill>
              <a:schemeClr val="accent5"/>
            </a:solidFill>
            <a:ln>
              <a:noFill/>
            </a:ln>
            <a:effectLst/>
          </c:spPr>
          <c:invertIfNegative val="0"/>
          <c:cat>
            <c:strRef>
              <c:f>'[320198150308.xlsx]a'!$A$6:$A$20</c:f>
              <c:strCache>
                <c:ptCount val="15"/>
                <c:pt idx="0">
                  <c:v>ČR</c:v>
                </c:pt>
                <c:pt idx="1">
                  <c:v>Hl. m. Praha </c:v>
                </c:pt>
                <c:pt idx="2">
                  <c:v>Středočeský</c:v>
                </c:pt>
                <c:pt idx="3">
                  <c:v>Jihočeský</c:v>
                </c:pt>
                <c:pt idx="4">
                  <c:v>Plzeňský</c:v>
                </c:pt>
                <c:pt idx="5">
                  <c:v>Karlovarský</c:v>
                </c:pt>
                <c:pt idx="6">
                  <c:v>Ústecký</c:v>
                </c:pt>
                <c:pt idx="7">
                  <c:v>Liberecký</c:v>
                </c:pt>
                <c:pt idx="8">
                  <c:v>Královéhradecký</c:v>
                </c:pt>
                <c:pt idx="9">
                  <c:v>Pardubický</c:v>
                </c:pt>
                <c:pt idx="10">
                  <c:v>Vysočina</c:v>
                </c:pt>
                <c:pt idx="11">
                  <c:v>Jihomoravský</c:v>
                </c:pt>
                <c:pt idx="12">
                  <c:v>Olomoucký</c:v>
                </c:pt>
                <c:pt idx="13">
                  <c:v>Zlínský</c:v>
                </c:pt>
                <c:pt idx="14">
                  <c:v>Moravskoslezský</c:v>
                </c:pt>
              </c:strCache>
            </c:strRef>
          </c:cat>
          <c:val>
            <c:numRef>
              <c:f>'[320198150308.xlsx]a'!$F$6:$F$20</c:f>
              <c:numCache>
                <c:formatCode>0.0_ ;\-0.0\ </c:formatCode>
                <c:ptCount val="15"/>
                <c:pt idx="0">
                  <c:v>1.338107678898498</c:v>
                </c:pt>
                <c:pt idx="1">
                  <c:v>7.1444351621233961</c:v>
                </c:pt>
                <c:pt idx="2">
                  <c:v>1.7110064986730358</c:v>
                </c:pt>
                <c:pt idx="3">
                  <c:v>0.77165097381318892</c:v>
                </c:pt>
                <c:pt idx="4">
                  <c:v>0.83950654433821259</c:v>
                </c:pt>
                <c:pt idx="5">
                  <c:v>0.90051481353827434</c:v>
                </c:pt>
                <c:pt idx="6">
                  <c:v>1.2902414238754101</c:v>
                </c:pt>
                <c:pt idx="7">
                  <c:v>1.3695144122211218</c:v>
                </c:pt>
                <c:pt idx="8">
                  <c:v>1.6312744127909078</c:v>
                </c:pt>
                <c:pt idx="9">
                  <c:v>1.3342175008609518</c:v>
                </c:pt>
                <c:pt idx="10">
                  <c:v>0.94672187654854911</c:v>
                </c:pt>
                <c:pt idx="11">
                  <c:v>1.1560930012684161</c:v>
                </c:pt>
                <c:pt idx="12">
                  <c:v>1.2869421066970541</c:v>
                </c:pt>
                <c:pt idx="13">
                  <c:v>2.1584025898329484</c:v>
                </c:pt>
                <c:pt idx="14">
                  <c:v>2.0188560496378427</c:v>
                </c:pt>
              </c:numCache>
            </c:numRef>
          </c:val>
          <c:extLst>
            <c:ext xmlns:c16="http://schemas.microsoft.com/office/drawing/2014/chart" uri="{C3380CC4-5D6E-409C-BE32-E72D297353CC}">
              <c16:uniqueId val="{00000004-98F6-486A-A4D7-7F8E4769EF33}"/>
            </c:ext>
          </c:extLst>
        </c:ser>
        <c:dLbls>
          <c:showLegendKey val="0"/>
          <c:showVal val="0"/>
          <c:showCatName val="0"/>
          <c:showSerName val="0"/>
          <c:showPercent val="0"/>
          <c:showBubbleSize val="0"/>
        </c:dLbls>
        <c:gapWidth val="219"/>
        <c:overlap val="-27"/>
        <c:axId val="38284288"/>
        <c:axId val="38294272"/>
      </c:barChart>
      <c:catAx>
        <c:axId val="3828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294272"/>
        <c:crosses val="autoZero"/>
        <c:auto val="1"/>
        <c:lblAlgn val="ctr"/>
        <c:lblOffset val="100"/>
        <c:noMultiLvlLbl val="0"/>
      </c:catAx>
      <c:valAx>
        <c:axId val="38294272"/>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28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91232148036507E-2"/>
          <c:y val="0.10898700825053625"/>
          <c:w val="0.80990485610172636"/>
          <c:h val="0.76512160173675881"/>
        </c:manualLayout>
      </c:layout>
      <c:ofPieChart>
        <c:ofPieType val="bar"/>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0-3FB3-48B4-B21A-295C6E1C86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3FB3-48B4-B21A-295C6E1C86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3FB3-48B4-B21A-295C6E1C86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3FB3-48B4-B21A-295C6E1C86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3FB3-48B4-B21A-295C6E1C86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5-3FB3-48B4-B21A-295C6E1C86C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6-3FB3-48B4-B21A-295C6E1C86C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FB3-48B4-B21A-295C6E1C86C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8-3FB3-48B4-B21A-295C6E1C86C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FB3-48B4-B21A-295C6E1C86C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A-3FB3-48B4-B21A-295C6E1C86CE}"/>
              </c:ext>
            </c:extLst>
          </c:dPt>
          <c:dLbls>
            <c:dLbl>
              <c:idx val="0"/>
              <c:layout>
                <c:manualLayout>
                  <c:x val="-6.4100174978127838E-2"/>
                  <c:y val="-2.388013998250219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B3-48B4-B21A-295C6E1C86CE}"/>
                </c:ext>
              </c:extLst>
            </c:dLbl>
            <c:dLbl>
              <c:idx val="1"/>
              <c:layout>
                <c:manualLayout>
                  <c:x val="7.4334230434842177E-2"/>
                  <c:y val="0.126090715301593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B3-48B4-B21A-295C6E1C86CE}"/>
                </c:ext>
              </c:extLst>
            </c:dLbl>
            <c:dLbl>
              <c:idx val="4"/>
              <c:layout>
                <c:manualLayout>
                  <c:x val="-3.7766227838122012E-3"/>
                  <c:y val="-1.219544659845903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B3-48B4-B21A-295C6E1C86CE}"/>
                </c:ext>
              </c:extLst>
            </c:dLbl>
            <c:dLbl>
              <c:idx val="6"/>
              <c:layout>
                <c:manualLayout>
                  <c:x val="-2.7777777777777991E-3"/>
                  <c:y val="-2.77777777777779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B3-48B4-B21A-295C6E1C86CE}"/>
                </c:ext>
              </c:extLst>
            </c:dLbl>
            <c:dLbl>
              <c:idx val="7"/>
              <c:layout>
                <c:manualLayout>
                  <c:x val="0"/>
                  <c:y val="-2.31481481481481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B3-48B4-B21A-295C6E1C86CE}"/>
                </c:ext>
              </c:extLst>
            </c:dLbl>
            <c:dLbl>
              <c:idx val="8"/>
              <c:layout>
                <c:manualLayout>
                  <c:x val="-2.7777777777777991E-3"/>
                  <c:y val="5.55555555555554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B3-48B4-B21A-295C6E1C86CE}"/>
                </c:ext>
              </c:extLst>
            </c:dLbl>
            <c:dLbl>
              <c:idx val="9"/>
              <c:layout>
                <c:manualLayout>
                  <c:x val="-5.55564294641199E-3"/>
                  <c:y val="5.51518765527572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B3-48B4-B21A-295C6E1C86CE}"/>
                </c:ext>
              </c:extLst>
            </c:dLbl>
            <c:dLbl>
              <c:idx val="10"/>
              <c:layout>
                <c:manualLayout>
                  <c:x val="2.8198313155519596E-2"/>
                  <c:y val="-0.3172802713219842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zemědělská půda</a:t>
                    </a:r>
                    <a:r>
                      <a:rPr lang="en-US" sz="800" b="0" i="0" u="none" strike="noStrike" kern="1200" baseline="0">
                        <a:solidFill>
                          <a:sysClr val="windowText" lastClr="000000">
                            <a:lumMod val="65000"/>
                            <a:lumOff val="35000"/>
                          </a:sysClr>
                        </a:solidFill>
                      </a:rPr>
                      <a:t>;</a:t>
                    </a:r>
                    <a:r>
                      <a:rPr lang="en-US" baseline="0"/>
                      <a:t> 37,4</a:t>
                    </a:r>
                    <a:endParaRPr lang="en-US"/>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3695641799715747"/>
                      <c:h val="0.13094573360690923"/>
                    </c:manualLayout>
                  </c15:layout>
                </c:ext>
                <c:ext xmlns:c16="http://schemas.microsoft.com/office/drawing/2014/chart" uri="{C3380CC4-5D6E-409C-BE32-E72D297353CC}">
                  <c16:uniqueId val="{0000000A-3FB3-48B4-B21A-295C6E1C86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List1!$F$8:$O$8</c:f>
              <c:strCache>
                <c:ptCount val="10"/>
                <c:pt idx="1">
                  <c:v>lesní pozemek</c:v>
                </c:pt>
                <c:pt idx="2">
                  <c:v>vodní plocha</c:v>
                </c:pt>
                <c:pt idx="3">
                  <c:v>zastav. plocha a nádvoří</c:v>
                </c:pt>
                <c:pt idx="4">
                  <c:v>ostatní plocha</c:v>
                </c:pt>
                <c:pt idx="5">
                  <c:v>zemědělská půda</c:v>
                </c:pt>
                <c:pt idx="6">
                  <c:v>orná půda</c:v>
                </c:pt>
                <c:pt idx="7">
                  <c:v>zahrada</c:v>
                </c:pt>
                <c:pt idx="8">
                  <c:v>ovoc.sad</c:v>
                </c:pt>
                <c:pt idx="9">
                  <c:v>trvalý travní porost</c:v>
                </c:pt>
              </c:strCache>
            </c:strRef>
          </c:cat>
          <c:val>
            <c:numRef>
              <c:f>List1!$F$9:$O$9</c:f>
              <c:numCache>
                <c:formatCode>0.0%</c:formatCode>
                <c:ptCount val="10"/>
                <c:pt idx="1">
                  <c:v>0.43520633378491425</c:v>
                </c:pt>
                <c:pt idx="2">
                  <c:v>2.1389196479487383E-2</c:v>
                </c:pt>
                <c:pt idx="3">
                  <c:v>9.3926602681117608E-3</c:v>
                </c:pt>
                <c:pt idx="4">
                  <c:v>0.15998600001810392</c:v>
                </c:pt>
                <c:pt idx="6">
                  <c:v>0.16224289365143132</c:v>
                </c:pt>
                <c:pt idx="7">
                  <c:v>9.0426607206973448E-3</c:v>
                </c:pt>
                <c:pt idx="8">
                  <c:v>1.8344803864477825E-3</c:v>
                </c:pt>
                <c:pt idx="9">
                  <c:v>0.20091180916576457</c:v>
                </c:pt>
              </c:numCache>
            </c:numRef>
          </c:val>
          <c:extLst>
            <c:ext xmlns:c16="http://schemas.microsoft.com/office/drawing/2014/chart" uri="{C3380CC4-5D6E-409C-BE32-E72D297353CC}">
              <c16:uniqueId val="{0000000B-3FB3-48B4-B21A-295C6E1C86CE}"/>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List4!$B$22</c:f>
              <c:strCache>
                <c:ptCount val="1"/>
                <c:pt idx="0">
                  <c:v> do 24
</c:v>
                </c:pt>
              </c:strCache>
            </c:strRef>
          </c:tx>
          <c:spPr>
            <a:solidFill>
              <a:srgbClr val="4F81BD"/>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List4!$A$23:$A$28</c:f>
              <c:strCache>
                <c:ptCount val="6"/>
                <c:pt idx="0">
                  <c:v>Karlovarský</c:v>
                </c:pt>
                <c:pt idx="1">
                  <c:v>Liberecký</c:v>
                </c:pt>
                <c:pt idx="2">
                  <c:v>Pardubický</c:v>
                </c:pt>
                <c:pt idx="3">
                  <c:v>Vysočina</c:v>
                </c:pt>
                <c:pt idx="4">
                  <c:v>Zlínský</c:v>
                </c:pt>
                <c:pt idx="5">
                  <c:v>Česká republika
</c:v>
                </c:pt>
              </c:strCache>
            </c:strRef>
          </c:cat>
          <c:val>
            <c:numRef>
              <c:f>List4!$B$23:$B$28</c:f>
              <c:numCache>
                <c:formatCode>#\ ##0.0</c:formatCode>
                <c:ptCount val="6"/>
                <c:pt idx="0">
                  <c:v>6.6999140043956045</c:v>
                </c:pt>
                <c:pt idx="1">
                  <c:v>5.5244663307596475</c:v>
                </c:pt>
                <c:pt idx="2">
                  <c:v>7.7853144312810052</c:v>
                </c:pt>
                <c:pt idx="3">
                  <c:v>6.7538051458361323</c:v>
                </c:pt>
                <c:pt idx="4">
                  <c:v>5.264164262845564</c:v>
                </c:pt>
                <c:pt idx="5">
                  <c:v>6.0894683060016819</c:v>
                </c:pt>
              </c:numCache>
            </c:numRef>
          </c:val>
          <c:extLst>
            <c:ext xmlns:c16="http://schemas.microsoft.com/office/drawing/2014/chart" uri="{C3380CC4-5D6E-409C-BE32-E72D297353CC}">
              <c16:uniqueId val="{00000000-65EE-41F5-9FDA-8439ABFC27BA}"/>
            </c:ext>
          </c:extLst>
        </c:ser>
        <c:ser>
          <c:idx val="1"/>
          <c:order val="1"/>
          <c:tx>
            <c:strRef>
              <c:f>List4!$C$22</c:f>
              <c:strCache>
                <c:ptCount val="1"/>
                <c:pt idx="0">
                  <c:v>25–34</c:v>
                </c:pt>
              </c:strCache>
            </c:strRef>
          </c:tx>
          <c:spPr>
            <a:solidFill>
              <a:srgbClr val="C0504D"/>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List4!$A$23:$A$28</c:f>
              <c:strCache>
                <c:ptCount val="6"/>
                <c:pt idx="0">
                  <c:v>Karlovarský</c:v>
                </c:pt>
                <c:pt idx="1">
                  <c:v>Liberecký</c:v>
                </c:pt>
                <c:pt idx="2">
                  <c:v>Pardubický</c:v>
                </c:pt>
                <c:pt idx="3">
                  <c:v>Vysočina</c:v>
                </c:pt>
                <c:pt idx="4">
                  <c:v>Zlínský</c:v>
                </c:pt>
                <c:pt idx="5">
                  <c:v>Česká republika
</c:v>
                </c:pt>
              </c:strCache>
            </c:strRef>
          </c:cat>
          <c:val>
            <c:numRef>
              <c:f>List4!$C$23:$C$28</c:f>
              <c:numCache>
                <c:formatCode>#\ ##0.0</c:formatCode>
                <c:ptCount val="6"/>
                <c:pt idx="0">
                  <c:v>12.476511451428571</c:v>
                </c:pt>
                <c:pt idx="1">
                  <c:v>13.456585265753455</c:v>
                </c:pt>
                <c:pt idx="2">
                  <c:v>12.639366129364845</c:v>
                </c:pt>
                <c:pt idx="3">
                  <c:v>11.225977416320235</c:v>
                </c:pt>
                <c:pt idx="4">
                  <c:v>14.379803521240754</c:v>
                </c:pt>
                <c:pt idx="5">
                  <c:v>12.50584581655948</c:v>
                </c:pt>
              </c:numCache>
            </c:numRef>
          </c:val>
          <c:extLst>
            <c:ext xmlns:c16="http://schemas.microsoft.com/office/drawing/2014/chart" uri="{C3380CC4-5D6E-409C-BE32-E72D297353CC}">
              <c16:uniqueId val="{00000001-65EE-41F5-9FDA-8439ABFC27BA}"/>
            </c:ext>
          </c:extLst>
        </c:ser>
        <c:ser>
          <c:idx val="2"/>
          <c:order val="2"/>
          <c:tx>
            <c:strRef>
              <c:f>List4!$D$22</c:f>
              <c:strCache>
                <c:ptCount val="1"/>
                <c:pt idx="0">
                  <c:v>35–44</c:v>
                </c:pt>
              </c:strCache>
            </c:strRef>
          </c:tx>
          <c:spPr>
            <a:solidFill>
              <a:srgbClr val="9BBB59"/>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List4!$A$23:$A$28</c:f>
              <c:strCache>
                <c:ptCount val="6"/>
                <c:pt idx="0">
                  <c:v>Karlovarský</c:v>
                </c:pt>
                <c:pt idx="1">
                  <c:v>Liberecký</c:v>
                </c:pt>
                <c:pt idx="2">
                  <c:v>Pardubický</c:v>
                </c:pt>
                <c:pt idx="3">
                  <c:v>Vysočina</c:v>
                </c:pt>
                <c:pt idx="4">
                  <c:v>Zlínský</c:v>
                </c:pt>
                <c:pt idx="5">
                  <c:v>Česká republika
</c:v>
                </c:pt>
              </c:strCache>
            </c:strRef>
          </c:cat>
          <c:val>
            <c:numRef>
              <c:f>List4!$D$23:$D$28</c:f>
              <c:numCache>
                <c:formatCode>#\ ##0.0</c:formatCode>
                <c:ptCount val="6"/>
                <c:pt idx="0">
                  <c:v>23.440606771868058</c:v>
                </c:pt>
                <c:pt idx="1">
                  <c:v>21.092790760896637</c:v>
                </c:pt>
                <c:pt idx="2">
                  <c:v>22.38414937078095</c:v>
                </c:pt>
                <c:pt idx="3">
                  <c:v>22.872293485785129</c:v>
                </c:pt>
                <c:pt idx="4">
                  <c:v>20.591811356844296</c:v>
                </c:pt>
                <c:pt idx="5">
                  <c:v>21.033256976840992</c:v>
                </c:pt>
              </c:numCache>
            </c:numRef>
          </c:val>
          <c:extLst>
            <c:ext xmlns:c16="http://schemas.microsoft.com/office/drawing/2014/chart" uri="{C3380CC4-5D6E-409C-BE32-E72D297353CC}">
              <c16:uniqueId val="{00000002-65EE-41F5-9FDA-8439ABFC27BA}"/>
            </c:ext>
          </c:extLst>
        </c:ser>
        <c:ser>
          <c:idx val="3"/>
          <c:order val="3"/>
          <c:tx>
            <c:strRef>
              <c:f>List4!$E$22</c:f>
              <c:strCache>
                <c:ptCount val="1"/>
                <c:pt idx="0">
                  <c:v>45–54</c:v>
                </c:pt>
              </c:strCache>
            </c:strRef>
          </c:tx>
          <c:spPr>
            <a:solidFill>
              <a:srgbClr val="8064A2"/>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List4!$A$23:$A$28</c:f>
              <c:strCache>
                <c:ptCount val="6"/>
                <c:pt idx="0">
                  <c:v>Karlovarský</c:v>
                </c:pt>
                <c:pt idx="1">
                  <c:v>Liberecký</c:v>
                </c:pt>
                <c:pt idx="2">
                  <c:v>Pardubický</c:v>
                </c:pt>
                <c:pt idx="3">
                  <c:v>Vysočina</c:v>
                </c:pt>
                <c:pt idx="4">
                  <c:v>Zlínský</c:v>
                </c:pt>
                <c:pt idx="5">
                  <c:v>Česká republika
</c:v>
                </c:pt>
              </c:strCache>
            </c:strRef>
          </c:cat>
          <c:val>
            <c:numRef>
              <c:f>List4!$E$23:$E$28</c:f>
              <c:numCache>
                <c:formatCode>#\ ##0.0</c:formatCode>
                <c:ptCount val="6"/>
                <c:pt idx="0">
                  <c:v>21.198843763516535</c:v>
                </c:pt>
                <c:pt idx="1">
                  <c:v>23.157548329265257</c:v>
                </c:pt>
                <c:pt idx="2">
                  <c:v>26.448695528742274</c:v>
                </c:pt>
                <c:pt idx="3">
                  <c:v>28.527232106879442</c:v>
                </c:pt>
                <c:pt idx="4">
                  <c:v>21.383839709238032</c:v>
                </c:pt>
                <c:pt idx="5">
                  <c:v>25.066379997593216</c:v>
                </c:pt>
              </c:numCache>
            </c:numRef>
          </c:val>
          <c:extLst>
            <c:ext xmlns:c16="http://schemas.microsoft.com/office/drawing/2014/chart" uri="{C3380CC4-5D6E-409C-BE32-E72D297353CC}">
              <c16:uniqueId val="{00000003-65EE-41F5-9FDA-8439ABFC27BA}"/>
            </c:ext>
          </c:extLst>
        </c:ser>
        <c:ser>
          <c:idx val="4"/>
          <c:order val="4"/>
          <c:tx>
            <c:strRef>
              <c:f>List4!$F$22</c:f>
              <c:strCache>
                <c:ptCount val="1"/>
                <c:pt idx="0">
                  <c:v>55–64</c:v>
                </c:pt>
              </c:strCache>
            </c:strRef>
          </c:tx>
          <c:spPr>
            <a:solidFill>
              <a:srgbClr val="4BACC6"/>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List4!$A$23:$A$28</c:f>
              <c:strCache>
                <c:ptCount val="6"/>
                <c:pt idx="0">
                  <c:v>Karlovarský</c:v>
                </c:pt>
                <c:pt idx="1">
                  <c:v>Liberecký</c:v>
                </c:pt>
                <c:pt idx="2">
                  <c:v>Pardubický</c:v>
                </c:pt>
                <c:pt idx="3">
                  <c:v>Vysočina</c:v>
                </c:pt>
                <c:pt idx="4">
                  <c:v>Zlínský</c:v>
                </c:pt>
                <c:pt idx="5">
                  <c:v>Česká republika
</c:v>
                </c:pt>
              </c:strCache>
            </c:strRef>
          </c:cat>
          <c:val>
            <c:numRef>
              <c:f>List4!$F$23:$F$28</c:f>
              <c:numCache>
                <c:formatCode>#\ ##0.0</c:formatCode>
                <c:ptCount val="6"/>
                <c:pt idx="0">
                  <c:v>22.428174177142829</c:v>
                </c:pt>
                <c:pt idx="1">
                  <c:v>23.388722491656289</c:v>
                </c:pt>
                <c:pt idx="2">
                  <c:v>24.599145700320982</c:v>
                </c:pt>
                <c:pt idx="3">
                  <c:v>23.853058645769075</c:v>
                </c:pt>
                <c:pt idx="4">
                  <c:v>29.319046093863786</c:v>
                </c:pt>
                <c:pt idx="5">
                  <c:v>26.320958713237037</c:v>
                </c:pt>
              </c:numCache>
            </c:numRef>
          </c:val>
          <c:extLst>
            <c:ext xmlns:c16="http://schemas.microsoft.com/office/drawing/2014/chart" uri="{C3380CC4-5D6E-409C-BE32-E72D297353CC}">
              <c16:uniqueId val="{00000004-65EE-41F5-9FDA-8439ABFC27BA}"/>
            </c:ext>
          </c:extLst>
        </c:ser>
        <c:ser>
          <c:idx val="5"/>
          <c:order val="5"/>
          <c:tx>
            <c:strRef>
              <c:f>List4!$G$22</c:f>
              <c:strCache>
                <c:ptCount val="1"/>
                <c:pt idx="0">
                  <c:v>65 a více
</c:v>
                </c:pt>
              </c:strCache>
            </c:strRef>
          </c:tx>
          <c:spPr>
            <a:solidFill>
              <a:srgbClr val="F79646"/>
            </a:solidFill>
            <a:ln w="25403">
              <a:noFill/>
            </a:ln>
          </c:spPr>
          <c:invertIfNegative val="0"/>
          <c:dLbls>
            <c:spPr>
              <a:noFill/>
              <a:ln w="2540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List4!$A$23:$A$28</c:f>
              <c:strCache>
                <c:ptCount val="6"/>
                <c:pt idx="0">
                  <c:v>Karlovarský</c:v>
                </c:pt>
                <c:pt idx="1">
                  <c:v>Liberecký</c:v>
                </c:pt>
                <c:pt idx="2">
                  <c:v>Pardubický</c:v>
                </c:pt>
                <c:pt idx="3">
                  <c:v>Vysočina</c:v>
                </c:pt>
                <c:pt idx="4">
                  <c:v>Zlínský</c:v>
                </c:pt>
                <c:pt idx="5">
                  <c:v>Česká republika
</c:v>
                </c:pt>
              </c:strCache>
            </c:strRef>
          </c:cat>
          <c:val>
            <c:numRef>
              <c:f>List4!$G$23:$G$28</c:f>
              <c:numCache>
                <c:formatCode>#\ ##0.0</c:formatCode>
                <c:ptCount val="6"/>
                <c:pt idx="0">
                  <c:v>13.743709253186816</c:v>
                </c:pt>
                <c:pt idx="1">
                  <c:v>13.378404607222961</c:v>
                </c:pt>
                <c:pt idx="2">
                  <c:v>6.138675395778642</c:v>
                </c:pt>
                <c:pt idx="3">
                  <c:v>6.7684713465200455</c:v>
                </c:pt>
                <c:pt idx="4">
                  <c:v>9.0581896950775445</c:v>
                </c:pt>
                <c:pt idx="5">
                  <c:v>8.9852447845379544</c:v>
                </c:pt>
              </c:numCache>
            </c:numRef>
          </c:val>
          <c:extLst>
            <c:ext xmlns:c16="http://schemas.microsoft.com/office/drawing/2014/chart" uri="{C3380CC4-5D6E-409C-BE32-E72D297353CC}">
              <c16:uniqueId val="{00000005-65EE-41F5-9FDA-8439ABFC27BA}"/>
            </c:ext>
          </c:extLst>
        </c:ser>
        <c:dLbls>
          <c:showLegendKey val="0"/>
          <c:showVal val="0"/>
          <c:showCatName val="0"/>
          <c:showSerName val="0"/>
          <c:showPercent val="0"/>
          <c:showBubbleSize val="0"/>
        </c:dLbls>
        <c:gapWidth val="150"/>
        <c:overlap val="100"/>
        <c:axId val="38445824"/>
        <c:axId val="38447360"/>
      </c:barChart>
      <c:catAx>
        <c:axId val="38445824"/>
        <c:scaling>
          <c:orientation val="minMax"/>
        </c:scaling>
        <c:delete val="0"/>
        <c:axPos val="l"/>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447360"/>
        <c:crosses val="autoZero"/>
        <c:auto val="1"/>
        <c:lblAlgn val="ctr"/>
        <c:lblOffset val="100"/>
        <c:noMultiLvlLbl val="0"/>
      </c:catAx>
      <c:valAx>
        <c:axId val="38447360"/>
        <c:scaling>
          <c:orientation val="minMax"/>
        </c:scaling>
        <c:delete val="0"/>
        <c:axPos val="b"/>
        <c:majorGridlines>
          <c:spPr>
            <a:ln w="9526" cap="flat" cmpd="sng" algn="ctr">
              <a:solidFill>
                <a:schemeClr val="tx1">
                  <a:lumMod val="15000"/>
                  <a:lumOff val="85000"/>
                </a:schemeClr>
              </a:solidFill>
              <a:round/>
            </a:ln>
            <a:effectLst/>
          </c:spPr>
        </c:majorGridlines>
        <c:numFmt formatCode="#\ ##0.0"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445824"/>
        <c:crosses val="autoZero"/>
        <c:crossBetween val="between"/>
      </c:valAx>
      <c:spPr>
        <a:noFill/>
        <a:ln w="25403">
          <a:noFill/>
        </a:ln>
      </c:spPr>
    </c:plotArea>
    <c:legend>
      <c:legendPos val="b"/>
      <c:overlay val="0"/>
      <c:spPr>
        <a:noFill/>
        <a:ln w="2540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6" cap="flat" cmpd="sng" algn="ctr">
      <a:solidFill>
        <a:sysClr val="window" lastClr="FFFFFF">
          <a:lumMod val="50000"/>
        </a:sysClr>
      </a:solidFill>
      <a:round/>
    </a:ln>
    <a:effectLst/>
  </c:spPr>
  <c:txPr>
    <a:bodyPr/>
    <a:lstStyle/>
    <a:p>
      <a:pPr>
        <a:defRPr/>
      </a:pPr>
      <a:endParaRPr lang="cs-CZ"/>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produkce!$B$42</c:f>
              <c:strCache>
                <c:ptCount val="1"/>
                <c:pt idx="0">
                  <c:v>rostlinná
</c:v>
                </c:pt>
              </c:strCache>
            </c:strRef>
          </c:tx>
          <c:spPr>
            <a:solidFill>
              <a:srgbClr val="92D050"/>
            </a:solidFill>
            <a:ln w="25401">
              <a:noFill/>
            </a:ln>
          </c:spPr>
          <c:invertIfNegative val="0"/>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produkce!$A$43:$A$47</c:f>
              <c:strCache>
                <c:ptCount val="5"/>
                <c:pt idx="0">
                  <c:v>Vysočina</c:v>
                </c:pt>
                <c:pt idx="1">
                  <c:v>Pardubický</c:v>
                </c:pt>
                <c:pt idx="2">
                  <c:v>Zlínský</c:v>
                </c:pt>
                <c:pt idx="3">
                  <c:v>Liberecký</c:v>
                </c:pt>
                <c:pt idx="4">
                  <c:v>Karlovarský</c:v>
                </c:pt>
              </c:strCache>
            </c:strRef>
          </c:cat>
          <c:val>
            <c:numRef>
              <c:f>produkce!$B$43:$B$47</c:f>
              <c:numCache>
                <c:formatCode>#\ ##0_ ;\-#\ ##0\ </c:formatCode>
                <c:ptCount val="5"/>
                <c:pt idx="0">
                  <c:v>7871.5803748961816</c:v>
                </c:pt>
                <c:pt idx="1">
                  <c:v>4958.9937550941659</c:v>
                </c:pt>
                <c:pt idx="2">
                  <c:v>3143.0368516061035</c:v>
                </c:pt>
                <c:pt idx="3">
                  <c:v>1336.1644361965789</c:v>
                </c:pt>
                <c:pt idx="4">
                  <c:v>1143.3930471273848</c:v>
                </c:pt>
              </c:numCache>
            </c:numRef>
          </c:val>
          <c:extLst>
            <c:ext xmlns:c16="http://schemas.microsoft.com/office/drawing/2014/chart" uri="{C3380CC4-5D6E-409C-BE32-E72D297353CC}">
              <c16:uniqueId val="{00000000-6CC2-40F2-A2D0-B98B3F886F96}"/>
            </c:ext>
          </c:extLst>
        </c:ser>
        <c:ser>
          <c:idx val="1"/>
          <c:order val="1"/>
          <c:tx>
            <c:strRef>
              <c:f>produkce!$C$42</c:f>
              <c:strCache>
                <c:ptCount val="1"/>
                <c:pt idx="0">
                  <c:v>živočišná
</c:v>
                </c:pt>
              </c:strCache>
            </c:strRef>
          </c:tx>
          <c:spPr>
            <a:solidFill>
              <a:srgbClr val="ED7D31"/>
            </a:solidFill>
            <a:ln w="25401">
              <a:noFill/>
            </a:ln>
          </c:spPr>
          <c:invertIfNegative val="0"/>
          <c:dLbls>
            <c:dLbl>
              <c:idx val="3"/>
              <c:layout>
                <c:manualLayout>
                  <c:x val="0"/>
                  <c:y val="1.2931034482758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C2-40F2-A2D0-B98B3F886F96}"/>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produkce!$A$43:$A$47</c:f>
              <c:strCache>
                <c:ptCount val="5"/>
                <c:pt idx="0">
                  <c:v>Vysočina</c:v>
                </c:pt>
                <c:pt idx="1">
                  <c:v>Pardubický</c:v>
                </c:pt>
                <c:pt idx="2">
                  <c:v>Zlínský</c:v>
                </c:pt>
                <c:pt idx="3">
                  <c:v>Liberecký</c:v>
                </c:pt>
                <c:pt idx="4">
                  <c:v>Karlovarský</c:v>
                </c:pt>
              </c:strCache>
            </c:strRef>
          </c:cat>
          <c:val>
            <c:numRef>
              <c:f>produkce!$C$43:$C$47</c:f>
              <c:numCache>
                <c:formatCode>#\ ##0_ ;\-#\ ##0\ </c:formatCode>
                <c:ptCount val="5"/>
                <c:pt idx="0">
                  <c:v>7321.9007569999985</c:v>
                </c:pt>
                <c:pt idx="1">
                  <c:v>5666.7770239999991</c:v>
                </c:pt>
                <c:pt idx="2">
                  <c:v>2564.8942660000002</c:v>
                </c:pt>
                <c:pt idx="3">
                  <c:v>1052.7429890000001</c:v>
                </c:pt>
                <c:pt idx="4">
                  <c:v>857.34765399999719</c:v>
                </c:pt>
              </c:numCache>
            </c:numRef>
          </c:val>
          <c:extLst>
            <c:ext xmlns:c16="http://schemas.microsoft.com/office/drawing/2014/chart" uri="{C3380CC4-5D6E-409C-BE32-E72D297353CC}">
              <c16:uniqueId val="{00000002-6CC2-40F2-A2D0-B98B3F886F96}"/>
            </c:ext>
          </c:extLst>
        </c:ser>
        <c:ser>
          <c:idx val="2"/>
          <c:order val="2"/>
          <c:tx>
            <c:strRef>
              <c:f>produkce!$D$42</c:f>
              <c:strCache>
                <c:ptCount val="1"/>
                <c:pt idx="0">
                  <c:v>zemědělských 
služeb
</c:v>
                </c:pt>
              </c:strCache>
            </c:strRef>
          </c:tx>
          <c:spPr>
            <a:solidFill>
              <a:srgbClr val="00B0F0"/>
            </a:solidFill>
            <a:ln w="25401">
              <a:noFill/>
            </a:ln>
          </c:spPr>
          <c:invertIfNegative val="0"/>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produkce!$A$43:$A$47</c:f>
              <c:strCache>
                <c:ptCount val="5"/>
                <c:pt idx="0">
                  <c:v>Vysočina</c:v>
                </c:pt>
                <c:pt idx="1">
                  <c:v>Pardubický</c:v>
                </c:pt>
                <c:pt idx="2">
                  <c:v>Zlínský</c:v>
                </c:pt>
                <c:pt idx="3">
                  <c:v>Liberecký</c:v>
                </c:pt>
                <c:pt idx="4">
                  <c:v>Karlovarský</c:v>
                </c:pt>
              </c:strCache>
            </c:strRef>
          </c:cat>
          <c:val>
            <c:numRef>
              <c:f>produkce!$D$43:$D$47</c:f>
              <c:numCache>
                <c:formatCode>#\ ##0_ ;\-#\ ##0\ </c:formatCode>
                <c:ptCount val="5"/>
                <c:pt idx="0">
                  <c:v>261.19736207773536</c:v>
                </c:pt>
                <c:pt idx="1">
                  <c:v>450.31877257081021</c:v>
                </c:pt>
                <c:pt idx="2">
                  <c:v>100.0757697025556</c:v>
                </c:pt>
                <c:pt idx="3">
                  <c:v>38.128882421787175</c:v>
                </c:pt>
                <c:pt idx="4">
                  <c:v>87.917983127108414</c:v>
                </c:pt>
              </c:numCache>
            </c:numRef>
          </c:val>
          <c:extLst>
            <c:ext xmlns:c16="http://schemas.microsoft.com/office/drawing/2014/chart" uri="{C3380CC4-5D6E-409C-BE32-E72D297353CC}">
              <c16:uniqueId val="{00000003-6CC2-40F2-A2D0-B98B3F886F96}"/>
            </c:ext>
          </c:extLst>
        </c:ser>
        <c:dLbls>
          <c:showLegendKey val="0"/>
          <c:showVal val="0"/>
          <c:showCatName val="0"/>
          <c:showSerName val="0"/>
          <c:showPercent val="0"/>
          <c:showBubbleSize val="0"/>
        </c:dLbls>
        <c:gapWidth val="219"/>
        <c:overlap val="-27"/>
        <c:axId val="38465920"/>
        <c:axId val="38467456"/>
      </c:barChart>
      <c:catAx>
        <c:axId val="384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467456"/>
        <c:crosses val="autoZero"/>
        <c:auto val="1"/>
        <c:lblAlgn val="ctr"/>
        <c:lblOffset val="100"/>
        <c:noMultiLvlLbl val="0"/>
      </c:catAx>
      <c:valAx>
        <c:axId val="38467456"/>
        <c:scaling>
          <c:orientation val="minMax"/>
        </c:scaling>
        <c:delete val="0"/>
        <c:axPos val="l"/>
        <c:majorGridlines>
          <c:spPr>
            <a:ln w="9525" cap="flat" cmpd="sng" algn="ctr">
              <a:solidFill>
                <a:schemeClr val="tx1">
                  <a:lumMod val="15000"/>
                  <a:lumOff val="85000"/>
                </a:schemeClr>
              </a:solidFill>
              <a:round/>
            </a:ln>
            <a:effectLst/>
          </c:spPr>
        </c:majorGridlines>
        <c:numFmt formatCode="#\ ##0_ ;\-#\ ##0\ "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8465920"/>
        <c:crosses val="autoZero"/>
        <c:crossBetween val="between"/>
      </c:valAx>
      <c:spPr>
        <a:noFill/>
        <a:ln w="25401">
          <a:noFill/>
        </a:ln>
      </c:spPr>
    </c:plotArea>
    <c:legend>
      <c:legendPos val="b"/>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ysClr val="window" lastClr="FFFFFF">
          <a:lumMod val="50000"/>
        </a:sysClr>
      </a:solidFill>
      <a:round/>
    </a:ln>
    <a:effectLst/>
  </c:spPr>
  <c:txPr>
    <a:bodyPr/>
    <a:lstStyle/>
    <a:p>
      <a:pPr>
        <a:defRPr/>
      </a:pPr>
      <a:endParaRPr lang="cs-CZ"/>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List2!$C$2</c:f>
              <c:strCache>
                <c:ptCount val="1"/>
                <c:pt idx="0">
                  <c:v> napojených na vodovod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3"/>
            <c:invertIfNegative val="0"/>
            <c:bubble3D val="0"/>
            <c:spPr>
              <a:solidFill>
                <a:schemeClr val="accent1">
                  <a:lumMod val="75000"/>
                </a:schemeClr>
              </a:solidFill>
              <a:ln>
                <a:solidFill>
                  <a:schemeClr val="accent1">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E0A8-45CA-9ADB-AA1D0590BEB4}"/>
              </c:ext>
            </c:extLst>
          </c:dPt>
          <c:dLbls>
            <c:dLbl>
              <c:idx val="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A8-45CA-9ADB-AA1D0590BEB4}"/>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List2!$A$3:$B$16</c:f>
              <c:strCache>
                <c:ptCount val="13"/>
                <c:pt idx="0">
                  <c:v>  Středočeský kraj</c:v>
                </c:pt>
                <c:pt idx="1">
                  <c:v>  Jihočeský kraj</c:v>
                </c:pt>
                <c:pt idx="2">
                  <c:v>  Plzeňský kraj</c:v>
                </c:pt>
                <c:pt idx="3">
                  <c:v>  Karlovarský kraj</c:v>
                </c:pt>
                <c:pt idx="4">
                  <c:v> Ústecký kraj</c:v>
                </c:pt>
                <c:pt idx="5">
                  <c:v>  Liberecký kraj</c:v>
                </c:pt>
                <c:pt idx="6">
                  <c:v>  Královéhradecký kraj</c:v>
                </c:pt>
                <c:pt idx="7">
                  <c:v>  Pardubický kraj</c:v>
                </c:pt>
                <c:pt idx="8">
                  <c:v>  Kraj Vysočina</c:v>
                </c:pt>
                <c:pt idx="9">
                  <c:v>  Jihomoravský kraj</c:v>
                </c:pt>
                <c:pt idx="10">
                  <c:v>  Olomoucký kraj</c:v>
                </c:pt>
                <c:pt idx="11">
                  <c:v>  Zlínský kraj</c:v>
                </c:pt>
                <c:pt idx="12">
                  <c:v>  Moravskoslezský kraj</c:v>
                </c:pt>
              </c:strCache>
            </c:strRef>
          </c:cat>
          <c:val>
            <c:numRef>
              <c:f>List2!$C$3:$C$16</c:f>
              <c:numCache>
                <c:formatCode>#,##0.0</c:formatCode>
                <c:ptCount val="13"/>
                <c:pt idx="0">
                  <c:v>84.63</c:v>
                </c:pt>
                <c:pt idx="1">
                  <c:v>90.85</c:v>
                </c:pt>
                <c:pt idx="2">
                  <c:v>83.89</c:v>
                </c:pt>
                <c:pt idx="3">
                  <c:v>100</c:v>
                </c:pt>
                <c:pt idx="4">
                  <c:v>97.47</c:v>
                </c:pt>
                <c:pt idx="5">
                  <c:v>92.72</c:v>
                </c:pt>
                <c:pt idx="6">
                  <c:v>94.410000000000025</c:v>
                </c:pt>
                <c:pt idx="7">
                  <c:v>97.6</c:v>
                </c:pt>
                <c:pt idx="8">
                  <c:v>95.47</c:v>
                </c:pt>
                <c:pt idx="9">
                  <c:v>95.34</c:v>
                </c:pt>
                <c:pt idx="10">
                  <c:v>91.36</c:v>
                </c:pt>
                <c:pt idx="11">
                  <c:v>94.940000000000026</c:v>
                </c:pt>
                <c:pt idx="12">
                  <c:v>99.910000000000025</c:v>
                </c:pt>
              </c:numCache>
            </c:numRef>
          </c:val>
          <c:extLst>
            <c:ext xmlns:c16="http://schemas.microsoft.com/office/drawing/2014/chart" uri="{C3380CC4-5D6E-409C-BE32-E72D297353CC}">
              <c16:uniqueId val="{00000000-EBBD-4831-8063-93CFB86E9CCE}"/>
            </c:ext>
          </c:extLst>
        </c:ser>
        <c:ser>
          <c:idx val="1"/>
          <c:order val="1"/>
          <c:tx>
            <c:strRef>
              <c:f>List2!$D$2</c:f>
              <c:strCache>
                <c:ptCount val="1"/>
                <c:pt idx="0">
                  <c:v>napojených na kanalizaci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3"/>
            <c:invertIfNegative val="0"/>
            <c:bubble3D val="0"/>
            <c:spPr>
              <a:solidFill>
                <a:schemeClr val="accent2">
                  <a:lumMod val="75000"/>
                </a:schemeClr>
              </a:solidFill>
              <a:ln>
                <a:solidFill>
                  <a:schemeClr val="accent2">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0A8-45CA-9ADB-AA1D0590BEB4}"/>
              </c:ext>
            </c:extLst>
          </c:dPt>
          <c:dLbls>
            <c:dLbl>
              <c:idx val="2"/>
              <c:tx>
                <c:rich>
                  <a:bodyPr rot="0" spcFirstLastPara="1" vertOverflow="clip" horzOverflow="clip" vert="horz" wrap="square" lIns="38100" tIns="19050" rIns="38100" bIns="19050" anchor="ctr" anchorCtr="1">
                    <a:noAutofit/>
                  </a:bodyPr>
                  <a:lstStyle/>
                  <a:p>
                    <a:pPr>
                      <a:defRPr sz="750" b="0" i="0" u="none" strike="noStrike" kern="1200" baseline="0">
                        <a:solidFill>
                          <a:schemeClr val="dk1">
                            <a:lumMod val="65000"/>
                            <a:lumOff val="35000"/>
                          </a:schemeClr>
                        </a:solidFill>
                        <a:latin typeface="+mn-lt"/>
                        <a:ea typeface="+mn-ea"/>
                        <a:cs typeface="+mn-cs"/>
                      </a:defRPr>
                    </a:pPr>
                    <a:r>
                      <a:rPr lang="en-US"/>
                      <a:t>83</a:t>
                    </a:r>
                  </a:p>
                  <a:p>
                    <a:pPr>
                      <a:defRPr sz="750" b="0" i="0" u="none" strike="noStrike" kern="1200" baseline="0">
                        <a:solidFill>
                          <a:schemeClr val="dk1">
                            <a:lumMod val="65000"/>
                            <a:lumOff val="35000"/>
                          </a:schemeClr>
                        </a:solidFill>
                        <a:latin typeface="+mn-lt"/>
                        <a:ea typeface="+mn-ea"/>
                        <a:cs typeface="+mn-cs"/>
                      </a:defRPr>
                    </a:pPr>
                    <a:endParaRPr lang="en-US"/>
                  </a:p>
                </c:rich>
              </c:tx>
              <c:spPr>
                <a:solidFill>
                  <a:schemeClr val="lt1"/>
                </a:solidFill>
                <a:ln>
                  <a:solidFill>
                    <a:schemeClr val="dk1">
                      <a:lumMod val="25000"/>
                      <a:lumOff val="75000"/>
                    </a:schemeClr>
                  </a:solid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0A8-45CA-9ADB-AA1D0590BEB4}"/>
                </c:ext>
              </c:extLst>
            </c:dLbl>
            <c:dLbl>
              <c:idx val="11"/>
              <c:tx>
                <c:rich>
                  <a:bodyPr rot="0" spcFirstLastPara="1" vertOverflow="clip" horzOverflow="clip" vert="horz" wrap="square" lIns="38100" tIns="19050" rIns="38100" bIns="19050" anchor="ctr" anchorCtr="1">
                    <a:noAutofit/>
                  </a:bodyPr>
                  <a:lstStyle/>
                  <a:p>
                    <a:pPr>
                      <a:defRPr sz="750" b="0" i="0" u="none" strike="noStrike" kern="1200" baseline="0">
                        <a:solidFill>
                          <a:schemeClr val="dk1">
                            <a:lumMod val="65000"/>
                            <a:lumOff val="35000"/>
                          </a:schemeClr>
                        </a:solidFill>
                        <a:latin typeface="+mn-lt"/>
                        <a:ea typeface="+mn-ea"/>
                        <a:cs typeface="+mn-cs"/>
                      </a:defRPr>
                    </a:pPr>
                    <a:r>
                      <a:rPr lang="en-US"/>
                      <a:t>94</a:t>
                    </a:r>
                  </a:p>
                  <a:p>
                    <a:pPr>
                      <a:defRPr sz="750" b="0" i="0" u="none" strike="noStrike" kern="1200" baseline="0">
                        <a:solidFill>
                          <a:schemeClr val="dk1">
                            <a:lumMod val="65000"/>
                            <a:lumOff val="35000"/>
                          </a:schemeClr>
                        </a:solidFill>
                        <a:latin typeface="+mn-lt"/>
                        <a:ea typeface="+mn-ea"/>
                        <a:cs typeface="+mn-cs"/>
                      </a:defRPr>
                    </a:pPr>
                    <a:endParaRPr lang="en-US"/>
                  </a:p>
                </c:rich>
              </c:tx>
              <c:spPr>
                <a:solidFill>
                  <a:schemeClr val="lt1"/>
                </a:solidFill>
                <a:ln>
                  <a:solidFill>
                    <a:schemeClr val="dk1">
                      <a:lumMod val="25000"/>
                      <a:lumOff val="75000"/>
                    </a:schemeClr>
                  </a:solid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0A8-45CA-9ADB-AA1D0590BEB4}"/>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List2!$A$3:$B$16</c:f>
              <c:strCache>
                <c:ptCount val="13"/>
                <c:pt idx="0">
                  <c:v>  Středočeský kraj</c:v>
                </c:pt>
                <c:pt idx="1">
                  <c:v>  Jihočeský kraj</c:v>
                </c:pt>
                <c:pt idx="2">
                  <c:v>  Plzeňský kraj</c:v>
                </c:pt>
                <c:pt idx="3">
                  <c:v>  Karlovarský kraj</c:v>
                </c:pt>
                <c:pt idx="4">
                  <c:v> Ústecký kraj</c:v>
                </c:pt>
                <c:pt idx="5">
                  <c:v>  Liberecký kraj</c:v>
                </c:pt>
                <c:pt idx="6">
                  <c:v>  Královéhradecký kraj</c:v>
                </c:pt>
                <c:pt idx="7">
                  <c:v>  Pardubický kraj</c:v>
                </c:pt>
                <c:pt idx="8">
                  <c:v>  Kraj Vysočina</c:v>
                </c:pt>
                <c:pt idx="9">
                  <c:v>  Jihomoravský kraj</c:v>
                </c:pt>
                <c:pt idx="10">
                  <c:v>  Olomoucký kraj</c:v>
                </c:pt>
                <c:pt idx="11">
                  <c:v>  Zlínský kraj</c:v>
                </c:pt>
                <c:pt idx="12">
                  <c:v>  Moravskoslezský kraj</c:v>
                </c:pt>
              </c:strCache>
            </c:strRef>
          </c:cat>
          <c:val>
            <c:numRef>
              <c:f>List2!$D$3:$D$16</c:f>
              <c:numCache>
                <c:formatCode>#,##0.0</c:formatCode>
                <c:ptCount val="13"/>
                <c:pt idx="0">
                  <c:v>70.489999999999995</c:v>
                </c:pt>
                <c:pt idx="1">
                  <c:v>86.169999999999987</c:v>
                </c:pt>
                <c:pt idx="2">
                  <c:v>82.98</c:v>
                </c:pt>
                <c:pt idx="3">
                  <c:v>96.240000000000023</c:v>
                </c:pt>
                <c:pt idx="4">
                  <c:v>83.5</c:v>
                </c:pt>
                <c:pt idx="5">
                  <c:v>68.930000000000007</c:v>
                </c:pt>
                <c:pt idx="6">
                  <c:v>78.069999999999993</c:v>
                </c:pt>
                <c:pt idx="7">
                  <c:v>73.7</c:v>
                </c:pt>
                <c:pt idx="8">
                  <c:v>87.8</c:v>
                </c:pt>
                <c:pt idx="9">
                  <c:v>89.92</c:v>
                </c:pt>
                <c:pt idx="10">
                  <c:v>82.43</c:v>
                </c:pt>
                <c:pt idx="11">
                  <c:v>93.95</c:v>
                </c:pt>
                <c:pt idx="12">
                  <c:v>83.32</c:v>
                </c:pt>
              </c:numCache>
            </c:numRef>
          </c:val>
          <c:extLst>
            <c:ext xmlns:c16="http://schemas.microsoft.com/office/drawing/2014/chart" uri="{C3380CC4-5D6E-409C-BE32-E72D297353CC}">
              <c16:uniqueId val="{00000001-EBBD-4831-8063-93CFB86E9CCE}"/>
            </c:ext>
          </c:extLst>
        </c:ser>
        <c:dLbls>
          <c:showLegendKey val="0"/>
          <c:showVal val="0"/>
          <c:showCatName val="0"/>
          <c:showSerName val="0"/>
          <c:showPercent val="0"/>
          <c:showBubbleSize val="0"/>
        </c:dLbls>
        <c:gapWidth val="187"/>
        <c:overlap val="-100"/>
        <c:axId val="38369152"/>
        <c:axId val="38370688"/>
      </c:barChart>
      <c:catAx>
        <c:axId val="38369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38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38370688"/>
        <c:crosses val="autoZero"/>
        <c:auto val="0"/>
        <c:lblAlgn val="ctr"/>
        <c:lblOffset val="100"/>
        <c:noMultiLvlLbl val="0"/>
      </c:catAx>
      <c:valAx>
        <c:axId val="38370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cs-CZ"/>
          </a:p>
        </c:txPr>
        <c:crossAx val="3836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List1!$C$3</c:f>
              <c:strCache>
                <c:ptCount val="1"/>
                <c:pt idx="0">
                  <c:v>pošta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List1!$B$4:$B$15</c:f>
              <c:strCache>
                <c:ptCount val="12"/>
                <c:pt idx="0">
                  <c:v>Středočeský kraj</c:v>
                </c:pt>
                <c:pt idx="1">
                  <c:v>Jihočeský kraj</c:v>
                </c:pt>
                <c:pt idx="2">
                  <c:v>Plzeňský kraj</c:v>
                </c:pt>
                <c:pt idx="3">
                  <c:v>Karlovarský kraj</c:v>
                </c:pt>
                <c:pt idx="4">
                  <c:v>Ústecký kraj</c:v>
                </c:pt>
                <c:pt idx="5">
                  <c:v>Liberecký kraj</c:v>
                </c:pt>
                <c:pt idx="6">
                  <c:v>Královéhradecký kraj</c:v>
                </c:pt>
                <c:pt idx="7">
                  <c:v>Pardubický kraj</c:v>
                </c:pt>
                <c:pt idx="8">
                  <c:v>Kraj Vysočina</c:v>
                </c:pt>
                <c:pt idx="9">
                  <c:v>Jihomoravský kraj</c:v>
                </c:pt>
                <c:pt idx="10">
                  <c:v>Olomoucký kraj</c:v>
                </c:pt>
                <c:pt idx="11">
                  <c:v>Zlínský kraj</c:v>
                </c:pt>
              </c:strCache>
            </c:strRef>
          </c:cat>
          <c:val>
            <c:numRef>
              <c:f>List1!$C$4:$C$15</c:f>
            </c:numRef>
          </c:val>
          <c:extLst>
            <c:ext xmlns:c16="http://schemas.microsoft.com/office/drawing/2014/chart" uri="{C3380CC4-5D6E-409C-BE32-E72D297353CC}">
              <c16:uniqueId val="{00000000-CA73-4644-A787-08727D691D4D}"/>
            </c:ext>
          </c:extLst>
        </c:ser>
        <c:ser>
          <c:idx val="1"/>
          <c:order val="1"/>
          <c:tx>
            <c:strRef>
              <c:f>List1!$D$3</c:f>
              <c:strCache>
                <c:ptCount val="1"/>
                <c:pt idx="0">
                  <c:v>škola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List1!$B$4:$B$15</c:f>
              <c:strCache>
                <c:ptCount val="12"/>
                <c:pt idx="0">
                  <c:v>Středočeský kraj</c:v>
                </c:pt>
                <c:pt idx="1">
                  <c:v>Jihočeský kraj</c:v>
                </c:pt>
                <c:pt idx="2">
                  <c:v>Plzeňský kraj</c:v>
                </c:pt>
                <c:pt idx="3">
                  <c:v>Karlovarský kraj</c:v>
                </c:pt>
                <c:pt idx="4">
                  <c:v>Ústecký kraj</c:v>
                </c:pt>
                <c:pt idx="5">
                  <c:v>Liberecký kraj</c:v>
                </c:pt>
                <c:pt idx="6">
                  <c:v>Královéhradecký kraj</c:v>
                </c:pt>
                <c:pt idx="7">
                  <c:v>Pardubický kraj</c:v>
                </c:pt>
                <c:pt idx="8">
                  <c:v>Kraj Vysočina</c:v>
                </c:pt>
                <c:pt idx="9">
                  <c:v>Jihomoravský kraj</c:v>
                </c:pt>
                <c:pt idx="10">
                  <c:v>Olomoucký kraj</c:v>
                </c:pt>
                <c:pt idx="11">
                  <c:v>Zlínský kraj</c:v>
                </c:pt>
              </c:strCache>
            </c:strRef>
          </c:cat>
          <c:val>
            <c:numRef>
              <c:f>List1!$D$4:$D$15</c:f>
            </c:numRef>
          </c:val>
          <c:extLst>
            <c:ext xmlns:c16="http://schemas.microsoft.com/office/drawing/2014/chart" uri="{C3380CC4-5D6E-409C-BE32-E72D297353CC}">
              <c16:uniqueId val="{00000001-CA73-4644-A787-08727D691D4D}"/>
            </c:ext>
          </c:extLst>
        </c:ser>
        <c:ser>
          <c:idx val="2"/>
          <c:order val="2"/>
          <c:tx>
            <c:strRef>
              <c:f>List1!$E$3</c:f>
              <c:strCache>
                <c:ptCount val="1"/>
                <c:pt idx="0">
                  <c:v>zdrav.zař.</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List1!$B$4:$B$15</c:f>
              <c:strCache>
                <c:ptCount val="12"/>
                <c:pt idx="0">
                  <c:v>Středočeský kraj</c:v>
                </c:pt>
                <c:pt idx="1">
                  <c:v>Jihočeský kraj</c:v>
                </c:pt>
                <c:pt idx="2">
                  <c:v>Plzeňský kraj</c:v>
                </c:pt>
                <c:pt idx="3">
                  <c:v>Karlovarský kraj</c:v>
                </c:pt>
                <c:pt idx="4">
                  <c:v>Ústecký kraj</c:v>
                </c:pt>
                <c:pt idx="5">
                  <c:v>Liberecký kraj</c:v>
                </c:pt>
                <c:pt idx="6">
                  <c:v>Královéhradecký kraj</c:v>
                </c:pt>
                <c:pt idx="7">
                  <c:v>Pardubický kraj</c:v>
                </c:pt>
                <c:pt idx="8">
                  <c:v>Kraj Vysočina</c:v>
                </c:pt>
                <c:pt idx="9">
                  <c:v>Jihomoravský kraj</c:v>
                </c:pt>
                <c:pt idx="10">
                  <c:v>Olomoucký kraj</c:v>
                </c:pt>
                <c:pt idx="11">
                  <c:v>Zlínský kraj</c:v>
                </c:pt>
              </c:strCache>
            </c:strRef>
          </c:cat>
          <c:val>
            <c:numRef>
              <c:f>List1!$E$4:$E$15</c:f>
            </c:numRef>
          </c:val>
          <c:extLst>
            <c:ext xmlns:c16="http://schemas.microsoft.com/office/drawing/2014/chart" uri="{C3380CC4-5D6E-409C-BE32-E72D297353CC}">
              <c16:uniqueId val="{00000002-CA73-4644-A787-08727D691D4D}"/>
            </c:ext>
          </c:extLst>
        </c:ser>
        <c:ser>
          <c:idx val="3"/>
          <c:order val="3"/>
          <c:tx>
            <c:strRef>
              <c:f>List1!$F$3</c:f>
              <c:strCache>
                <c:ptCount val="1"/>
                <c:pt idx="0">
                  <c:v>pošta</c:v>
                </c:pt>
              </c:strCache>
            </c:strRef>
          </c:tx>
          <c:spPr>
            <a:solidFill>
              <a:schemeClr val="accent4">
                <a:lumMod val="40000"/>
                <a:lumOff val="60000"/>
              </a:schemeClr>
            </a:solidFill>
            <a:ln>
              <a:solidFill>
                <a:schemeClr val="accent4">
                  <a:lumMod val="40000"/>
                  <a:lumOff val="60000"/>
                </a:schemeClr>
              </a:solidFill>
            </a:ln>
            <a:effectLst>
              <a:outerShdw blurRad="57150" dist="19050" dir="5400000" algn="ctr" rotWithShape="0">
                <a:srgbClr val="000000">
                  <a:alpha val="63000"/>
                </a:srgbClr>
              </a:outerShdw>
            </a:effectLst>
          </c:spPr>
          <c:invertIfNegative val="0"/>
          <c:dPt>
            <c:idx val="3"/>
            <c:invertIfNegative val="0"/>
            <c:bubble3D val="0"/>
            <c:spPr>
              <a:solidFill>
                <a:schemeClr val="accent4">
                  <a:lumMod val="60000"/>
                  <a:lumOff val="40000"/>
                </a:schemeClr>
              </a:solidFill>
              <a:ln>
                <a:solidFill>
                  <a:schemeClr val="accent4">
                    <a:lumMod val="40000"/>
                    <a:lumOff val="60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65A6-457A-92E4-1F553FDCBABB}"/>
              </c:ext>
            </c:extLst>
          </c:dPt>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A6-457A-92E4-1F553FDCBABB}"/>
                </c:ext>
              </c:extLst>
            </c:dLbl>
            <c:dLbl>
              <c:idx val="8"/>
              <c:layout>
                <c:manualLayout>
                  <c:x val="-2.44852531997774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A6-457A-92E4-1F553FDCBABB}"/>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List1!$B$4:$B$15</c:f>
              <c:strCache>
                <c:ptCount val="12"/>
                <c:pt idx="0">
                  <c:v>Středočeský kraj</c:v>
                </c:pt>
                <c:pt idx="1">
                  <c:v>Jihočeský kraj</c:v>
                </c:pt>
                <c:pt idx="2">
                  <c:v>Plzeňský kraj</c:v>
                </c:pt>
                <c:pt idx="3">
                  <c:v>Karlovarský kraj</c:v>
                </c:pt>
                <c:pt idx="4">
                  <c:v>Ústecký kraj</c:v>
                </c:pt>
                <c:pt idx="5">
                  <c:v>Liberecký kraj</c:v>
                </c:pt>
                <c:pt idx="6">
                  <c:v>Královéhradecký kraj</c:v>
                </c:pt>
                <c:pt idx="7">
                  <c:v>Pardubický kraj</c:v>
                </c:pt>
                <c:pt idx="8">
                  <c:v>Kraj Vysočina</c:v>
                </c:pt>
                <c:pt idx="9">
                  <c:v>Jihomoravský kraj</c:v>
                </c:pt>
                <c:pt idx="10">
                  <c:v>Olomoucký kraj</c:v>
                </c:pt>
                <c:pt idx="11">
                  <c:v>Zlínský kraj</c:v>
                </c:pt>
              </c:strCache>
            </c:strRef>
          </c:cat>
          <c:val>
            <c:numRef>
              <c:f>List1!$F$4:$F$15</c:f>
              <c:numCache>
                <c:formatCode>0.00</c:formatCode>
                <c:ptCount val="12"/>
                <c:pt idx="0">
                  <c:v>3.255688240208364</c:v>
                </c:pt>
                <c:pt idx="1">
                  <c:v>3.4081610536714764</c:v>
                </c:pt>
                <c:pt idx="2">
                  <c:v>3.1911053605338737</c:v>
                </c:pt>
                <c:pt idx="3">
                  <c:v>2.8304180027904593</c:v>
                </c:pt>
                <c:pt idx="4">
                  <c:v>2.1936203218925803</c:v>
                </c:pt>
                <c:pt idx="5">
                  <c:v>2.8271193705555584</c:v>
                </c:pt>
                <c:pt idx="6">
                  <c:v>3.8412129535847321</c:v>
                </c:pt>
                <c:pt idx="7">
                  <c:v>3.3140498270298444</c:v>
                </c:pt>
                <c:pt idx="8">
                  <c:v>3.9395620226220998</c:v>
                </c:pt>
                <c:pt idx="9">
                  <c:v>2.4100957372072633</c:v>
                </c:pt>
                <c:pt idx="10">
                  <c:v>3.0328935375795938</c:v>
                </c:pt>
                <c:pt idx="11">
                  <c:v>2.2002425383635313</c:v>
                </c:pt>
              </c:numCache>
            </c:numRef>
          </c:val>
          <c:extLst>
            <c:ext xmlns:c16="http://schemas.microsoft.com/office/drawing/2014/chart" uri="{C3380CC4-5D6E-409C-BE32-E72D297353CC}">
              <c16:uniqueId val="{00000003-CA73-4644-A787-08727D691D4D}"/>
            </c:ext>
          </c:extLst>
        </c:ser>
        <c:ser>
          <c:idx val="4"/>
          <c:order val="4"/>
          <c:tx>
            <c:strRef>
              <c:f>List1!$G$3</c:f>
              <c:strCache>
                <c:ptCount val="1"/>
                <c:pt idx="0">
                  <c:v>škola</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5">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65A6-457A-92E4-1F553FDCBABB}"/>
              </c:ext>
            </c:extLst>
          </c:dPt>
          <c:dPt>
            <c:idx val="3"/>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5A6-457A-92E4-1F553FDCBABB}"/>
              </c:ext>
            </c:extLst>
          </c:dPt>
          <c:dLbls>
            <c:dLbl>
              <c:idx val="3"/>
              <c:layout>
                <c:manualLayout>
                  <c:x val="-5.5648302726767265E-3"/>
                  <c:y val="-2.7777777777777996E-3"/>
                </c:manualLayout>
              </c:layout>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1830829159710619E-2"/>
                      <c:h val="6.1972440944881892E-2"/>
                    </c:manualLayout>
                  </c15:layout>
                </c:ext>
                <c:ext xmlns:c16="http://schemas.microsoft.com/office/drawing/2014/chart" uri="{C3380CC4-5D6E-409C-BE32-E72D297353CC}">
                  <c16:uniqueId val="{00000003-65A6-457A-92E4-1F553FDCBABB}"/>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A6-457A-92E4-1F553FDCBABB}"/>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List1!$B$4:$B$15</c:f>
              <c:strCache>
                <c:ptCount val="12"/>
                <c:pt idx="0">
                  <c:v>Středočeský kraj</c:v>
                </c:pt>
                <c:pt idx="1">
                  <c:v>Jihočeský kraj</c:v>
                </c:pt>
                <c:pt idx="2">
                  <c:v>Plzeňský kraj</c:v>
                </c:pt>
                <c:pt idx="3">
                  <c:v>Karlovarský kraj</c:v>
                </c:pt>
                <c:pt idx="4">
                  <c:v>Ústecký kraj</c:v>
                </c:pt>
                <c:pt idx="5">
                  <c:v>Liberecký kraj</c:v>
                </c:pt>
                <c:pt idx="6">
                  <c:v>Královéhradecký kraj</c:v>
                </c:pt>
                <c:pt idx="7">
                  <c:v>Pardubický kraj</c:v>
                </c:pt>
                <c:pt idx="8">
                  <c:v>Kraj Vysočina</c:v>
                </c:pt>
                <c:pt idx="9">
                  <c:v>Jihomoravský kraj</c:v>
                </c:pt>
                <c:pt idx="10">
                  <c:v>Olomoucký kraj</c:v>
                </c:pt>
                <c:pt idx="11">
                  <c:v>Zlínský kraj</c:v>
                </c:pt>
              </c:strCache>
            </c:strRef>
          </c:cat>
          <c:val>
            <c:numRef>
              <c:f>List1!$G$4:$G$15</c:f>
              <c:numCache>
                <c:formatCode>0.00</c:formatCode>
                <c:ptCount val="12"/>
                <c:pt idx="0">
                  <c:v>3.0176544301931179</c:v>
                </c:pt>
                <c:pt idx="1">
                  <c:v>2.7328111674600719</c:v>
                </c:pt>
                <c:pt idx="2">
                  <c:v>2.6505356000062776</c:v>
                </c:pt>
                <c:pt idx="3">
                  <c:v>2.1644372962515392</c:v>
                </c:pt>
                <c:pt idx="4">
                  <c:v>1.6482451037424861</c:v>
                </c:pt>
                <c:pt idx="5">
                  <c:v>2.804320020793007</c:v>
                </c:pt>
                <c:pt idx="6">
                  <c:v>3.2795261537681033</c:v>
                </c:pt>
                <c:pt idx="7">
                  <c:v>3.5272343188271096</c:v>
                </c:pt>
                <c:pt idx="8">
                  <c:v>4.0767607000268677</c:v>
                </c:pt>
                <c:pt idx="9">
                  <c:v>2.8545105539972551</c:v>
                </c:pt>
                <c:pt idx="10">
                  <c:v>3.3943264462030687</c:v>
                </c:pt>
                <c:pt idx="11">
                  <c:v>3.1042181549004861</c:v>
                </c:pt>
              </c:numCache>
            </c:numRef>
          </c:val>
          <c:extLst>
            <c:ext xmlns:c16="http://schemas.microsoft.com/office/drawing/2014/chart" uri="{C3380CC4-5D6E-409C-BE32-E72D297353CC}">
              <c16:uniqueId val="{00000004-CA73-4644-A787-08727D691D4D}"/>
            </c:ext>
          </c:extLst>
        </c:ser>
        <c:ser>
          <c:idx val="5"/>
          <c:order val="5"/>
          <c:tx>
            <c:strRef>
              <c:f>List1!$H$3</c:f>
              <c:strCache>
                <c:ptCount val="1"/>
                <c:pt idx="0">
                  <c:v> zdravotnické zařízení</c:v>
                </c:pt>
              </c:strCache>
            </c:strRef>
          </c:tx>
          <c:spPr>
            <a:solidFill>
              <a:schemeClr val="accent6">
                <a:lumMod val="60000"/>
                <a:lumOff val="40000"/>
              </a:schemeClr>
            </a:solidFill>
            <a:ln>
              <a:noFill/>
            </a:ln>
            <a:effectLst>
              <a:outerShdw blurRad="57150" dist="19050" dir="5400000" algn="ctr" rotWithShape="0">
                <a:srgbClr val="000000">
                  <a:alpha val="63000"/>
                </a:srgbClr>
              </a:outerShdw>
            </a:effectLst>
          </c:spPr>
          <c:invertIfNegative val="0"/>
          <c:dPt>
            <c:idx val="3"/>
            <c:invertIfNegative val="0"/>
            <c:bubble3D val="0"/>
            <c:spPr>
              <a:solidFill>
                <a:schemeClr val="accent6">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5A6-457A-92E4-1F553FDCBABB}"/>
              </c:ext>
            </c:extLst>
          </c:dPt>
          <c:dLbls>
            <c:dLbl>
              <c:idx val="3"/>
              <c:layout>
                <c:manualLayout>
                  <c:x val="-3.3388981636060908E-3"/>
                  <c:y val="-3.8888888888888917E-2"/>
                </c:manualLayout>
              </c:layout>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6.2927100723427942E-2"/>
                      <c:h val="7.8639107611548562E-2"/>
                    </c:manualLayout>
                  </c15:layout>
                </c:ext>
                <c:ext xmlns:c16="http://schemas.microsoft.com/office/drawing/2014/chart" uri="{C3380CC4-5D6E-409C-BE32-E72D297353CC}">
                  <c16:uniqueId val="{00000005-65A6-457A-92E4-1F553FDCBABB}"/>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A6-457A-92E4-1F553FDCBABB}"/>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List1!$B$4:$B$15</c:f>
              <c:strCache>
                <c:ptCount val="12"/>
                <c:pt idx="0">
                  <c:v>Středočeský kraj</c:v>
                </c:pt>
                <c:pt idx="1">
                  <c:v>Jihočeský kraj</c:v>
                </c:pt>
                <c:pt idx="2">
                  <c:v>Plzeňský kraj</c:v>
                </c:pt>
                <c:pt idx="3">
                  <c:v>Karlovarský kraj</c:v>
                </c:pt>
                <c:pt idx="4">
                  <c:v>Ústecký kraj</c:v>
                </c:pt>
                <c:pt idx="5">
                  <c:v>Liberecký kraj</c:v>
                </c:pt>
                <c:pt idx="6">
                  <c:v>Královéhradecký kraj</c:v>
                </c:pt>
                <c:pt idx="7">
                  <c:v>Pardubický kraj</c:v>
                </c:pt>
                <c:pt idx="8">
                  <c:v>Kraj Vysočina</c:v>
                </c:pt>
                <c:pt idx="9">
                  <c:v>Jihomoravský kraj</c:v>
                </c:pt>
                <c:pt idx="10">
                  <c:v>Olomoucký kraj</c:v>
                </c:pt>
                <c:pt idx="11">
                  <c:v>Zlínský kraj</c:v>
                </c:pt>
              </c:strCache>
            </c:strRef>
          </c:cat>
          <c:val>
            <c:numRef>
              <c:f>List1!$H$4:$H$15</c:f>
              <c:numCache>
                <c:formatCode>0.00</c:formatCode>
                <c:ptCount val="12"/>
                <c:pt idx="0">
                  <c:v>2.7949776401788786</c:v>
                </c:pt>
                <c:pt idx="1">
                  <c:v>2.9369867144542137</c:v>
                </c:pt>
                <c:pt idx="2">
                  <c:v>2.4761582579006007</c:v>
                </c:pt>
                <c:pt idx="3">
                  <c:v>2.1644372962515392</c:v>
                </c:pt>
                <c:pt idx="4">
                  <c:v>1.9997091332169865</c:v>
                </c:pt>
                <c:pt idx="5">
                  <c:v>1.8923460302912207</c:v>
                </c:pt>
                <c:pt idx="6">
                  <c:v>2.4641743475826758</c:v>
                </c:pt>
                <c:pt idx="7">
                  <c:v>2.2287469596984408</c:v>
                </c:pt>
                <c:pt idx="8">
                  <c:v>3.1163699581936029</c:v>
                </c:pt>
                <c:pt idx="9">
                  <c:v>2.1024239409680381</c:v>
                </c:pt>
                <c:pt idx="10">
                  <c:v>2.8600343204118448</c:v>
                </c:pt>
                <c:pt idx="11">
                  <c:v>2.9336567178180397</c:v>
                </c:pt>
              </c:numCache>
            </c:numRef>
          </c:val>
          <c:extLst>
            <c:ext xmlns:c16="http://schemas.microsoft.com/office/drawing/2014/chart" uri="{C3380CC4-5D6E-409C-BE32-E72D297353CC}">
              <c16:uniqueId val="{00000005-CA73-4644-A787-08727D691D4D}"/>
            </c:ext>
          </c:extLst>
        </c:ser>
        <c:dLbls>
          <c:showLegendKey val="0"/>
          <c:showVal val="0"/>
          <c:showCatName val="0"/>
          <c:showSerName val="0"/>
          <c:showPercent val="0"/>
          <c:showBubbleSize val="0"/>
        </c:dLbls>
        <c:gapWidth val="100"/>
        <c:overlap val="-24"/>
        <c:axId val="36688640"/>
        <c:axId val="36690176"/>
      </c:barChart>
      <c:catAx>
        <c:axId val="36688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44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690176"/>
        <c:crossesAt val="0"/>
        <c:auto val="1"/>
        <c:lblAlgn val="ctr"/>
        <c:lblOffset val="100"/>
        <c:noMultiLvlLbl val="0"/>
      </c:catAx>
      <c:valAx>
        <c:axId val="36690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668864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List24!$B$21</c:f>
              <c:strCache>
                <c:ptCount val="1"/>
                <c:pt idx="0">
                  <c:v>PZI/obyv.</c:v>
                </c:pt>
              </c:strCache>
            </c:strRef>
          </c:tx>
          <c:spPr>
            <a:solidFill>
              <a:schemeClr val="accent1"/>
            </a:solidFill>
            <a:ln>
              <a:noFill/>
            </a:ln>
            <a:effectLst/>
          </c:spPr>
          <c:invertIfNegative val="0"/>
          <c:dPt>
            <c:idx val="12"/>
            <c:invertIfNegative val="0"/>
            <c:bubble3D val="0"/>
            <c:spPr>
              <a:solidFill>
                <a:srgbClr val="FF0000"/>
              </a:solidFill>
              <a:ln>
                <a:noFill/>
              </a:ln>
              <a:effectLst/>
            </c:spPr>
            <c:extLst>
              <c:ext xmlns:c16="http://schemas.microsoft.com/office/drawing/2014/chart" uri="{C3380CC4-5D6E-409C-BE32-E72D297353CC}">
                <c16:uniqueId val="{00000000-0BED-4417-8DF7-F654A353D882}"/>
              </c:ext>
            </c:extLst>
          </c:dPt>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ED-4417-8DF7-F654A353D8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List24!$A$22:$A$35</c:f>
              <c:strCache>
                <c:ptCount val="14"/>
                <c:pt idx="0">
                  <c:v>Praha</c:v>
                </c:pt>
                <c:pt idx="1">
                  <c:v>Středočeský</c:v>
                </c:pt>
                <c:pt idx="2">
                  <c:v>Plzeňský </c:v>
                </c:pt>
                <c:pt idx="3">
                  <c:v>Moravskoslezský</c:v>
                </c:pt>
                <c:pt idx="4">
                  <c:v>Jihočeský </c:v>
                </c:pt>
                <c:pt idx="5">
                  <c:v>Liberecký </c:v>
                </c:pt>
                <c:pt idx="6">
                  <c:v>Jihomoravský</c:v>
                </c:pt>
                <c:pt idx="7">
                  <c:v>Vysočina</c:v>
                </c:pt>
                <c:pt idx="8">
                  <c:v>Ústecký </c:v>
                </c:pt>
                <c:pt idx="9">
                  <c:v>Královéhradecký</c:v>
                </c:pt>
                <c:pt idx="10">
                  <c:v>Zlínský</c:v>
                </c:pt>
                <c:pt idx="11">
                  <c:v>Pardubický</c:v>
                </c:pt>
                <c:pt idx="12">
                  <c:v>Karlovarský </c:v>
                </c:pt>
                <c:pt idx="13">
                  <c:v>Olomoucký</c:v>
                </c:pt>
              </c:strCache>
            </c:strRef>
          </c:cat>
          <c:val>
            <c:numRef>
              <c:f>List24!$B$22:$B$35</c:f>
              <c:numCache>
                <c:formatCode>#,##0</c:formatCode>
                <c:ptCount val="14"/>
                <c:pt idx="0">
                  <c:v>1200889.7773690135</c:v>
                </c:pt>
                <c:pt idx="1">
                  <c:v>250939.06404551381</c:v>
                </c:pt>
                <c:pt idx="2">
                  <c:v>158500.18170026239</c:v>
                </c:pt>
                <c:pt idx="3">
                  <c:v>155420.40739901306</c:v>
                </c:pt>
                <c:pt idx="4">
                  <c:v>143326.37690255771</c:v>
                </c:pt>
                <c:pt idx="5">
                  <c:v>135116.70247988557</c:v>
                </c:pt>
                <c:pt idx="6">
                  <c:v>133792.89646699026</c:v>
                </c:pt>
                <c:pt idx="7">
                  <c:v>102309.6912109359</c:v>
                </c:pt>
                <c:pt idx="8">
                  <c:v>100285.56795619267</c:v>
                </c:pt>
                <c:pt idx="9">
                  <c:v>96699.541325984886</c:v>
                </c:pt>
                <c:pt idx="10">
                  <c:v>93620.453096994403</c:v>
                </c:pt>
                <c:pt idx="11">
                  <c:v>78090.407690579348</c:v>
                </c:pt>
                <c:pt idx="12">
                  <c:v>73039.808211450902</c:v>
                </c:pt>
                <c:pt idx="13">
                  <c:v>62216.793480056018</c:v>
                </c:pt>
              </c:numCache>
            </c:numRef>
          </c:val>
          <c:extLst>
            <c:ext xmlns:c16="http://schemas.microsoft.com/office/drawing/2014/chart" uri="{C3380CC4-5D6E-409C-BE32-E72D297353CC}">
              <c16:uniqueId val="{00000001-0BED-4417-8DF7-F654A353D882}"/>
            </c:ext>
          </c:extLst>
        </c:ser>
        <c:dLbls>
          <c:showLegendKey val="0"/>
          <c:showVal val="0"/>
          <c:showCatName val="0"/>
          <c:showSerName val="0"/>
          <c:showPercent val="0"/>
          <c:showBubbleSize val="0"/>
        </c:dLbls>
        <c:gapWidth val="219"/>
        <c:overlap val="-27"/>
        <c:axId val="127527936"/>
        <c:axId val="32781056"/>
      </c:barChart>
      <c:catAx>
        <c:axId val="1275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781056"/>
        <c:crosses val="autoZero"/>
        <c:auto val="1"/>
        <c:lblAlgn val="ctr"/>
        <c:lblOffset val="100"/>
        <c:noMultiLvlLbl val="0"/>
      </c:catAx>
      <c:valAx>
        <c:axId val="3278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52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'[Analýzy_internacionalizace.xlsx]vývoz_zam osobu'!$B$15</c:f>
              <c:strCache>
                <c:ptCount val="1"/>
                <c:pt idx="0">
                  <c:v>Karlovarský kraj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7"/>
              <c:layout>
                <c:manualLayout>
                  <c:x val="0"/>
                  <c:y val="-1.851851851851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ED-4318-A125-BBB3E5959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'[Analýzy_internacionalizace.xlsx]vývoz_zam osobu'!$C$14:$J$14</c:f>
              <c:numCache>
                <c:formatCode>General</c:formatCode>
                <c:ptCount val="8"/>
                <c:pt idx="0">
                  <c:v>2003</c:v>
                </c:pt>
                <c:pt idx="1">
                  <c:v>2004</c:v>
                </c:pt>
                <c:pt idx="2">
                  <c:v>2005</c:v>
                </c:pt>
                <c:pt idx="3">
                  <c:v>2006</c:v>
                </c:pt>
                <c:pt idx="4">
                  <c:v>2007</c:v>
                </c:pt>
                <c:pt idx="5">
                  <c:v>2008</c:v>
                </c:pt>
                <c:pt idx="6">
                  <c:v>2009</c:v>
                </c:pt>
                <c:pt idx="7">
                  <c:v>2010</c:v>
                </c:pt>
              </c:numCache>
            </c:numRef>
          </c:cat>
          <c:val>
            <c:numRef>
              <c:f>'[Analýzy_internacionalizace.xlsx]vývoz_zam osobu'!$C$15:$J$15</c:f>
              <c:numCache>
                <c:formatCode>#,##0</c:formatCode>
                <c:ptCount val="8"/>
                <c:pt idx="0">
                  <c:v>283009.38839609473</c:v>
                </c:pt>
                <c:pt idx="1">
                  <c:v>340229.97725830425</c:v>
                </c:pt>
                <c:pt idx="2">
                  <c:v>328131.28138832637</c:v>
                </c:pt>
                <c:pt idx="3">
                  <c:v>343000.95056643907</c:v>
                </c:pt>
                <c:pt idx="4">
                  <c:v>362774.13719797961</c:v>
                </c:pt>
                <c:pt idx="5">
                  <c:v>343243.2432432443</c:v>
                </c:pt>
                <c:pt idx="6">
                  <c:v>289784.57261987601</c:v>
                </c:pt>
                <c:pt idx="7">
                  <c:v>358033.24099722994</c:v>
                </c:pt>
              </c:numCache>
            </c:numRef>
          </c:val>
          <c:smooth val="0"/>
          <c:extLst>
            <c:ext xmlns:c16="http://schemas.microsoft.com/office/drawing/2014/chart" uri="{C3380CC4-5D6E-409C-BE32-E72D297353CC}">
              <c16:uniqueId val="{00000001-31ED-4318-A125-BBB3E5959B2D}"/>
            </c:ext>
          </c:extLst>
        </c:ser>
        <c:ser>
          <c:idx val="1"/>
          <c:order val="1"/>
          <c:tx>
            <c:strRef>
              <c:f>'[Analýzy_internacionalizace.xlsx]vývoz_zam osobu'!$B$16</c:f>
              <c:strCache>
                <c:ptCount val="1"/>
                <c:pt idx="0">
                  <c:v>Ústecký kraj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7"/>
              <c:layout>
                <c:manualLayout>
                  <c:x val="-2.5252525252525255E-3"/>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ED-4318-A125-BBB3E5959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'[Analýzy_internacionalizace.xlsx]vývoz_zam osobu'!$C$14:$J$14</c:f>
              <c:numCache>
                <c:formatCode>General</c:formatCode>
                <c:ptCount val="8"/>
                <c:pt idx="0">
                  <c:v>2003</c:v>
                </c:pt>
                <c:pt idx="1">
                  <c:v>2004</c:v>
                </c:pt>
                <c:pt idx="2">
                  <c:v>2005</c:v>
                </c:pt>
                <c:pt idx="3">
                  <c:v>2006</c:v>
                </c:pt>
                <c:pt idx="4">
                  <c:v>2007</c:v>
                </c:pt>
                <c:pt idx="5">
                  <c:v>2008</c:v>
                </c:pt>
                <c:pt idx="6">
                  <c:v>2009</c:v>
                </c:pt>
                <c:pt idx="7">
                  <c:v>2010</c:v>
                </c:pt>
              </c:numCache>
            </c:numRef>
          </c:cat>
          <c:val>
            <c:numRef>
              <c:f>'[Analýzy_internacionalizace.xlsx]vývoz_zam osobu'!$C$16:$J$16</c:f>
              <c:numCache>
                <c:formatCode>#,##0</c:formatCode>
                <c:ptCount val="8"/>
                <c:pt idx="0">
                  <c:v>265222.97727909422</c:v>
                </c:pt>
                <c:pt idx="1">
                  <c:v>336551.14065607853</c:v>
                </c:pt>
                <c:pt idx="2">
                  <c:v>373670.85777196189</c:v>
                </c:pt>
                <c:pt idx="3">
                  <c:v>407657.08886401454</c:v>
                </c:pt>
                <c:pt idx="4">
                  <c:v>439669.90114785422</c:v>
                </c:pt>
                <c:pt idx="5">
                  <c:v>429701.82394664962</c:v>
                </c:pt>
                <c:pt idx="6">
                  <c:v>355209.18785889988</c:v>
                </c:pt>
                <c:pt idx="7">
                  <c:v>418623.92926222837</c:v>
                </c:pt>
              </c:numCache>
            </c:numRef>
          </c:val>
          <c:smooth val="0"/>
          <c:extLst>
            <c:ext xmlns:c16="http://schemas.microsoft.com/office/drawing/2014/chart" uri="{C3380CC4-5D6E-409C-BE32-E72D297353CC}">
              <c16:uniqueId val="{00000003-31ED-4318-A125-BBB3E5959B2D}"/>
            </c:ext>
          </c:extLst>
        </c:ser>
        <c:ser>
          <c:idx val="2"/>
          <c:order val="2"/>
          <c:tx>
            <c:strRef>
              <c:f>'[Analýzy_internacionalizace.xlsx]vývoz_zam osobu'!$B$17</c:f>
              <c:strCache>
                <c:ptCount val="1"/>
                <c:pt idx="0">
                  <c:v>Plzeňský kraj</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7"/>
              <c:layout>
                <c:manualLayout>
                  <c:x val="-1.2626262626262627E-3"/>
                  <c:y val="-4.398148148148148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0.10705818022747157"/>
                      <c:h val="5.0856663750364538E-2"/>
                    </c:manualLayout>
                  </c15:layout>
                </c:ext>
                <c:ext xmlns:c16="http://schemas.microsoft.com/office/drawing/2014/chart" uri="{C3380CC4-5D6E-409C-BE32-E72D297353CC}">
                  <c16:uniqueId val="{00000004-31ED-4318-A125-BBB3E5959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'[Analýzy_internacionalizace.xlsx]vývoz_zam osobu'!$C$14:$J$14</c:f>
              <c:numCache>
                <c:formatCode>General</c:formatCode>
                <c:ptCount val="8"/>
                <c:pt idx="0">
                  <c:v>2003</c:v>
                </c:pt>
                <c:pt idx="1">
                  <c:v>2004</c:v>
                </c:pt>
                <c:pt idx="2">
                  <c:v>2005</c:v>
                </c:pt>
                <c:pt idx="3">
                  <c:v>2006</c:v>
                </c:pt>
                <c:pt idx="4">
                  <c:v>2007</c:v>
                </c:pt>
                <c:pt idx="5">
                  <c:v>2008</c:v>
                </c:pt>
                <c:pt idx="6">
                  <c:v>2009</c:v>
                </c:pt>
                <c:pt idx="7">
                  <c:v>2010</c:v>
                </c:pt>
              </c:numCache>
            </c:numRef>
          </c:cat>
          <c:val>
            <c:numRef>
              <c:f>'[Analýzy_internacionalizace.xlsx]vývoz_zam osobu'!$C$17:$J$17</c:f>
              <c:numCache>
                <c:formatCode>#,##0</c:formatCode>
                <c:ptCount val="8"/>
                <c:pt idx="0">
                  <c:v>396473.63033304061</c:v>
                </c:pt>
                <c:pt idx="1">
                  <c:v>516602.01454560761</c:v>
                </c:pt>
                <c:pt idx="2">
                  <c:v>518894.45452875661</c:v>
                </c:pt>
                <c:pt idx="3">
                  <c:v>617783.17545747466</c:v>
                </c:pt>
                <c:pt idx="4">
                  <c:v>764605.96437171591</c:v>
                </c:pt>
                <c:pt idx="5">
                  <c:v>793447.52890506375</c:v>
                </c:pt>
                <c:pt idx="6">
                  <c:v>680763.98362892249</c:v>
                </c:pt>
                <c:pt idx="7">
                  <c:v>697042.64099037135</c:v>
                </c:pt>
              </c:numCache>
            </c:numRef>
          </c:val>
          <c:smooth val="0"/>
          <c:extLst>
            <c:ext xmlns:c16="http://schemas.microsoft.com/office/drawing/2014/chart" uri="{C3380CC4-5D6E-409C-BE32-E72D297353CC}">
              <c16:uniqueId val="{00000005-31ED-4318-A125-BBB3E5959B2D}"/>
            </c:ext>
          </c:extLst>
        </c:ser>
        <c:ser>
          <c:idx val="3"/>
          <c:order val="3"/>
          <c:tx>
            <c:strRef>
              <c:f>'[Analýzy_internacionalizace.xlsx]vývoz_zam osobu'!$B$18</c:f>
              <c:strCache>
                <c:ptCount val="1"/>
                <c:pt idx="0">
                  <c:v>ČR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7"/>
              <c:layout>
                <c:manualLayout>
                  <c:x val="-2.5252525252525255E-3"/>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ED-4318-A125-BBB3E5959B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'[Analýzy_internacionalizace.xlsx]vývoz_zam osobu'!$C$14:$J$14</c:f>
              <c:numCache>
                <c:formatCode>General</c:formatCode>
                <c:ptCount val="8"/>
                <c:pt idx="0">
                  <c:v>2003</c:v>
                </c:pt>
                <c:pt idx="1">
                  <c:v>2004</c:v>
                </c:pt>
                <c:pt idx="2">
                  <c:v>2005</c:v>
                </c:pt>
                <c:pt idx="3">
                  <c:v>2006</c:v>
                </c:pt>
                <c:pt idx="4">
                  <c:v>2007</c:v>
                </c:pt>
                <c:pt idx="5">
                  <c:v>2008</c:v>
                </c:pt>
                <c:pt idx="6">
                  <c:v>2009</c:v>
                </c:pt>
                <c:pt idx="7">
                  <c:v>2010</c:v>
                </c:pt>
              </c:numCache>
            </c:numRef>
          </c:cat>
          <c:val>
            <c:numRef>
              <c:f>'[Analýzy_internacionalizace.xlsx]vývoz_zam osobu'!$C$18:$J$18</c:f>
              <c:numCache>
                <c:formatCode>#,##0</c:formatCode>
                <c:ptCount val="8"/>
                <c:pt idx="0">
                  <c:v>278443.18796225189</c:v>
                </c:pt>
                <c:pt idx="1">
                  <c:v>348698.50867475342</c:v>
                </c:pt>
                <c:pt idx="2">
                  <c:v>374307.48907468491</c:v>
                </c:pt>
                <c:pt idx="3">
                  <c:v>421473.40783045156</c:v>
                </c:pt>
                <c:pt idx="4">
                  <c:v>474555.11654262093</c:v>
                </c:pt>
                <c:pt idx="5">
                  <c:v>467763.07441946684</c:v>
                </c:pt>
                <c:pt idx="6">
                  <c:v>433415.07407332497</c:v>
                </c:pt>
                <c:pt idx="7">
                  <c:v>515004.50339801848</c:v>
                </c:pt>
              </c:numCache>
            </c:numRef>
          </c:val>
          <c:smooth val="0"/>
          <c:extLst>
            <c:ext xmlns:c16="http://schemas.microsoft.com/office/drawing/2014/chart" uri="{C3380CC4-5D6E-409C-BE32-E72D297353CC}">
              <c16:uniqueId val="{00000007-31ED-4318-A125-BBB3E5959B2D}"/>
            </c:ext>
          </c:extLst>
        </c:ser>
        <c:dLbls>
          <c:showLegendKey val="0"/>
          <c:showVal val="0"/>
          <c:showCatName val="0"/>
          <c:showSerName val="0"/>
          <c:showPercent val="0"/>
          <c:showBubbleSize val="0"/>
        </c:dLbls>
        <c:marker val="1"/>
        <c:smooth val="0"/>
        <c:axId val="126701568"/>
        <c:axId val="126703104"/>
      </c:lineChart>
      <c:catAx>
        <c:axId val="1267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703104"/>
        <c:crosses val="autoZero"/>
        <c:auto val="1"/>
        <c:lblAlgn val="ctr"/>
        <c:lblOffset val="100"/>
        <c:noMultiLvlLbl val="0"/>
      </c:catAx>
      <c:valAx>
        <c:axId val="12670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670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3636161501911703E-2"/>
          <c:y val="4.5548798707853756E-2"/>
          <c:w val="0.89397098843307565"/>
          <c:h val="0.8516751867555038"/>
        </c:manualLayout>
      </c:layout>
      <c:barChart>
        <c:barDir val="col"/>
        <c:grouping val="clustered"/>
        <c:varyColors val="0"/>
        <c:ser>
          <c:idx val="0"/>
          <c:order val="0"/>
          <c:tx>
            <c:strRef>
              <c:f>'[KVK_Export_41_05-10.xls]exp_vybrane'!$C$21</c:f>
              <c:strCache>
                <c:ptCount val="1"/>
                <c:pt idx="0">
                  <c:v>2005</c:v>
                </c:pt>
              </c:strCache>
            </c:strRef>
          </c:tx>
          <c:invertIfNegative val="0"/>
          <c:cat>
            <c:strRef>
              <c:f>'[KVK_Export_41_05-10.xls]exp_vybrane'!$A$22:$A$29</c:f>
              <c:strCache>
                <c:ptCount val="8"/>
                <c:pt idx="0">
                  <c:v>SITC 699</c:v>
                </c:pt>
                <c:pt idx="1">
                  <c:v>SITC 773</c:v>
                </c:pt>
                <c:pt idx="2">
                  <c:v>SITC 268</c:v>
                </c:pt>
                <c:pt idx="3">
                  <c:v>SITC 784</c:v>
                </c:pt>
                <c:pt idx="4">
                  <c:v>SITC 513</c:v>
                </c:pt>
                <c:pt idx="5">
                  <c:v>SITC 666</c:v>
                </c:pt>
                <c:pt idx="6">
                  <c:v>SITC 772</c:v>
                </c:pt>
                <c:pt idx="7">
                  <c:v>SITC 893</c:v>
                </c:pt>
              </c:strCache>
            </c:strRef>
          </c:cat>
          <c:val>
            <c:numRef>
              <c:f>'[KVK_Export_41_05-10.xls]exp_vybrane'!$C$22:$C$29</c:f>
              <c:numCache>
                <c:formatCode>_(* #,##0.00_);_(* \(#,##0.00\);_(* "-"??_);_(@_)</c:formatCode>
                <c:ptCount val="8"/>
                <c:pt idx="0">
                  <c:v>15.7735857072543</c:v>
                </c:pt>
                <c:pt idx="1">
                  <c:v>6.4296347209594105</c:v>
                </c:pt>
                <c:pt idx="2">
                  <c:v>5.6962514623185454</c:v>
                </c:pt>
                <c:pt idx="3">
                  <c:v>5.3135162995487661</c:v>
                </c:pt>
                <c:pt idx="4">
                  <c:v>5.8436129444802454</c:v>
                </c:pt>
                <c:pt idx="5">
                  <c:v>4.4792888372518433</c:v>
                </c:pt>
                <c:pt idx="6">
                  <c:v>4.2831387290313003</c:v>
                </c:pt>
                <c:pt idx="7">
                  <c:v>3.3944472948814948</c:v>
                </c:pt>
              </c:numCache>
            </c:numRef>
          </c:val>
          <c:extLst>
            <c:ext xmlns:c16="http://schemas.microsoft.com/office/drawing/2014/chart" uri="{C3380CC4-5D6E-409C-BE32-E72D297353CC}">
              <c16:uniqueId val="{00000000-AD69-4D9F-8F69-7D2087F3EAD1}"/>
            </c:ext>
          </c:extLst>
        </c:ser>
        <c:ser>
          <c:idx val="1"/>
          <c:order val="1"/>
          <c:tx>
            <c:strRef>
              <c:f>'[KVK_Export_41_05-10.xls]exp_vybrane'!$D$21</c:f>
              <c:strCache>
                <c:ptCount val="1"/>
                <c:pt idx="0">
                  <c:v>2006</c:v>
                </c:pt>
              </c:strCache>
            </c:strRef>
          </c:tx>
          <c:invertIfNegative val="0"/>
          <c:cat>
            <c:strRef>
              <c:f>'[KVK_Export_41_05-10.xls]exp_vybrane'!$A$22:$A$29</c:f>
              <c:strCache>
                <c:ptCount val="8"/>
                <c:pt idx="0">
                  <c:v>SITC 699</c:v>
                </c:pt>
                <c:pt idx="1">
                  <c:v>SITC 773</c:v>
                </c:pt>
                <c:pt idx="2">
                  <c:v>SITC 268</c:v>
                </c:pt>
                <c:pt idx="3">
                  <c:v>SITC 784</c:v>
                </c:pt>
                <c:pt idx="4">
                  <c:v>SITC 513</c:v>
                </c:pt>
                <c:pt idx="5">
                  <c:v>SITC 666</c:v>
                </c:pt>
                <c:pt idx="6">
                  <c:v>SITC 772</c:v>
                </c:pt>
                <c:pt idx="7">
                  <c:v>SITC 893</c:v>
                </c:pt>
              </c:strCache>
            </c:strRef>
          </c:cat>
          <c:val>
            <c:numRef>
              <c:f>'[KVK_Export_41_05-10.xls]exp_vybrane'!$D$22:$D$29</c:f>
              <c:numCache>
                <c:formatCode>_(* #,##0.00_);_(* \(#,##0.00\);_(* "-"??_);_(@_)</c:formatCode>
                <c:ptCount val="8"/>
                <c:pt idx="0">
                  <c:v>14.960959107786056</c:v>
                </c:pt>
                <c:pt idx="1">
                  <c:v>7.6455981788569698</c:v>
                </c:pt>
                <c:pt idx="2">
                  <c:v>5.6545942242156348</c:v>
                </c:pt>
                <c:pt idx="3">
                  <c:v>4.6067478397237389</c:v>
                </c:pt>
                <c:pt idx="4">
                  <c:v>5.0950068639394255</c:v>
                </c:pt>
                <c:pt idx="5">
                  <c:v>4.5206801915809409</c:v>
                </c:pt>
                <c:pt idx="6">
                  <c:v>4.6942332935265654</c:v>
                </c:pt>
                <c:pt idx="7">
                  <c:v>3.6894745119414316</c:v>
                </c:pt>
              </c:numCache>
            </c:numRef>
          </c:val>
          <c:extLst>
            <c:ext xmlns:c16="http://schemas.microsoft.com/office/drawing/2014/chart" uri="{C3380CC4-5D6E-409C-BE32-E72D297353CC}">
              <c16:uniqueId val="{00000001-AD69-4D9F-8F69-7D2087F3EAD1}"/>
            </c:ext>
          </c:extLst>
        </c:ser>
        <c:ser>
          <c:idx val="2"/>
          <c:order val="2"/>
          <c:tx>
            <c:strRef>
              <c:f>'[KVK_Export_41_05-10.xls]exp_vybrane'!$E$21</c:f>
              <c:strCache>
                <c:ptCount val="1"/>
                <c:pt idx="0">
                  <c:v>2007</c:v>
                </c:pt>
              </c:strCache>
            </c:strRef>
          </c:tx>
          <c:invertIfNegative val="0"/>
          <c:cat>
            <c:strRef>
              <c:f>'[KVK_Export_41_05-10.xls]exp_vybrane'!$A$22:$A$29</c:f>
              <c:strCache>
                <c:ptCount val="8"/>
                <c:pt idx="0">
                  <c:v>SITC 699</c:v>
                </c:pt>
                <c:pt idx="1">
                  <c:v>SITC 773</c:v>
                </c:pt>
                <c:pt idx="2">
                  <c:v>SITC 268</c:v>
                </c:pt>
                <c:pt idx="3">
                  <c:v>SITC 784</c:v>
                </c:pt>
                <c:pt idx="4">
                  <c:v>SITC 513</c:v>
                </c:pt>
                <c:pt idx="5">
                  <c:v>SITC 666</c:v>
                </c:pt>
                <c:pt idx="6">
                  <c:v>SITC 772</c:v>
                </c:pt>
                <c:pt idx="7">
                  <c:v>SITC 893</c:v>
                </c:pt>
              </c:strCache>
            </c:strRef>
          </c:cat>
          <c:val>
            <c:numRef>
              <c:f>'[KVK_Export_41_05-10.xls]exp_vybrane'!$E$22:$E$29</c:f>
              <c:numCache>
                <c:formatCode>_(* #,##0.00_);_(* \(#,##0.00\);_(* "-"??_);_(@_)</c:formatCode>
                <c:ptCount val="8"/>
                <c:pt idx="0">
                  <c:v>13.501433894868734</c:v>
                </c:pt>
                <c:pt idx="1">
                  <c:v>9.0971712697510725</c:v>
                </c:pt>
                <c:pt idx="2">
                  <c:v>5.9087656017564631</c:v>
                </c:pt>
                <c:pt idx="3">
                  <c:v>4.6024497199561294</c:v>
                </c:pt>
                <c:pt idx="4">
                  <c:v>4.0837784641429034</c:v>
                </c:pt>
                <c:pt idx="5">
                  <c:v>5.7035910045808844</c:v>
                </c:pt>
                <c:pt idx="6">
                  <c:v>4.1324794067263459</c:v>
                </c:pt>
                <c:pt idx="7">
                  <c:v>3.3606471366254733</c:v>
                </c:pt>
              </c:numCache>
            </c:numRef>
          </c:val>
          <c:extLst>
            <c:ext xmlns:c16="http://schemas.microsoft.com/office/drawing/2014/chart" uri="{C3380CC4-5D6E-409C-BE32-E72D297353CC}">
              <c16:uniqueId val="{00000002-AD69-4D9F-8F69-7D2087F3EAD1}"/>
            </c:ext>
          </c:extLst>
        </c:ser>
        <c:ser>
          <c:idx val="3"/>
          <c:order val="3"/>
          <c:tx>
            <c:strRef>
              <c:f>'[KVK_Export_41_05-10.xls]exp_vybrane'!$F$21</c:f>
              <c:strCache>
                <c:ptCount val="1"/>
                <c:pt idx="0">
                  <c:v>2008</c:v>
                </c:pt>
              </c:strCache>
            </c:strRef>
          </c:tx>
          <c:invertIfNegative val="0"/>
          <c:cat>
            <c:strRef>
              <c:f>'[KVK_Export_41_05-10.xls]exp_vybrane'!$A$22:$A$29</c:f>
              <c:strCache>
                <c:ptCount val="8"/>
                <c:pt idx="0">
                  <c:v>SITC 699</c:v>
                </c:pt>
                <c:pt idx="1">
                  <c:v>SITC 773</c:v>
                </c:pt>
                <c:pt idx="2">
                  <c:v>SITC 268</c:v>
                </c:pt>
                <c:pt idx="3">
                  <c:v>SITC 784</c:v>
                </c:pt>
                <c:pt idx="4">
                  <c:v>SITC 513</c:v>
                </c:pt>
                <c:pt idx="5">
                  <c:v>SITC 666</c:v>
                </c:pt>
                <c:pt idx="6">
                  <c:v>SITC 772</c:v>
                </c:pt>
                <c:pt idx="7">
                  <c:v>SITC 893</c:v>
                </c:pt>
              </c:strCache>
            </c:strRef>
          </c:cat>
          <c:val>
            <c:numRef>
              <c:f>'[KVK_Export_41_05-10.xls]exp_vybrane'!$F$22:$F$29</c:f>
              <c:numCache>
                <c:formatCode>_(* #,##0.00_);_(* \(#,##0.00\);_(* "-"??_);_(@_)</c:formatCode>
                <c:ptCount val="8"/>
                <c:pt idx="0">
                  <c:v>11.84290120320567</c:v>
                </c:pt>
                <c:pt idx="1">
                  <c:v>12.183964909367836</c:v>
                </c:pt>
                <c:pt idx="2">
                  <c:v>5.6314744471226694</c:v>
                </c:pt>
                <c:pt idx="3">
                  <c:v>5.0865865296551656</c:v>
                </c:pt>
                <c:pt idx="4">
                  <c:v>3.6412121787128346</c:v>
                </c:pt>
                <c:pt idx="5">
                  <c:v>4.9385355633385366</c:v>
                </c:pt>
                <c:pt idx="6">
                  <c:v>3.7140339794619082</c:v>
                </c:pt>
                <c:pt idx="7">
                  <c:v>4.061127917792156</c:v>
                </c:pt>
              </c:numCache>
            </c:numRef>
          </c:val>
          <c:extLst>
            <c:ext xmlns:c16="http://schemas.microsoft.com/office/drawing/2014/chart" uri="{C3380CC4-5D6E-409C-BE32-E72D297353CC}">
              <c16:uniqueId val="{00000003-AD69-4D9F-8F69-7D2087F3EAD1}"/>
            </c:ext>
          </c:extLst>
        </c:ser>
        <c:ser>
          <c:idx val="4"/>
          <c:order val="4"/>
          <c:tx>
            <c:strRef>
              <c:f>'[KVK_Export_41_05-10.xls]exp_vybrane'!$G$21</c:f>
              <c:strCache>
                <c:ptCount val="1"/>
                <c:pt idx="0">
                  <c:v>2009</c:v>
                </c:pt>
              </c:strCache>
            </c:strRef>
          </c:tx>
          <c:invertIfNegative val="0"/>
          <c:cat>
            <c:strRef>
              <c:f>'[KVK_Export_41_05-10.xls]exp_vybrane'!$A$22:$A$29</c:f>
              <c:strCache>
                <c:ptCount val="8"/>
                <c:pt idx="0">
                  <c:v>SITC 699</c:v>
                </c:pt>
                <c:pt idx="1">
                  <c:v>SITC 773</c:v>
                </c:pt>
                <c:pt idx="2">
                  <c:v>SITC 268</c:v>
                </c:pt>
                <c:pt idx="3">
                  <c:v>SITC 784</c:v>
                </c:pt>
                <c:pt idx="4">
                  <c:v>SITC 513</c:v>
                </c:pt>
                <c:pt idx="5">
                  <c:v>SITC 666</c:v>
                </c:pt>
                <c:pt idx="6">
                  <c:v>SITC 772</c:v>
                </c:pt>
                <c:pt idx="7">
                  <c:v>SITC 893</c:v>
                </c:pt>
              </c:strCache>
            </c:strRef>
          </c:cat>
          <c:val>
            <c:numRef>
              <c:f>'[KVK_Export_41_05-10.xls]exp_vybrane'!$G$22:$G$29</c:f>
              <c:numCache>
                <c:formatCode>_(* #,##0.00_);_(* \(#,##0.00\);_(* "-"??_);_(@_)</c:formatCode>
                <c:ptCount val="8"/>
                <c:pt idx="0">
                  <c:v>11.078750341696255</c:v>
                </c:pt>
                <c:pt idx="1">
                  <c:v>12.849849954621504</c:v>
                </c:pt>
                <c:pt idx="2">
                  <c:v>4.7725296748135184</c:v>
                </c:pt>
                <c:pt idx="3">
                  <c:v>3.2880636507440846</c:v>
                </c:pt>
                <c:pt idx="4">
                  <c:v>3.8240509331543193</c:v>
                </c:pt>
                <c:pt idx="5">
                  <c:v>3.7585926089495492</c:v>
                </c:pt>
                <c:pt idx="6">
                  <c:v>4.4292719628677508</c:v>
                </c:pt>
                <c:pt idx="7">
                  <c:v>3.737218609686479</c:v>
                </c:pt>
              </c:numCache>
            </c:numRef>
          </c:val>
          <c:extLst>
            <c:ext xmlns:c16="http://schemas.microsoft.com/office/drawing/2014/chart" uri="{C3380CC4-5D6E-409C-BE32-E72D297353CC}">
              <c16:uniqueId val="{00000004-AD69-4D9F-8F69-7D2087F3EAD1}"/>
            </c:ext>
          </c:extLst>
        </c:ser>
        <c:ser>
          <c:idx val="5"/>
          <c:order val="5"/>
          <c:tx>
            <c:strRef>
              <c:f>'[KVK_Export_41_05-10.xls]exp_vybrane'!$H$21</c:f>
              <c:strCache>
                <c:ptCount val="1"/>
                <c:pt idx="0">
                  <c:v>2010</c:v>
                </c:pt>
              </c:strCache>
            </c:strRef>
          </c:tx>
          <c:invertIfNegative val="0"/>
          <c:cat>
            <c:strRef>
              <c:f>'[KVK_Export_41_05-10.xls]exp_vybrane'!$A$22:$A$29</c:f>
              <c:strCache>
                <c:ptCount val="8"/>
                <c:pt idx="0">
                  <c:v>SITC 699</c:v>
                </c:pt>
                <c:pt idx="1">
                  <c:v>SITC 773</c:v>
                </c:pt>
                <c:pt idx="2">
                  <c:v>SITC 268</c:v>
                </c:pt>
                <c:pt idx="3">
                  <c:v>SITC 784</c:v>
                </c:pt>
                <c:pt idx="4">
                  <c:v>SITC 513</c:v>
                </c:pt>
                <c:pt idx="5">
                  <c:v>SITC 666</c:v>
                </c:pt>
                <c:pt idx="6">
                  <c:v>SITC 772</c:v>
                </c:pt>
                <c:pt idx="7">
                  <c:v>SITC 893</c:v>
                </c:pt>
              </c:strCache>
            </c:strRef>
          </c:cat>
          <c:val>
            <c:numRef>
              <c:f>'[KVK_Export_41_05-10.xls]exp_vybrane'!$H$22:$H$29</c:f>
              <c:numCache>
                <c:formatCode>_(* #,##0.00_);_(* \(#,##0.00\);_(* "-"??_);_(@_)</c:formatCode>
                <c:ptCount val="8"/>
                <c:pt idx="0">
                  <c:v>10.643958319587744</c:v>
                </c:pt>
                <c:pt idx="1">
                  <c:v>17.126775579225889</c:v>
                </c:pt>
                <c:pt idx="2">
                  <c:v>6.0239145681568349</c:v>
                </c:pt>
                <c:pt idx="3">
                  <c:v>4.5803072443700232</c:v>
                </c:pt>
                <c:pt idx="4">
                  <c:v>4.5731881178794795</c:v>
                </c:pt>
                <c:pt idx="5">
                  <c:v>2.7301598189641396</c:v>
                </c:pt>
                <c:pt idx="6">
                  <c:v>4.9064054795959215</c:v>
                </c:pt>
                <c:pt idx="7">
                  <c:v>3.2977909877555578</c:v>
                </c:pt>
              </c:numCache>
            </c:numRef>
          </c:val>
          <c:extLst>
            <c:ext xmlns:c16="http://schemas.microsoft.com/office/drawing/2014/chart" uri="{C3380CC4-5D6E-409C-BE32-E72D297353CC}">
              <c16:uniqueId val="{00000005-AD69-4D9F-8F69-7D2087F3EAD1}"/>
            </c:ext>
          </c:extLst>
        </c:ser>
        <c:dLbls>
          <c:showLegendKey val="0"/>
          <c:showVal val="0"/>
          <c:showCatName val="0"/>
          <c:showSerName val="0"/>
          <c:showPercent val="0"/>
          <c:showBubbleSize val="0"/>
        </c:dLbls>
        <c:gapWidth val="150"/>
        <c:axId val="127540608"/>
        <c:axId val="127546496"/>
      </c:barChart>
      <c:catAx>
        <c:axId val="127540608"/>
        <c:scaling>
          <c:orientation val="minMax"/>
        </c:scaling>
        <c:delete val="0"/>
        <c:axPos val="b"/>
        <c:numFmt formatCode="General" sourceLinked="1"/>
        <c:majorTickMark val="out"/>
        <c:minorTickMark val="none"/>
        <c:tickLblPos val="nextTo"/>
        <c:crossAx val="127546496"/>
        <c:crosses val="autoZero"/>
        <c:auto val="1"/>
        <c:lblAlgn val="ctr"/>
        <c:lblOffset val="100"/>
        <c:noMultiLvlLbl val="0"/>
      </c:catAx>
      <c:valAx>
        <c:axId val="127546496"/>
        <c:scaling>
          <c:orientation val="minMax"/>
        </c:scaling>
        <c:delete val="0"/>
        <c:axPos val="l"/>
        <c:majorGridlines>
          <c:spPr>
            <a:ln>
              <a:prstDash val="sysDash"/>
            </a:ln>
          </c:spPr>
        </c:majorGridlines>
        <c:numFmt formatCode="#,##0" sourceLinked="0"/>
        <c:majorTickMark val="out"/>
        <c:minorTickMark val="none"/>
        <c:tickLblPos val="nextTo"/>
        <c:crossAx val="127540608"/>
        <c:crosses val="autoZero"/>
        <c:crossBetween val="between"/>
      </c:valAx>
      <c:spPr>
        <a:ln>
          <a:solidFill>
            <a:schemeClr val="bg1">
              <a:lumMod val="50000"/>
            </a:schemeClr>
          </a:solidFill>
        </a:ln>
      </c:spPr>
    </c:plotArea>
    <c:legend>
      <c:legendPos val="r"/>
      <c:layout>
        <c:manualLayout>
          <c:xMode val="edge"/>
          <c:yMode val="edge"/>
          <c:x val="0.34618910205285242"/>
          <c:y val="6.4107571168988492E-2"/>
          <c:w val="0.59242354374211248"/>
          <c:h val="7.1784534625479512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[Analýzy_internacionalizace.xlsx]shiftshare!$L$2</c:f>
              <c:strCache>
                <c:ptCount val="1"/>
                <c:pt idx="0">
                  <c:v>procentuální změna</c:v>
                </c:pt>
              </c:strCache>
            </c:strRef>
          </c:tx>
          <c:spPr>
            <a:solidFill>
              <a:schemeClr val="accent1"/>
            </a:solidFill>
            <a:ln>
              <a:noFill/>
            </a:ln>
            <a:effectLst/>
          </c:spPr>
          <c:invertIfNegative val="0"/>
          <c:cat>
            <c:strRef>
              <c:f>[Analýzy_internacionalizace.xlsx]shiftshare!$K$3:$K$11</c:f>
              <c:strCache>
                <c:ptCount val="9"/>
                <c:pt idx="0">
                  <c:v>1 -Potraviny 
a živá 
zvířata</c:v>
                </c:pt>
                <c:pt idx="1">
                  <c:v>2 -Nápoje
a tabák</c:v>
                </c:pt>
                <c:pt idx="2">
                  <c:v>3- Suroviny
nepoživatelné,
s výjimkou 
paliv</c:v>
                </c:pt>
                <c:pt idx="3">
                  <c:v>4 -Minerální 
paliva, maziva 
a příbuzné
materiály</c:v>
                </c:pt>
                <c:pt idx="4">
                  <c:v>5 -Živočišné
a rostlinné 
oleje, tuky 
a vosky</c:v>
                </c:pt>
                <c:pt idx="5">
                  <c:v>6 -Chemikálie 
a příbuzné 
výrobky, j.n.</c:v>
                </c:pt>
                <c:pt idx="6">
                  <c:v>7 - Polotovary
a materiály</c:v>
                </c:pt>
                <c:pt idx="7">
                  <c:v>8 - Stroje
a dopravní prostředky</c:v>
                </c:pt>
                <c:pt idx="8">
                  <c:v>9 - Průmyslové
spotřební
zboží</c:v>
                </c:pt>
              </c:strCache>
            </c:strRef>
          </c:cat>
          <c:val>
            <c:numRef>
              <c:f>[Analýzy_internacionalizace.xlsx]shiftshare!$L$3:$L$11</c:f>
              <c:numCache>
                <c:formatCode>0.0</c:formatCode>
                <c:ptCount val="9"/>
                <c:pt idx="0">
                  <c:v>46.53061224489808</c:v>
                </c:pt>
                <c:pt idx="1">
                  <c:v>126.79738562091541</c:v>
                </c:pt>
                <c:pt idx="2">
                  <c:v>16.467209191000492</c:v>
                </c:pt>
                <c:pt idx="3">
                  <c:v>132.92682926829266</c:v>
                </c:pt>
                <c:pt idx="4">
                  <c:v>125</c:v>
                </c:pt>
                <c:pt idx="5">
                  <c:v>14.947643979057588</c:v>
                </c:pt>
                <c:pt idx="6">
                  <c:v>-24.996364693907189</c:v>
                </c:pt>
                <c:pt idx="7">
                  <c:v>32.660818713450311</c:v>
                </c:pt>
                <c:pt idx="8">
                  <c:v>-11.735941320293364</c:v>
                </c:pt>
              </c:numCache>
            </c:numRef>
          </c:val>
          <c:extLst>
            <c:ext xmlns:c16="http://schemas.microsoft.com/office/drawing/2014/chart" uri="{C3380CC4-5D6E-409C-BE32-E72D297353CC}">
              <c16:uniqueId val="{00000000-D57A-4DD5-9B9D-23101F4CD6F2}"/>
            </c:ext>
          </c:extLst>
        </c:ser>
        <c:ser>
          <c:idx val="1"/>
          <c:order val="1"/>
          <c:tx>
            <c:strRef>
              <c:f>[Analýzy_internacionalizace.xlsx]shiftshare!$M$2</c:f>
              <c:strCache>
                <c:ptCount val="1"/>
                <c:pt idx="0">
                  <c:v>lokální složka</c:v>
                </c:pt>
              </c:strCache>
            </c:strRef>
          </c:tx>
          <c:spPr>
            <a:solidFill>
              <a:schemeClr val="accent2"/>
            </a:solidFill>
            <a:ln>
              <a:noFill/>
            </a:ln>
            <a:effectLst/>
          </c:spPr>
          <c:invertIfNegative val="0"/>
          <c:cat>
            <c:strRef>
              <c:f>[Analýzy_internacionalizace.xlsx]shiftshare!$K$3:$K$11</c:f>
              <c:strCache>
                <c:ptCount val="9"/>
                <c:pt idx="0">
                  <c:v>1 -Potraviny 
a živá 
zvířata</c:v>
                </c:pt>
                <c:pt idx="1">
                  <c:v>2 -Nápoje
a tabák</c:v>
                </c:pt>
                <c:pt idx="2">
                  <c:v>3- Suroviny
nepoživatelné,
s výjimkou 
paliv</c:v>
                </c:pt>
                <c:pt idx="3">
                  <c:v>4 -Minerální 
paliva, maziva 
a příbuzné
materiály</c:v>
                </c:pt>
                <c:pt idx="4">
                  <c:v>5 -Živočišné
a rostlinné 
oleje, tuky 
a vosky</c:v>
                </c:pt>
                <c:pt idx="5">
                  <c:v>6 -Chemikálie 
a příbuzné 
výrobky, j.n.</c:v>
                </c:pt>
                <c:pt idx="6">
                  <c:v>7 - Polotovary
a materiály</c:v>
                </c:pt>
                <c:pt idx="7">
                  <c:v>8 - Stroje
a dopravní prostředky</c:v>
                </c:pt>
                <c:pt idx="8">
                  <c:v>9 - Průmyslové
spotřební
zboží</c:v>
                </c:pt>
              </c:strCache>
            </c:strRef>
          </c:cat>
          <c:val>
            <c:numRef>
              <c:f>[Analýzy_internacionalizace.xlsx]shiftshare!$M$3:$M$11</c:f>
              <c:numCache>
                <c:formatCode>0.0</c:formatCode>
                <c:ptCount val="9"/>
                <c:pt idx="0">
                  <c:v>-0.25159786830191694</c:v>
                </c:pt>
                <c:pt idx="1">
                  <c:v>0.66208435088644402</c:v>
                </c:pt>
                <c:pt idx="2">
                  <c:v>-10.608500063321744</c:v>
                </c:pt>
                <c:pt idx="3">
                  <c:v>2.095098577030778</c:v>
                </c:pt>
                <c:pt idx="4">
                  <c:v>-0.37309248397430539</c:v>
                </c:pt>
                <c:pt idx="5">
                  <c:v>-9.2590884133879268</c:v>
                </c:pt>
                <c:pt idx="6">
                  <c:v>-44.756948927624521</c:v>
                </c:pt>
                <c:pt idx="7">
                  <c:v>-17.976083279939612</c:v>
                </c:pt>
                <c:pt idx="8">
                  <c:v>-19.531871891367146</c:v>
                </c:pt>
              </c:numCache>
            </c:numRef>
          </c:val>
          <c:extLst>
            <c:ext xmlns:c16="http://schemas.microsoft.com/office/drawing/2014/chart" uri="{C3380CC4-5D6E-409C-BE32-E72D297353CC}">
              <c16:uniqueId val="{00000001-D57A-4DD5-9B9D-23101F4CD6F2}"/>
            </c:ext>
          </c:extLst>
        </c:ser>
        <c:dLbls>
          <c:showLegendKey val="0"/>
          <c:showVal val="0"/>
          <c:showCatName val="0"/>
          <c:showSerName val="0"/>
          <c:showPercent val="0"/>
          <c:showBubbleSize val="0"/>
        </c:dLbls>
        <c:gapWidth val="219"/>
        <c:overlap val="-27"/>
        <c:axId val="127576320"/>
        <c:axId val="127729664"/>
      </c:barChart>
      <c:catAx>
        <c:axId val="127576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50" b="0" i="0" u="none" strike="noStrike" kern="1200" baseline="0">
                <a:solidFill>
                  <a:schemeClr val="tx1">
                    <a:lumMod val="65000"/>
                    <a:lumOff val="35000"/>
                  </a:schemeClr>
                </a:solidFill>
                <a:latin typeface="+mn-lt"/>
                <a:ea typeface="+mn-ea"/>
                <a:cs typeface="+mn-cs"/>
              </a:defRPr>
            </a:pPr>
            <a:endParaRPr lang="cs-CZ"/>
          </a:p>
        </c:txPr>
        <c:crossAx val="127729664"/>
        <c:crosses val="autoZero"/>
        <c:auto val="1"/>
        <c:lblAlgn val="ctr"/>
        <c:lblOffset val="100"/>
        <c:noMultiLvlLbl val="0"/>
      </c:catAx>
      <c:valAx>
        <c:axId val="127729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57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List1!$B$2</c:f>
              <c:strCache>
                <c:ptCount val="1"/>
                <c:pt idx="0">
                  <c:v>primární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List1!$C$1:$F$1</c:f>
              <c:strCache>
                <c:ptCount val="4"/>
                <c:pt idx="0">
                  <c:v>KVK 2000</c:v>
                </c:pt>
                <c:pt idx="1">
                  <c:v>KVK 2014</c:v>
                </c:pt>
                <c:pt idx="2">
                  <c:v>ČR 2000</c:v>
                </c:pt>
                <c:pt idx="3">
                  <c:v>ČR 2014</c:v>
                </c:pt>
              </c:strCache>
            </c:strRef>
          </c:cat>
          <c:val>
            <c:numRef>
              <c:f>List1!$C$2:$F$2</c:f>
              <c:numCache>
                <c:formatCode>#,##0.0_ ;\-#,##0.0\ </c:formatCode>
                <c:ptCount val="4"/>
                <c:pt idx="0">
                  <c:v>2.9492430337160767</c:v>
                </c:pt>
                <c:pt idx="1">
                  <c:v>4.6323774036862071</c:v>
                </c:pt>
                <c:pt idx="2">
                  <c:v>3.4184718608348783</c:v>
                </c:pt>
                <c:pt idx="3">
                  <c:v>2.7044139022930151</c:v>
                </c:pt>
              </c:numCache>
            </c:numRef>
          </c:val>
          <c:extLst>
            <c:ext xmlns:c16="http://schemas.microsoft.com/office/drawing/2014/chart" uri="{C3380CC4-5D6E-409C-BE32-E72D297353CC}">
              <c16:uniqueId val="{00000000-C67E-4996-8501-A841A64BB826}"/>
            </c:ext>
          </c:extLst>
        </c:ser>
        <c:ser>
          <c:idx val="1"/>
          <c:order val="1"/>
          <c:tx>
            <c:strRef>
              <c:f>List1!$B$3</c:f>
              <c:strCache>
                <c:ptCount val="1"/>
                <c:pt idx="0">
                  <c:v>sekundární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List1!$C$1:$F$1</c:f>
              <c:strCache>
                <c:ptCount val="4"/>
                <c:pt idx="0">
                  <c:v>KVK 2000</c:v>
                </c:pt>
                <c:pt idx="1">
                  <c:v>KVK 2014</c:v>
                </c:pt>
                <c:pt idx="2">
                  <c:v>ČR 2000</c:v>
                </c:pt>
                <c:pt idx="3">
                  <c:v>ČR 2014</c:v>
                </c:pt>
              </c:strCache>
            </c:strRef>
          </c:cat>
          <c:val>
            <c:numRef>
              <c:f>List1!$C$3:$F$3</c:f>
              <c:numCache>
                <c:formatCode>#,##0.0_ ;\-#,##0.0\ </c:formatCode>
                <c:ptCount val="4"/>
                <c:pt idx="0">
                  <c:v>40.718935127623915</c:v>
                </c:pt>
                <c:pt idx="1">
                  <c:v>36.750282786612367</c:v>
                </c:pt>
                <c:pt idx="2">
                  <c:v>37.18025772651395</c:v>
                </c:pt>
                <c:pt idx="3">
                  <c:v>37.960358606865661</c:v>
                </c:pt>
              </c:numCache>
            </c:numRef>
          </c:val>
          <c:extLst>
            <c:ext xmlns:c16="http://schemas.microsoft.com/office/drawing/2014/chart" uri="{C3380CC4-5D6E-409C-BE32-E72D297353CC}">
              <c16:uniqueId val="{00000001-C67E-4996-8501-A841A64BB826}"/>
            </c:ext>
          </c:extLst>
        </c:ser>
        <c:ser>
          <c:idx val="2"/>
          <c:order val="2"/>
          <c:tx>
            <c:strRef>
              <c:f>List1!$B$4</c:f>
              <c:strCache>
                <c:ptCount val="1"/>
                <c:pt idx="0">
                  <c:v>terciární</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List1!$C$1:$F$1</c:f>
              <c:strCache>
                <c:ptCount val="4"/>
                <c:pt idx="0">
                  <c:v>KVK 2000</c:v>
                </c:pt>
                <c:pt idx="1">
                  <c:v>KVK 2014</c:v>
                </c:pt>
                <c:pt idx="2">
                  <c:v>ČR 2000</c:v>
                </c:pt>
                <c:pt idx="3">
                  <c:v>ČR 2014</c:v>
                </c:pt>
              </c:strCache>
            </c:strRef>
          </c:cat>
          <c:val>
            <c:numRef>
              <c:f>List1!$C$4:$F$4</c:f>
              <c:numCache>
                <c:formatCode>#,##0.0_ ;\-#,##0.0\ </c:formatCode>
                <c:ptCount val="4"/>
                <c:pt idx="0">
                  <c:v>56.331821838659998</c:v>
                </c:pt>
                <c:pt idx="1">
                  <c:v>58.617339809701242</c:v>
                </c:pt>
                <c:pt idx="2">
                  <c:v>59.401270412651144</c:v>
                </c:pt>
                <c:pt idx="3">
                  <c:v>59.335227490841213</c:v>
                </c:pt>
              </c:numCache>
            </c:numRef>
          </c:val>
          <c:extLst>
            <c:ext xmlns:c16="http://schemas.microsoft.com/office/drawing/2014/chart" uri="{C3380CC4-5D6E-409C-BE32-E72D297353CC}">
              <c16:uniqueId val="{00000002-C67E-4996-8501-A841A64BB826}"/>
            </c:ext>
          </c:extLst>
        </c:ser>
        <c:dLbls>
          <c:showLegendKey val="0"/>
          <c:showVal val="0"/>
          <c:showCatName val="0"/>
          <c:showSerName val="0"/>
          <c:showPercent val="0"/>
          <c:showBubbleSize val="0"/>
        </c:dLbls>
        <c:gapWidth val="150"/>
        <c:overlap val="100"/>
        <c:axId val="127764352"/>
        <c:axId val="127765888"/>
      </c:barChart>
      <c:catAx>
        <c:axId val="12776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765888"/>
        <c:crosses val="autoZero"/>
        <c:auto val="1"/>
        <c:lblAlgn val="ctr"/>
        <c:lblOffset val="100"/>
        <c:noMultiLvlLbl val="0"/>
      </c:catAx>
      <c:valAx>
        <c:axId val="12776588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776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0.13424</cdr:x>
      <cdr:y>0.3531</cdr:y>
    </cdr:from>
    <cdr:to>
      <cdr:x>0.97825</cdr:x>
      <cdr:y>0.3531</cdr:y>
    </cdr:to>
    <cdr:cxnSp macro="">
      <cdr:nvCxnSpPr>
        <cdr:cNvPr id="3" name="Přímá spojnice 2"/>
        <cdr:cNvCxnSpPr/>
      </cdr:nvCxnSpPr>
      <cdr:spPr>
        <a:xfrm xmlns:a="http://schemas.openxmlformats.org/drawingml/2006/main">
          <a:off x="773574" y="889703"/>
          <a:ext cx="4863713" cy="0"/>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0.13417</cdr:x>
      <cdr:y>0.41284</cdr:y>
    </cdr:from>
    <cdr:to>
      <cdr:x>0.97818</cdr:x>
      <cdr:y>0.41284</cdr:y>
    </cdr:to>
    <cdr:cxnSp macro="">
      <cdr:nvCxnSpPr>
        <cdr:cNvPr id="4" name="Přímá spojnice 3"/>
        <cdr:cNvCxnSpPr/>
      </cdr:nvCxnSpPr>
      <cdr:spPr>
        <a:xfrm xmlns:a="http://schemas.openxmlformats.org/drawingml/2006/main">
          <a:off x="773197" y="1040231"/>
          <a:ext cx="4863714" cy="0"/>
        </a:xfrm>
        <a:prstGeom xmlns:a="http://schemas.openxmlformats.org/drawingml/2006/main" prst="line">
          <a:avLst/>
        </a:prstGeom>
        <a:ln xmlns:a="http://schemas.openxmlformats.org/drawingml/2006/main" w="19050">
          <a:solidFill>
            <a:srgbClr val="00206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0.69028</cdr:x>
      <cdr:y>0</cdr:y>
    </cdr:from>
    <cdr:to>
      <cdr:x>0.69166</cdr:x>
      <cdr:y>0.77204</cdr:y>
    </cdr:to>
    <cdr:cxnSp macro="">
      <cdr:nvCxnSpPr>
        <cdr:cNvPr id="2" name="Přímá spojnice 1"/>
        <cdr:cNvCxnSpPr/>
      </cdr:nvCxnSpPr>
      <cdr:spPr>
        <a:xfrm xmlns:a="http://schemas.openxmlformats.org/drawingml/2006/main">
          <a:off x="3975653" y="0"/>
          <a:ext cx="7951" cy="1924216"/>
        </a:xfrm>
        <a:prstGeom xmlns:a="http://schemas.openxmlformats.org/drawingml/2006/main" prst="line">
          <a:avLst/>
        </a:prstGeom>
        <a:ln xmlns:a="http://schemas.openxmlformats.org/drawingml/2006/main" w="1270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B098CD513B83D4DBE4E730EB974E706" ma:contentTypeVersion="2" ma:contentTypeDescription="Vytvoří nový dokument" ma:contentTypeScope="" ma:versionID="0c26b11d56ed431b88eb131894c9be23">
  <xsd:schema xmlns:xsd="http://www.w3.org/2001/XMLSchema" xmlns:xs="http://www.w3.org/2001/XMLSchema" xmlns:p="http://schemas.microsoft.com/office/2006/metadata/properties" xmlns:ns1="http://schemas.microsoft.com/sharepoint/v3" xmlns:ns2="dea095fd-7966-4c4b-b51d-2134cf85ddf0" targetNamespace="http://schemas.microsoft.com/office/2006/metadata/properties" ma:root="true" ma:fieldsID="0d8b90d4ebb877a17157c3dea78fb091" ns1:_="" ns2:_="">
    <xsd:import namespace="http://schemas.microsoft.com/sharepoint/v3"/>
    <xsd:import namespace="dea095fd-7966-4c4b-b51d-2134cf85ddf0"/>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 ma:hidden="true" ma:internalName="PublishingStartDate">
      <xsd:simpleType>
        <xsd:restriction base="dms:Unknown"/>
      </xsd:simpleType>
    </xsd:element>
    <xsd:element name="PublishingExpirationDate" ma:index="9" nillable="true" ma:displayName="Datum ukončení plánování"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a095fd-7966-4c4b-b51d-2134cf85ddf0"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dea095fd-7966-4c4b-b51d-2134cf85dd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6B672-6103-4851-984B-5D2B377947DE}"/>
</file>

<file path=customXml/itemProps2.xml><?xml version="1.0" encoding="utf-8"?>
<ds:datastoreItem xmlns:ds="http://schemas.openxmlformats.org/officeDocument/2006/customXml" ds:itemID="{2CD56D92-6866-4CB8-8261-52A19A0385EB}"/>
</file>

<file path=customXml/itemProps3.xml><?xml version="1.0" encoding="utf-8"?>
<ds:datastoreItem xmlns:ds="http://schemas.openxmlformats.org/officeDocument/2006/customXml" ds:itemID="{2A1A30E8-A009-430D-99CE-C31861BB4E9C}"/>
</file>

<file path=customXml/itemProps4.xml><?xml version="1.0" encoding="utf-8"?>
<ds:datastoreItem xmlns:ds="http://schemas.openxmlformats.org/officeDocument/2006/customXml" ds:itemID="{D12F0397-ECD7-47EA-8C1B-F255EB88CE5C}"/>
</file>

<file path=docProps/app.xml><?xml version="1.0" encoding="utf-8"?>
<Properties xmlns="http://schemas.openxmlformats.org/officeDocument/2006/extended-properties" xmlns:vt="http://schemas.openxmlformats.org/officeDocument/2006/docPropsVTypes">
  <Template>Normal</Template>
  <TotalTime>0</TotalTime>
  <Pages>224</Pages>
  <Words>75747</Words>
  <Characters>446909</Characters>
  <Application>Microsoft Office Word</Application>
  <DocSecurity>0</DocSecurity>
  <Lines>3724</Lines>
  <Paragraphs>1043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Voštová Kamila</dc:creator>
  <cp:lastModifiedBy>Voštová Kamila</cp:lastModifiedBy>
  <cp:revision>2</cp:revision>
  <cp:lastPrinted>2017-07-28T16:40:00Z</cp:lastPrinted>
  <dcterms:created xsi:type="dcterms:W3CDTF">2019-10-01T09:58:00Z</dcterms:created>
  <dcterms:modified xsi:type="dcterms:W3CDTF">2019-10-01T09:58:00Z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0x010100FB098CD513B83D4DBE4E730EB974E706</vt:lpwstr>
  </property>
</Properties>
</file>